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d'Audit Interne - Departement Achats</w:t>
      </w:r>
    </w:p>
    <w:p>
      <w:r>
        <w:t>Le present rapport presente les conclusions de la mission d'audit interne menee sur le processus achats entre janvier et mars 2026.</w:t>
      </w:r>
    </w:p>
    <w:p>
      <w:pPr>
        <w:pStyle w:val="Heading1"/>
      </w:pPr>
      <w:r>
        <w:t>Perimetre de la Mission</w:t>
      </w:r>
    </w:p>
    <w:p>
      <w:r>
        <w:t>L'audit a couvert l'ensemble du cycle achats, de l'expression du besoin jusqu'au paiement des fournisseurs, sur un echantillon de cinquante transactions representatives de l'exercice 2025.</w:t>
      </w:r>
    </w:p>
    <w:p>
      <w:pPr>
        <w:pStyle w:val="Heading1"/>
      </w:pPr>
      <w:r>
        <w:t>Constats Principaux</w:t>
      </w:r>
    </w:p>
    <w:p>
      <w:r>
        <w:t>L'equipe d'audit a releve trois ecarts significatifs par rapport aux procedures internes en vigueur. Le premier concerne l'absence de double validation pour les commandes superieures a 20 000 euros dans quatre cas sur les cinquante examines.</w:t>
      </w:r>
    </w:p>
    <w:p>
      <w:r>
        <w:t>Le deuxieme constat porte sur des delais de paiement fournisseurs depassant systematiquement les soixante jours contractuels pour les achats indirects, generant un risque de penalites de retard.</w:t>
      </w:r>
    </w:p>
    <w:p>
      <w:pPr>
        <w:pStyle w:val="Heading1"/>
      </w:pPr>
      <w:r>
        <w:t>Recommandations</w:t>
      </w:r>
    </w:p>
    <w:p>
      <w:r>
        <w:t>Il est recommande de renforcer les controles automatiques du systeme d'information sur les seuils de validation, et de mettre en place un tableau de bord mensuel de suivi des delais de paiement fournisseurs partage avec la direction financiere.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