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4D"/>
          <w:sz w:val="52"/>
          <w:szCs w:val="52"/>
        </w:rPr>
        <w:t xml:space="preserve">NATASO CRM</w:t>
      </w:r>
    </w:p>
    <w:p>
      <w:pPr>
        <w:spacing w:after="40"/>
      </w:pPr>
      <w:r>
        <w:rPr>
          <w:b/>
          <w:bCs/>
          <w:color w:val="2E6F5E"/>
          <w:sz w:val="28"/>
          <w:szCs w:val="28"/>
        </w:rPr>
        <w:t xml:space="preserve">Additional Requirements — Gap Analysis &amp; Architecture Plan</w:t>
      </w:r>
    </w:p>
    <w:p>
      <w:pPr>
        <w:spacing w:after="300"/>
      </w:pPr>
      <w:r>
        <w:rPr>
          <w:i/>
          <w:iCs/>
          <w:color w:val="555555"/>
          <w:sz w:val="20"/>
          <w:szCs w:val="20"/>
        </w:rPr>
        <w:t xml:space="preserve">Prepared for: Poultry, HoReCa &amp; Export business units   |   Date: 16 July 2026</w:t>
      </w:r>
    </w:p>
    <w:p>
      <w:pPr>
        <w:spacing w:after="160"/>
      </w:pPr>
      <w:r>
        <w:t xml:space="preserve">This document reviews the current NATASO CRM codebase (project “Enquriy”) against the 12 additional requirements raised after the scope review, states what is already built, what is missing, and lays out a phased build plan to close the gaps.</w:t>
      </w:r>
    </w:p>
    <w:p>
      <w:pPr>
        <w:pStyle w:val="Heading1"/>
        <w:spacing w:after="160" w:before="360"/>
      </w:pPr>
      <w:r>
        <w:t xml:space="preserve">1. Method</w:t>
      </w:r>
    </w:p>
    <w:p>
      <w:pPr>
        <w:spacing w:after="160"/>
      </w:pPr>
      <w:r>
        <w:t xml:space="preserve">This is a review of the live application, not a paper proposal. The codebase was inspected directly: data models (MongoDB/Mongoose), server actions, dashboards, reports, and navigation/permission config.</w:t>
      </w:r>
    </w:p>
    <w:p>
      <w:pPr>
        <w:spacing w:after="80"/>
      </w:pPr>
      <w:r>
        <w:rPr>
          <w:b/>
          <w:bCs/>
        </w:rPr>
        <w:t xml:space="preserve">Stack:  </w:t>
      </w:r>
      <w:r>
        <w:t xml:space="preserve">Next.js 15 (App Router) · React 19 · TypeScript · MongoDB via Mongoose 8 · NextAuth v5 · Zustand · Tailwind v4.</w:t>
      </w:r>
    </w:p>
    <w:p>
      <w:pPr>
        <w:spacing w:after="80"/>
      </w:pPr>
      <w:r>
        <w:rPr>
          <w:b/>
          <w:bCs/>
        </w:rPr>
        <w:t xml:space="preserve">Existing core modules:  </w:t>
      </w:r>
      <w:r>
        <w:t xml:space="preserve">Enquiries, Follow-ups, Staff/Users with RBAC (Super Admin / Manager / Staff), Assignment engine with auto zone-matching, Location Zones (territory), Master Data (admin-editable dropdowns), Notifications (in-app + SSE), Activity/Audit logging, Dashboards (role-based), Reports (enquiry summary, staff performance, zone performance, follow-up rate, conversion funnel, CSV export).</w:t>
      </w:r>
    </w:p>
    <w:p>
      <w:pPr>
        <w:spacing w:after="160"/>
      </w:pPr>
      <w:r>
        <w:t xml:space="preserve">Overall: the foundation is solid and several of the 12 requirements are partially or mostly satisfied by existing architecture. The gaps cluster around three net-new business entities the system doesn't yet know about — Distributor, Dealer, and Customer — plus one net-new piece of infrastructure: a background scheduler.</w:t>
      </w:r>
    </w:p>
    <w:p>
      <w:pPr>
        <w:pStyle w:val="Heading1"/>
        <w:spacing w:after="160" w:before="360"/>
      </w:pPr>
      <w:r>
        <w:t xml:space="preserve">2. Requirement-by-Requirement Gap Analysis</w:t>
      </w:r>
    </w:p>
    <w:p>
      <w:pPr>
        <w:spacing w:after="160"/>
      </w:pPr>
      <w:r>
        <w:t xml:space="preserve">Status key:</w:t>
      </w:r>
    </w:p>
    <w:p>
      <w:pPr>
        <w:spacing w:after="200"/>
      </w:pPr>
      <w:r>
        <w:rPr>
          <w:b/>
          <w:bCs/>
          <w:color w:val="FFFFFF"/>
          <w:shd w:fill="2E6F5E" w:val="clear"/>
        </w:rPr>
        <w:t xml:space="preserve">  BUILT  </w:t>
      </w:r>
      <w:r>
        <w:t xml:space="preserve">  </w:t>
      </w:r>
      <w:r>
        <w:rPr>
          <w:b/>
          <w:bCs/>
          <w:color w:val="FFFFFF"/>
          <w:shd w:fill="B8860B" w:val="clear"/>
        </w:rPr>
        <w:t xml:space="preserve">  PARTIAL  </w:t>
      </w:r>
      <w:r>
        <w:t xml:space="preserve">  </w:t>
      </w:r>
      <w:r>
        <w:rPr>
          <w:b/>
          <w:bCs/>
          <w:color w:val="FFFFFF"/>
          <w:shd w:fill="B02A2A" w:val="clear"/>
        </w:rPr>
        <w:t xml:space="preserve">  MISSING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400"/>
        <w:gridCol w:w="2200"/>
      </w:tblGrid>
      <w:tr>
        <w:trPr>
          <w:tblHeader/>
        </w:trPr>
        <w:tc>
          <w:tcPr>
            <w:tcW w:type="dxa" w:w="2600"/>
            <w:shd w:fill="1F3B4D" w:val="clear"/>
            <w:tcMar>
              <w:top w:type="dxa" w:w="80"/>
              <w:left w:type="dxa" w:w="100"/>
              <w:bottom w:type="dxa" w:w="80"/>
              <w:right w:type="dxa" w:w="100"/>
            </w:tcMar>
          </w:tcPr>
          <w:p>
            <w:r>
              <w:rPr>
                <w:b/>
                <w:bCs/>
                <w:color w:val="FFFFFF"/>
                <w:sz w:val="19"/>
                <w:szCs w:val="19"/>
              </w:rPr>
              <w:t xml:space="preserve">Requirement</w:t>
            </w:r>
          </w:p>
        </w:tc>
        <w:tc>
          <w:tcPr>
            <w:tcW w:type="dxa" w:w="1500"/>
            <w:shd w:fill="1F3B4D" w:val="clear"/>
            <w:tcMar>
              <w:top w:type="dxa" w:w="80"/>
              <w:left w:type="dxa" w:w="100"/>
              <w:bottom w:type="dxa" w:w="80"/>
              <w:right w:type="dxa" w:w="100"/>
            </w:tcMar>
          </w:tcPr>
          <w:p>
            <w:r>
              <w:rPr>
                <w:b/>
                <w:bCs/>
                <w:color w:val="FFFFFF"/>
                <w:sz w:val="19"/>
                <w:szCs w:val="19"/>
              </w:rPr>
              <w:t xml:space="preserve">Status</w:t>
            </w:r>
          </w:p>
        </w:tc>
        <w:tc>
          <w:tcPr>
            <w:tcW w:type="dxa" w:w="3400"/>
            <w:shd w:fill="1F3B4D" w:val="clear"/>
            <w:tcMar>
              <w:top w:type="dxa" w:w="80"/>
              <w:left w:type="dxa" w:w="100"/>
              <w:bottom w:type="dxa" w:w="80"/>
              <w:right w:type="dxa" w:w="100"/>
            </w:tcMar>
          </w:tcPr>
          <w:p>
            <w:r>
              <w:rPr>
                <w:b/>
                <w:bCs/>
                <w:color w:val="FFFFFF"/>
                <w:sz w:val="19"/>
                <w:szCs w:val="19"/>
              </w:rPr>
              <w:t xml:space="preserve">Key Gap</w:t>
            </w:r>
          </w:p>
        </w:tc>
        <w:tc>
          <w:tcPr>
            <w:tcW w:type="dxa" w:w="2200"/>
            <w:shd w:fill="1F3B4D" w:val="clear"/>
            <w:tcMar>
              <w:top w:type="dxa" w:w="80"/>
              <w:left w:type="dxa" w:w="100"/>
              <w:bottom w:type="dxa" w:w="80"/>
              <w:right w:type="dxa" w:w="100"/>
            </w:tcMar>
          </w:tcPr>
          <w:p>
            <w:r>
              <w:rPr>
                <w:b/>
                <w:bCs/>
                <w:color w:val="FFFFFF"/>
                <w:sz w:val="19"/>
                <w:szCs w:val="19"/>
              </w:rPr>
              <w:t xml:space="preserve">Effort</w:t>
            </w:r>
          </w:p>
        </w:tc>
      </w:tr>
      <w:tr>
        <w:tc>
          <w:tcPr>
            <w:tcW w:type="dxa" w:w="2600"/>
            <w:shd w:fill="FFFFFF" w:val="clear"/>
            <w:tcMar>
              <w:top w:type="dxa" w:w="70"/>
              <w:left w:type="dxa" w:w="100"/>
              <w:bottom w:type="dxa" w:w="70"/>
              <w:right w:type="dxa" w:w="100"/>
            </w:tcMar>
          </w:tcPr>
          <w:p>
            <w:r>
              <w:rPr>
                <w:sz w:val="19"/>
                <w:szCs w:val="19"/>
              </w:rPr>
              <w:t xml:space="preserve">1. Lead Source Tracking</w:t>
            </w:r>
          </w:p>
        </w:tc>
        <w:tc>
          <w:tcPr>
            <w:tcW w:type="dxa" w:w="1500"/>
            <w:shd w:fill="FFFFFF"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FFFFF" w:val="clear"/>
            <w:tcMar>
              <w:top w:type="dxa" w:w="70"/>
              <w:left w:type="dxa" w:w="100"/>
              <w:bottom w:type="dxa" w:w="70"/>
              <w:right w:type="dxa" w:w="100"/>
            </w:tcMar>
          </w:tcPr>
          <w:p>
            <w:r>
              <w:rPr>
                <w:sz w:val="19"/>
                <w:szCs w:val="19"/>
              </w:rPr>
              <w:t xml:space="preserve">Source field already exists, required, indexed, and admin-configurable via Master Data — but only 6 generic values are seeded (Web/Call/Walk-In/Email/WhatsApp/Referral) vs. the 10 required (Facebook, Instagram, YouTube, WhatsApp, Website, Direct Call, Dealer Reference, Distributor Reference, Existing Customer Reference, Trade Shows).</w:t>
            </w:r>
          </w:p>
        </w:tc>
        <w:tc>
          <w:tcPr>
            <w:tcW w:type="dxa" w:w="2200"/>
            <w:shd w:fill="FFFFFF" w:val="clear"/>
            <w:tcMar>
              <w:top w:type="dxa" w:w="70"/>
              <w:left w:type="dxa" w:w="100"/>
              <w:bottom w:type="dxa" w:w="70"/>
              <w:right w:type="dxa" w:w="100"/>
            </w:tcMar>
          </w:tcPr>
          <w:p>
            <w:r>
              <w:rPr>
                <w:sz w:val="19"/>
                <w:szCs w:val="19"/>
              </w:rPr>
              <w:t xml:space="preserve">Low</w:t>
            </w:r>
          </w:p>
        </w:tc>
      </w:tr>
      <w:tr>
        <w:tc>
          <w:tcPr>
            <w:tcW w:type="dxa" w:w="2600"/>
            <w:shd w:fill="F2F2F2" w:val="clear"/>
            <w:tcMar>
              <w:top w:type="dxa" w:w="70"/>
              <w:left w:type="dxa" w:w="100"/>
              <w:bottom w:type="dxa" w:w="70"/>
              <w:right w:type="dxa" w:w="100"/>
            </w:tcMar>
          </w:tcPr>
          <w:p>
            <w:r>
              <w:rPr>
                <w:sz w:val="19"/>
                <w:szCs w:val="19"/>
              </w:rPr>
              <w:t xml:space="preserve">2. Business Category Classification</w:t>
            </w:r>
          </w:p>
        </w:tc>
        <w:tc>
          <w:tcPr>
            <w:tcW w:type="dxa" w:w="1500"/>
            <w:shd w:fill="F2F2F2"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2F2F2" w:val="clear"/>
            <w:tcMar>
              <w:top w:type="dxa" w:w="70"/>
              <w:left w:type="dxa" w:w="100"/>
              <w:bottom w:type="dxa" w:w="70"/>
              <w:right w:type="dxa" w:w="100"/>
            </w:tcMar>
          </w:tcPr>
          <w:p>
            <w:r>
              <w:rPr>
                <w:sz w:val="19"/>
                <w:szCs w:val="19"/>
              </w:rPr>
              <w:t xml:space="preserve">Category + Product fields exist and are Master-Data driven, but are flat lists with generic values (General/Sales/Support…, Product A/B/C…), not the required 2-level hierarchy (Vertical: Poultry/HoReCa/Export → Sub-category).</w:t>
            </w:r>
          </w:p>
        </w:tc>
        <w:tc>
          <w:tcPr>
            <w:tcW w:type="dxa" w:w="2200"/>
            <w:shd w:fill="F2F2F2" w:val="clear"/>
            <w:tcMar>
              <w:top w:type="dxa" w:w="70"/>
              <w:left w:type="dxa" w:w="100"/>
              <w:bottom w:type="dxa" w:w="70"/>
              <w:right w:type="dxa" w:w="100"/>
            </w:tcMar>
          </w:tcPr>
          <w:p>
            <w:r>
              <w:rPr>
                <w:sz w:val="19"/>
                <w:szCs w:val="19"/>
              </w:rPr>
              <w:t xml:space="preserve">Medium</w:t>
            </w:r>
          </w:p>
        </w:tc>
      </w:tr>
      <w:tr>
        <w:tc>
          <w:tcPr>
            <w:tcW w:type="dxa" w:w="2600"/>
            <w:shd w:fill="FFFFFF" w:val="clear"/>
            <w:tcMar>
              <w:top w:type="dxa" w:w="70"/>
              <w:left w:type="dxa" w:w="100"/>
              <w:bottom w:type="dxa" w:w="70"/>
              <w:right w:type="dxa" w:w="100"/>
            </w:tcMar>
          </w:tcPr>
          <w:p>
            <w:r>
              <w:rPr>
                <w:sz w:val="19"/>
                <w:szCs w:val="19"/>
              </w:rPr>
              <w:t xml:space="preserve">3. Distributor &amp; Dealer Management</w:t>
            </w:r>
          </w:p>
        </w:tc>
        <w:tc>
          <w:tcPr>
            <w:tcW w:type="dxa" w:w="1500"/>
            <w:shd w:fill="FFFFFF" w:val="clear"/>
            <w:tcMar>
              <w:top w:type="dxa" w:w="70"/>
              <w:left w:type="dxa" w:w="100"/>
              <w:bottom w:type="dxa" w:w="70"/>
              <w:right w:type="dxa" w:w="100"/>
            </w:tcMar>
          </w:tcPr>
          <w:p>
            <w:pPr>
              <w:shd w:fill="B02A2A" w:val="clear"/>
            </w:pPr>
            <w:r>
              <w:rPr>
                <w:b/>
                <w:bCs/>
                <w:color w:val="FFFFFF"/>
                <w:sz w:val="18"/>
                <w:szCs w:val="18"/>
              </w:rPr>
              <w:t xml:space="preserve">MISSING</w:t>
            </w:r>
          </w:p>
        </w:tc>
        <w:tc>
          <w:tcPr>
            <w:tcW w:type="dxa" w:w="3400"/>
            <w:shd w:fill="FFFFFF" w:val="clear"/>
            <w:tcMar>
              <w:top w:type="dxa" w:w="70"/>
              <w:left w:type="dxa" w:w="100"/>
              <w:bottom w:type="dxa" w:w="70"/>
              <w:right w:type="dxa" w:w="100"/>
            </w:tcMar>
          </w:tcPr>
          <w:p>
            <w:r>
              <w:rPr>
                <w:sz w:val="19"/>
                <w:szCs w:val="19"/>
              </w:rPr>
              <w:t xml:space="preserve">No Distributor or Dealer entity exists. The existing Location Zone model (pincode/district/city coverage) can be reused for “territory”, but Distributor and Dealer records, their linkage, and CRUD screens do not exist.</w:t>
            </w:r>
          </w:p>
        </w:tc>
        <w:tc>
          <w:tcPr>
            <w:tcW w:type="dxa" w:w="2200"/>
            <w:shd w:fill="FFFFFF" w:val="clear"/>
            <w:tcMar>
              <w:top w:type="dxa" w:w="70"/>
              <w:left w:type="dxa" w:w="100"/>
              <w:bottom w:type="dxa" w:w="70"/>
              <w:right w:type="dxa" w:w="100"/>
            </w:tcMar>
          </w:tcPr>
          <w:p>
            <w:r>
              <w:rPr>
                <w:sz w:val="19"/>
                <w:szCs w:val="19"/>
              </w:rPr>
              <w:t xml:space="preserve">High</w:t>
            </w:r>
          </w:p>
        </w:tc>
      </w:tr>
      <w:tr>
        <w:tc>
          <w:tcPr>
            <w:tcW w:type="dxa" w:w="2600"/>
            <w:shd w:fill="F2F2F2" w:val="clear"/>
            <w:tcMar>
              <w:top w:type="dxa" w:w="70"/>
              <w:left w:type="dxa" w:w="100"/>
              <w:bottom w:type="dxa" w:w="70"/>
              <w:right w:type="dxa" w:w="100"/>
            </w:tcMar>
          </w:tcPr>
          <w:p>
            <w:r>
              <w:rPr>
                <w:sz w:val="19"/>
                <w:szCs w:val="19"/>
              </w:rPr>
              <w:t xml:space="preserve">4. Lead Status Workflow</w:t>
            </w:r>
          </w:p>
        </w:tc>
        <w:tc>
          <w:tcPr>
            <w:tcW w:type="dxa" w:w="1500"/>
            <w:shd w:fill="F2F2F2"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2F2F2" w:val="clear"/>
            <w:tcMar>
              <w:top w:type="dxa" w:w="70"/>
              <w:left w:type="dxa" w:w="100"/>
              <w:bottom w:type="dxa" w:w="70"/>
              <w:right w:type="dxa" w:w="100"/>
            </w:tcMar>
          </w:tcPr>
          <w:p>
            <w:r>
              <w:rPr>
                <w:sz w:val="19"/>
                <w:szCs w:val="19"/>
              </w:rPr>
              <w:t xml:space="preserve">A 7-stage FSM exists (New→Assigned→In Progress→Follow-up→Resolved→Closed→Cancelled) but it's a generic support-ticket lifecycle, not the requested 11-stage sales pipeline. Needs replacement, not addition — touches the status enum, the transition guard, badges, and every report/dashboard that reads status.</w:t>
            </w:r>
          </w:p>
        </w:tc>
        <w:tc>
          <w:tcPr>
            <w:tcW w:type="dxa" w:w="2200"/>
            <w:shd w:fill="F2F2F2" w:val="clear"/>
            <w:tcMar>
              <w:top w:type="dxa" w:w="70"/>
              <w:left w:type="dxa" w:w="100"/>
              <w:bottom w:type="dxa" w:w="70"/>
              <w:right w:type="dxa" w:w="100"/>
            </w:tcMar>
          </w:tcPr>
          <w:p>
            <w:r>
              <w:rPr>
                <w:sz w:val="19"/>
                <w:szCs w:val="19"/>
              </w:rPr>
              <w:t xml:space="preserve">Medium–High</w:t>
            </w:r>
          </w:p>
        </w:tc>
      </w:tr>
      <w:tr>
        <w:tc>
          <w:tcPr>
            <w:tcW w:type="dxa" w:w="2600"/>
            <w:shd w:fill="FFFFFF" w:val="clear"/>
            <w:tcMar>
              <w:top w:type="dxa" w:w="70"/>
              <w:left w:type="dxa" w:w="100"/>
              <w:bottom w:type="dxa" w:w="70"/>
              <w:right w:type="dxa" w:w="100"/>
            </w:tcMar>
          </w:tcPr>
          <w:p>
            <w:r>
              <w:rPr>
                <w:sz w:val="19"/>
                <w:szCs w:val="19"/>
              </w:rPr>
              <w:t xml:space="preserve">5. Follow-Up Management</w:t>
            </w:r>
          </w:p>
        </w:tc>
        <w:tc>
          <w:tcPr>
            <w:tcW w:type="dxa" w:w="1500"/>
            <w:shd w:fill="FFFFFF" w:val="clear"/>
            <w:tcMar>
              <w:top w:type="dxa" w:w="70"/>
              <w:left w:type="dxa" w:w="100"/>
              <w:bottom w:type="dxa" w:w="70"/>
              <w:right w:type="dxa" w:w="100"/>
            </w:tcMar>
          </w:tcPr>
          <w:p>
            <w:pPr>
              <w:shd w:fill="2E6F5E" w:val="clear"/>
            </w:pPr>
            <w:r>
              <w:rPr>
                <w:b/>
                <w:bCs/>
                <w:color w:val="FFFFFF"/>
                <w:sz w:val="18"/>
                <w:szCs w:val="18"/>
              </w:rPr>
              <w:t xml:space="preserve">BUILT</w:t>
            </w:r>
          </w:p>
        </w:tc>
        <w:tc>
          <w:tcPr>
            <w:tcW w:type="dxa" w:w="3400"/>
            <w:shd w:fill="FFFFFF" w:val="clear"/>
            <w:tcMar>
              <w:top w:type="dxa" w:w="70"/>
              <w:left w:type="dxa" w:w="100"/>
              <w:bottom w:type="dxa" w:w="70"/>
              <w:right w:type="dxa" w:w="100"/>
            </w:tcMar>
          </w:tcPr>
          <w:p>
            <w:r>
              <w:rPr>
                <w:sz w:val="19"/>
                <w:szCs w:val="19"/>
              </w:rPr>
              <w:t xml:space="preserve">Already comprehensive: date+time scheduling, notes, reminders (reminderAt/sent/dismissed), next-follow-up date &amp; type, and dedicated Today/Overdue/Pending views. Only gap: a free-text “Next Action” note field (currently only a type + date hint).</w:t>
            </w:r>
          </w:p>
        </w:tc>
        <w:tc>
          <w:tcPr>
            <w:tcW w:type="dxa" w:w="2200"/>
            <w:shd w:fill="FFFFFF" w:val="clear"/>
            <w:tcMar>
              <w:top w:type="dxa" w:w="70"/>
              <w:left w:type="dxa" w:w="100"/>
              <w:bottom w:type="dxa" w:w="70"/>
              <w:right w:type="dxa" w:w="100"/>
            </w:tcMar>
          </w:tcPr>
          <w:p>
            <w:r>
              <w:rPr>
                <w:sz w:val="19"/>
                <w:szCs w:val="19"/>
              </w:rPr>
              <w:t xml:space="preserve">Low</w:t>
            </w:r>
          </w:p>
        </w:tc>
      </w:tr>
      <w:tr>
        <w:tc>
          <w:tcPr>
            <w:tcW w:type="dxa" w:w="2600"/>
            <w:shd w:fill="F2F2F2" w:val="clear"/>
            <w:tcMar>
              <w:top w:type="dxa" w:w="70"/>
              <w:left w:type="dxa" w:w="100"/>
              <w:bottom w:type="dxa" w:w="70"/>
              <w:right w:type="dxa" w:w="100"/>
            </w:tcMar>
          </w:tcPr>
          <w:p>
            <w:r>
              <w:rPr>
                <w:sz w:val="19"/>
                <w:szCs w:val="19"/>
              </w:rPr>
              <w:t xml:space="preserve">6. Customer Database Management</w:t>
            </w:r>
          </w:p>
        </w:tc>
        <w:tc>
          <w:tcPr>
            <w:tcW w:type="dxa" w:w="1500"/>
            <w:shd w:fill="F2F2F2" w:val="clear"/>
            <w:tcMar>
              <w:top w:type="dxa" w:w="70"/>
              <w:left w:type="dxa" w:w="100"/>
              <w:bottom w:type="dxa" w:w="70"/>
              <w:right w:type="dxa" w:w="100"/>
            </w:tcMar>
          </w:tcPr>
          <w:p>
            <w:pPr>
              <w:shd w:fill="B02A2A" w:val="clear"/>
            </w:pPr>
            <w:r>
              <w:rPr>
                <w:b/>
                <w:bCs/>
                <w:color w:val="FFFFFF"/>
                <w:sz w:val="18"/>
                <w:szCs w:val="18"/>
              </w:rPr>
              <w:t xml:space="preserve">MISSING</w:t>
            </w:r>
          </w:p>
        </w:tc>
        <w:tc>
          <w:tcPr>
            <w:tcW w:type="dxa" w:w="3400"/>
            <w:shd w:fill="F2F2F2" w:val="clear"/>
            <w:tcMar>
              <w:top w:type="dxa" w:w="70"/>
              <w:left w:type="dxa" w:w="100"/>
              <w:bottom w:type="dxa" w:w="70"/>
              <w:right w:type="dxa" w:w="100"/>
            </w:tcMar>
          </w:tcPr>
          <w:p>
            <w:r>
              <w:rPr>
                <w:sz w:val="19"/>
                <w:szCs w:val="19"/>
              </w:rPr>
              <w:t xml:space="preserve">No separate Customer entity — customer data lives only inline on each enquiry, with no dedupe, no purchase history, and no auto-conversion when a lead is won. This blocks Requirements 3, 7, 8, 9, 10 and 11 downstream.</w:t>
            </w:r>
          </w:p>
        </w:tc>
        <w:tc>
          <w:tcPr>
            <w:tcW w:type="dxa" w:w="2200"/>
            <w:shd w:fill="F2F2F2" w:val="clear"/>
            <w:tcMar>
              <w:top w:type="dxa" w:w="70"/>
              <w:left w:type="dxa" w:w="100"/>
              <w:bottom w:type="dxa" w:w="70"/>
              <w:right w:type="dxa" w:w="100"/>
            </w:tcMar>
          </w:tcPr>
          <w:p>
            <w:r>
              <w:rPr>
                <w:sz w:val="19"/>
                <w:szCs w:val="19"/>
              </w:rPr>
              <w:t xml:space="preserve">High</w:t>
            </w:r>
          </w:p>
        </w:tc>
      </w:tr>
      <w:tr>
        <w:tc>
          <w:tcPr>
            <w:tcW w:type="dxa" w:w="2600"/>
            <w:shd w:fill="FFFFFF" w:val="clear"/>
            <w:tcMar>
              <w:top w:type="dxa" w:w="70"/>
              <w:left w:type="dxa" w:w="100"/>
              <w:bottom w:type="dxa" w:w="70"/>
              <w:right w:type="dxa" w:w="100"/>
            </w:tcMar>
          </w:tcPr>
          <w:p>
            <w:r>
              <w:rPr>
                <w:sz w:val="19"/>
                <w:szCs w:val="19"/>
              </w:rPr>
              <w:t xml:space="preserve">7. Field Visit Tracking</w:t>
            </w:r>
          </w:p>
        </w:tc>
        <w:tc>
          <w:tcPr>
            <w:tcW w:type="dxa" w:w="1500"/>
            <w:shd w:fill="FFFFFF" w:val="clear"/>
            <w:tcMar>
              <w:top w:type="dxa" w:w="70"/>
              <w:left w:type="dxa" w:w="100"/>
              <w:bottom w:type="dxa" w:w="70"/>
              <w:right w:type="dxa" w:w="100"/>
            </w:tcMar>
          </w:tcPr>
          <w:p>
            <w:pPr>
              <w:shd w:fill="B02A2A" w:val="clear"/>
            </w:pPr>
            <w:r>
              <w:rPr>
                <w:b/>
                <w:bCs/>
                <w:color w:val="FFFFFF"/>
                <w:sz w:val="18"/>
                <w:szCs w:val="18"/>
              </w:rPr>
              <w:t xml:space="preserve">MISSING</w:t>
            </w:r>
          </w:p>
        </w:tc>
        <w:tc>
          <w:tcPr>
            <w:tcW w:type="dxa" w:w="3400"/>
            <w:shd w:fill="FFFFFF" w:val="clear"/>
            <w:tcMar>
              <w:top w:type="dxa" w:w="70"/>
              <w:left w:type="dxa" w:w="100"/>
              <w:bottom w:type="dxa" w:w="70"/>
              <w:right w:type="dxa" w:w="100"/>
            </w:tcMar>
          </w:tcPr>
          <w:p>
            <w:r>
              <w:rPr>
                <w:sz w:val="19"/>
                <w:szCs w:val="19"/>
              </w:rPr>
              <w:t xml:space="preserve">No visit entity. The existing file-attachment pattern (used on enquiries/follow-ups) is reusable for photo upload, but GPS capture, visit types, and a mobile capture flow don't exist yet. Also needs a decision on binary file storage (see Section 5).</w:t>
            </w:r>
          </w:p>
        </w:tc>
        <w:tc>
          <w:tcPr>
            <w:tcW w:type="dxa" w:w="2200"/>
            <w:shd w:fill="FFFFFF" w:val="clear"/>
            <w:tcMar>
              <w:top w:type="dxa" w:w="70"/>
              <w:left w:type="dxa" w:w="100"/>
              <w:bottom w:type="dxa" w:w="70"/>
              <w:right w:type="dxa" w:w="100"/>
            </w:tcMar>
          </w:tcPr>
          <w:p>
            <w:r>
              <w:rPr>
                <w:sz w:val="19"/>
                <w:szCs w:val="19"/>
              </w:rPr>
              <w:t xml:space="preserve">High</w:t>
            </w:r>
          </w:p>
        </w:tc>
      </w:tr>
      <w:tr>
        <w:tc>
          <w:tcPr>
            <w:tcW w:type="dxa" w:w="2600"/>
            <w:shd w:fill="F2F2F2" w:val="clear"/>
            <w:tcMar>
              <w:top w:type="dxa" w:w="70"/>
              <w:left w:type="dxa" w:w="100"/>
              <w:bottom w:type="dxa" w:w="70"/>
              <w:right w:type="dxa" w:w="100"/>
            </w:tcMar>
          </w:tcPr>
          <w:p>
            <w:r>
              <w:rPr>
                <w:sz w:val="19"/>
                <w:szCs w:val="19"/>
              </w:rPr>
              <w:t xml:space="preserve">8. Performance Dashboards</w:t>
            </w:r>
          </w:p>
        </w:tc>
        <w:tc>
          <w:tcPr>
            <w:tcW w:type="dxa" w:w="1500"/>
            <w:shd w:fill="F2F2F2"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2F2F2" w:val="clear"/>
            <w:tcMar>
              <w:top w:type="dxa" w:w="70"/>
              <w:left w:type="dxa" w:w="100"/>
              <w:bottom w:type="dxa" w:w="70"/>
              <w:right w:type="dxa" w:w="100"/>
            </w:tcMar>
          </w:tcPr>
          <w:p>
            <w:r>
              <w:rPr>
                <w:sz w:val="19"/>
                <w:szCs w:val="19"/>
              </w:rPr>
              <w:t xml:space="preserve">Staff dashboard and reports (incl. conversion %) are fully built. Marketing dashboard is ~80% covered by existing source/conversion aggregations, needs assembly into one view. Dealer and Distributor dashboards are blocked entirely on Requirement 3, and “Revenue Generated” needs an order-value field that doesn't exist yet.</w:t>
            </w:r>
          </w:p>
        </w:tc>
        <w:tc>
          <w:tcPr>
            <w:tcW w:type="dxa" w:w="2200"/>
            <w:shd w:fill="F2F2F2" w:val="clear"/>
            <w:tcMar>
              <w:top w:type="dxa" w:w="70"/>
              <w:left w:type="dxa" w:w="100"/>
              <w:bottom w:type="dxa" w:w="70"/>
              <w:right w:type="dxa" w:w="100"/>
            </w:tcMar>
          </w:tcPr>
          <w:p>
            <w:r>
              <w:rPr>
                <w:sz w:val="19"/>
                <w:szCs w:val="19"/>
              </w:rPr>
              <w:t xml:space="preserve">Low–High (mixed)</w:t>
            </w:r>
          </w:p>
        </w:tc>
      </w:tr>
      <w:tr>
        <w:tc>
          <w:tcPr>
            <w:tcW w:type="dxa" w:w="2600"/>
            <w:shd w:fill="FFFFFF" w:val="clear"/>
            <w:tcMar>
              <w:top w:type="dxa" w:w="70"/>
              <w:left w:type="dxa" w:w="100"/>
              <w:bottom w:type="dxa" w:w="70"/>
              <w:right w:type="dxa" w:w="100"/>
            </w:tcMar>
          </w:tcPr>
          <w:p>
            <w:r>
              <w:rPr>
                <w:sz w:val="19"/>
                <w:szCs w:val="19"/>
              </w:rPr>
              <w:t xml:space="preserve">9. Lead Escalation System</w:t>
            </w:r>
          </w:p>
        </w:tc>
        <w:tc>
          <w:tcPr>
            <w:tcW w:type="dxa" w:w="1500"/>
            <w:shd w:fill="FFFFFF" w:val="clear"/>
            <w:tcMar>
              <w:top w:type="dxa" w:w="70"/>
              <w:left w:type="dxa" w:w="100"/>
              <w:bottom w:type="dxa" w:w="70"/>
              <w:right w:type="dxa" w:w="100"/>
            </w:tcMar>
          </w:tcPr>
          <w:p>
            <w:pPr>
              <w:shd w:fill="B02A2A" w:val="clear"/>
            </w:pPr>
            <w:r>
              <w:rPr>
                <w:b/>
                <w:bCs/>
                <w:color w:val="FFFFFF"/>
                <w:sz w:val="18"/>
                <w:szCs w:val="18"/>
              </w:rPr>
              <w:t xml:space="preserve">MISSING</w:t>
            </w:r>
          </w:p>
        </w:tc>
        <w:tc>
          <w:tcPr>
            <w:tcW w:type="dxa" w:w="3400"/>
            <w:shd w:fill="FFFFFF" w:val="clear"/>
            <w:tcMar>
              <w:top w:type="dxa" w:w="70"/>
              <w:left w:type="dxa" w:w="100"/>
              <w:bottom w:type="dxa" w:w="70"/>
              <w:right w:type="dxa" w:w="100"/>
            </w:tcMar>
          </w:tcPr>
          <w:p>
            <w:r>
              <w:rPr>
                <w:sz w:val="19"/>
                <w:szCs w:val="19"/>
              </w:rPr>
              <w:t xml:space="preserve">“Escalated” exists only as a manual tag a staff member can select — there is no time-based automation. The app currently has no background job runner at all (everything is request-driven), so this also introduces new infrastructure.</w:t>
            </w:r>
          </w:p>
        </w:tc>
        <w:tc>
          <w:tcPr>
            <w:tcW w:type="dxa" w:w="2200"/>
            <w:shd w:fill="FFFFFF" w:val="clear"/>
            <w:tcMar>
              <w:top w:type="dxa" w:w="70"/>
              <w:left w:type="dxa" w:w="100"/>
              <w:bottom w:type="dxa" w:w="70"/>
              <w:right w:type="dxa" w:w="100"/>
            </w:tcMar>
          </w:tcPr>
          <w:p>
            <w:r>
              <w:rPr>
                <w:sz w:val="19"/>
                <w:szCs w:val="19"/>
              </w:rPr>
              <w:t xml:space="preserve">Medium–High</w:t>
            </w:r>
          </w:p>
        </w:tc>
      </w:tr>
      <w:tr>
        <w:tc>
          <w:tcPr>
            <w:tcW w:type="dxa" w:w="2600"/>
            <w:shd w:fill="F2F2F2" w:val="clear"/>
            <w:tcMar>
              <w:top w:type="dxa" w:w="70"/>
              <w:left w:type="dxa" w:w="100"/>
              <w:bottom w:type="dxa" w:w="70"/>
              <w:right w:type="dxa" w:w="100"/>
            </w:tcMar>
          </w:tcPr>
          <w:p>
            <w:r>
              <w:rPr>
                <w:sz w:val="19"/>
                <w:szCs w:val="19"/>
              </w:rPr>
              <w:t xml:space="preserve">10. Customer Complaint Module</w:t>
            </w:r>
          </w:p>
        </w:tc>
        <w:tc>
          <w:tcPr>
            <w:tcW w:type="dxa" w:w="1500"/>
            <w:shd w:fill="F2F2F2" w:val="clear"/>
            <w:tcMar>
              <w:top w:type="dxa" w:w="70"/>
              <w:left w:type="dxa" w:w="100"/>
              <w:bottom w:type="dxa" w:w="70"/>
              <w:right w:type="dxa" w:w="100"/>
            </w:tcMar>
          </w:tcPr>
          <w:p>
            <w:pPr>
              <w:shd w:fill="B02A2A" w:val="clear"/>
            </w:pPr>
            <w:r>
              <w:rPr>
                <w:b/>
                <w:bCs/>
                <w:color w:val="FFFFFF"/>
                <w:sz w:val="18"/>
                <w:szCs w:val="18"/>
              </w:rPr>
              <w:t xml:space="preserve">MISSING</w:t>
            </w:r>
          </w:p>
        </w:tc>
        <w:tc>
          <w:tcPr>
            <w:tcW w:type="dxa" w:w="3400"/>
            <w:shd w:fill="F2F2F2" w:val="clear"/>
            <w:tcMar>
              <w:top w:type="dxa" w:w="70"/>
              <w:left w:type="dxa" w:w="100"/>
              <w:bottom w:type="dxa" w:w="70"/>
              <w:right w:type="dxa" w:w="100"/>
            </w:tcMar>
          </w:tcPr>
          <w:p>
            <w:r>
              <w:rPr>
                <w:sz w:val="19"/>
                <w:szCs w:val="19"/>
              </w:rPr>
              <w:t xml:space="preserve">“Complaint” exists only as one category value; there is no dedicated complaint entity, status workflow, or resolution tracking. Structurally this is a close copy of the existing Enquiry+Follow-up pattern.</w:t>
            </w:r>
          </w:p>
        </w:tc>
        <w:tc>
          <w:tcPr>
            <w:tcW w:type="dxa" w:w="2200"/>
            <w:shd w:fill="F2F2F2" w:val="clear"/>
            <w:tcMar>
              <w:top w:type="dxa" w:w="70"/>
              <w:left w:type="dxa" w:w="100"/>
              <w:bottom w:type="dxa" w:w="70"/>
              <w:right w:type="dxa" w:w="100"/>
            </w:tcMar>
          </w:tcPr>
          <w:p>
            <w:r>
              <w:rPr>
                <w:sz w:val="19"/>
                <w:szCs w:val="19"/>
              </w:rPr>
              <w:t xml:space="preserve">Medium</w:t>
            </w:r>
          </w:p>
        </w:tc>
      </w:tr>
      <w:tr>
        <w:tc>
          <w:tcPr>
            <w:tcW w:type="dxa" w:w="2600"/>
            <w:shd w:fill="FFFFFF" w:val="clear"/>
            <w:tcMar>
              <w:top w:type="dxa" w:w="70"/>
              <w:left w:type="dxa" w:w="100"/>
              <w:bottom w:type="dxa" w:w="70"/>
              <w:right w:type="dxa" w:w="100"/>
            </w:tcMar>
          </w:tcPr>
          <w:p>
            <w:r>
              <w:rPr>
                <w:sz w:val="19"/>
                <w:szCs w:val="19"/>
              </w:rPr>
              <w:t xml:space="preserve">11. Mobile-Friendly Dashboard</w:t>
            </w:r>
          </w:p>
        </w:tc>
        <w:tc>
          <w:tcPr>
            <w:tcW w:type="dxa" w:w="1500"/>
            <w:shd w:fill="FFFFFF"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FFFFF" w:val="clear"/>
            <w:tcMar>
              <w:top w:type="dxa" w:w="70"/>
              <w:left w:type="dxa" w:w="100"/>
              <w:bottom w:type="dxa" w:w="70"/>
              <w:right w:type="dxa" w:w="100"/>
            </w:tcMar>
          </w:tcPr>
          <w:p>
            <w:r>
              <w:rPr>
                <w:sz w:val="19"/>
                <w:szCs w:val="19"/>
              </w:rPr>
              <w:t xml:space="preserve">The app is already responsive (dedicated mobile nav component, responsive hooks/utility classes, server-rendered pages work in any mobile browser). Most requested KPIs already exist; Monthly Orders, Monthly Sales Value, Best Dealer and Best Distributor depend on Requirements 3 and 6.</w:t>
            </w:r>
          </w:p>
        </w:tc>
        <w:tc>
          <w:tcPr>
            <w:tcW w:type="dxa" w:w="2200"/>
            <w:shd w:fill="FFFFFF" w:val="clear"/>
            <w:tcMar>
              <w:top w:type="dxa" w:w="70"/>
              <w:left w:type="dxa" w:w="100"/>
              <w:bottom w:type="dxa" w:w="70"/>
              <w:right w:type="dxa" w:w="100"/>
            </w:tcMar>
          </w:tcPr>
          <w:p>
            <w:r>
              <w:rPr>
                <w:sz w:val="19"/>
                <w:szCs w:val="19"/>
              </w:rPr>
              <w:t xml:space="preserve">Low (infra) / Medium (new KPIs)</w:t>
            </w:r>
          </w:p>
        </w:tc>
      </w:tr>
      <w:tr>
        <w:tc>
          <w:tcPr>
            <w:tcW w:type="dxa" w:w="2600"/>
            <w:shd w:fill="F2F2F2" w:val="clear"/>
            <w:tcMar>
              <w:top w:type="dxa" w:w="70"/>
              <w:left w:type="dxa" w:w="100"/>
              <w:bottom w:type="dxa" w:w="70"/>
              <w:right w:type="dxa" w:w="100"/>
            </w:tcMar>
          </w:tcPr>
          <w:p>
            <w:r>
              <w:rPr>
                <w:sz w:val="19"/>
                <w:szCs w:val="19"/>
              </w:rPr>
              <w:t xml:space="preserve">12. Future Integration Readiness</w:t>
            </w:r>
          </w:p>
        </w:tc>
        <w:tc>
          <w:tcPr>
            <w:tcW w:type="dxa" w:w="1500"/>
            <w:shd w:fill="F2F2F2" w:val="clear"/>
            <w:tcMar>
              <w:top w:type="dxa" w:w="70"/>
              <w:left w:type="dxa" w:w="100"/>
              <w:bottom w:type="dxa" w:w="70"/>
              <w:right w:type="dxa" w:w="100"/>
            </w:tcMar>
          </w:tcPr>
          <w:p>
            <w:pPr>
              <w:shd w:fill="B8860B" w:val="clear"/>
            </w:pPr>
            <w:r>
              <w:rPr>
                <w:b/>
                <w:bCs/>
                <w:color w:val="FFFFFF"/>
                <w:sz w:val="18"/>
                <w:szCs w:val="18"/>
              </w:rPr>
              <w:t xml:space="preserve">PARTIAL</w:t>
            </w:r>
          </w:p>
        </w:tc>
        <w:tc>
          <w:tcPr>
            <w:tcW w:type="dxa" w:w="3400"/>
            <w:shd w:fill="F2F2F2" w:val="clear"/>
            <w:tcMar>
              <w:top w:type="dxa" w:w="70"/>
              <w:left w:type="dxa" w:w="100"/>
              <w:bottom w:type="dxa" w:w="70"/>
              <w:right w:type="dxa" w:w="100"/>
            </w:tcMar>
          </w:tcPr>
          <w:p>
            <w:r>
              <w:rPr>
                <w:sz w:val="19"/>
                <w:szCs w:val="19"/>
              </w:rPr>
              <w:t xml:space="preserve">Not a Phase-1 build item by the client's own note. The current feature-folder + server-action architecture is already reasonably adapter-friendly; a few defensive design choices now (below) avoid expensive rework later.</w:t>
            </w:r>
          </w:p>
        </w:tc>
        <w:tc>
          <w:tcPr>
            <w:tcW w:type="dxa" w:w="2200"/>
            <w:shd w:fill="F2F2F2" w:val="clear"/>
            <w:tcMar>
              <w:top w:type="dxa" w:w="70"/>
              <w:left w:type="dxa" w:w="100"/>
              <w:bottom w:type="dxa" w:w="70"/>
              <w:right w:type="dxa" w:w="100"/>
            </w:tcMar>
          </w:tcPr>
          <w:p>
            <w:r>
              <w:rPr>
                <w:sz w:val="19"/>
                <w:szCs w:val="19"/>
              </w:rPr>
              <w:t xml:space="preserve">Low (now) / deferred (integrations themselves)</w:t>
            </w:r>
          </w:p>
        </w:tc>
      </w:tr>
    </w:tbl>
    <w:p>
      <w:r>
        <w:br w:type="page"/>
      </w:r>
    </w:p>
    <w:p>
      <w:pPr>
        <w:pStyle w:val="Heading1"/>
        <w:spacing w:after="160" w:before="360"/>
      </w:pPr>
      <w:r>
        <w:t xml:space="preserve">3. New Data Model — What Needs to Be Built</w:t>
      </w:r>
    </w:p>
    <w:p>
      <w:pPr>
        <w:spacing w:after="160"/>
      </w:pPr>
      <w:r>
        <w:t xml:space="preserve">Four new entities are needed. All four follow the same pattern already used throughout the codebase (Mongoose schema + indexes + a feature folder with actions/validations/components), so implementation risk is low — this is proven pattern replication, not new architecture.</w:t>
      </w:r>
    </w:p>
    <w:p>
      <w:pPr>
        <w:pStyle w:val="Heading2"/>
        <w:spacing w:after="120" w:before="260"/>
      </w:pPr>
      <w:r>
        <w:t xml:space="preserve">3.1 Distributor</w:t>
      </w:r>
    </w:p>
    <w:p>
      <w:pPr>
        <w:pStyle w:val="ListParagraph"/>
        <w:numPr>
          <w:ilvl w:val="0"/>
          <w:numId w:val="1"/>
        </w:numPr>
        <w:spacing w:after="60"/>
      </w:pPr>
      <w:r>
        <w:t xml:space="preserve">Name, territory (link to existing Location Zone, or district/pincode list), contact details</w:t>
      </w:r>
    </w:p>
    <w:p>
      <w:pPr>
        <w:pStyle w:val="ListParagraph"/>
        <w:numPr>
          <w:ilvl w:val="0"/>
          <w:numId w:val="1"/>
        </w:numPr>
        <w:spacing w:after="60"/>
      </w:pPr>
      <w:r>
        <w:t xml:space="preserve">assignedDistricts[] and assignedDealers[] (reverse-populated from Dealer)</w:t>
      </w:r>
    </w:p>
    <w:p>
      <w:pPr>
        <w:pStyle w:val="ListParagraph"/>
        <w:numPr>
          <w:ilvl w:val="0"/>
          <w:numId w:val="1"/>
        </w:numPr>
        <w:spacing w:after="60"/>
      </w:pPr>
      <w:r>
        <w:t xml:space="preserve">Linked to Enquiry via a new distributorId reference, and to a new Assignment-style history for distributor-level lead routing</w:t>
      </w:r>
    </w:p>
    <w:p>
      <w:pPr>
        <w:pStyle w:val="Heading2"/>
        <w:spacing w:after="120" w:before="260"/>
      </w:pPr>
      <w:r>
        <w:t xml:space="preserve">3.2 Dealer</w:t>
      </w:r>
    </w:p>
    <w:p>
      <w:pPr>
        <w:pStyle w:val="ListParagraph"/>
        <w:numPr>
          <w:ilvl w:val="0"/>
          <w:numId w:val="1"/>
        </w:numPr>
        <w:spacing w:after="60"/>
      </w:pPr>
      <w:r>
        <w:t xml:space="preserve">Name, distributorId (reference to Distributor), contact details, serviceLocations[]</w:t>
      </w:r>
    </w:p>
    <w:p>
      <w:pPr>
        <w:pStyle w:val="ListParagraph"/>
        <w:numPr>
          <w:ilvl w:val="0"/>
          <w:numId w:val="1"/>
        </w:numPr>
        <w:spacing w:after="60"/>
      </w:pPr>
      <w:r>
        <w:t xml:space="preserve">Linked to Enquiry via a new dealerId reference</w:t>
      </w:r>
    </w:p>
    <w:p>
      <w:pPr>
        <w:pStyle w:val="Heading2"/>
        <w:spacing w:after="120" w:before="260"/>
      </w:pPr>
      <w:r>
        <w:t xml:space="preserve">3.3 Customer</w:t>
      </w:r>
    </w:p>
    <w:p>
      <w:pPr>
        <w:pStyle w:val="ListParagraph"/>
        <w:numPr>
          <w:ilvl w:val="0"/>
          <w:numId w:val="1"/>
        </w:numPr>
        <w:spacing w:after="60"/>
      </w:pPr>
      <w:r>
        <w:t xml:space="preserve">Created automatically when an Enquiry reaches “Order Confirmed” (dedupe key: phone number)</w:t>
      </w:r>
    </w:p>
    <w:p>
      <w:pPr>
        <w:pStyle w:val="ListParagraph"/>
        <w:numPr>
          <w:ilvl w:val="0"/>
          <w:numId w:val="1"/>
        </w:numPr>
        <w:spacing w:after="60"/>
      </w:pPr>
      <w:r>
        <w:t xml:space="preserve">Profile, purchaseHistory[] (or a separate Order collection if line-item detail is needed later), productCategory, territory, assignedDealerId, assignedDistributorId</w:t>
      </w:r>
    </w:p>
    <w:p>
      <w:pPr>
        <w:pStyle w:val="ListParagraph"/>
        <w:numPr>
          <w:ilvl w:val="0"/>
          <w:numId w:val="1"/>
        </w:numPr>
        <w:spacing w:after="60"/>
      </w:pPr>
      <w:r>
        <w:t xml:space="preserve">repeatCustomer flag set automatically the second time a Customer record converts a new lead — see open question in Section 8</w:t>
      </w:r>
    </w:p>
    <w:p>
      <w:pPr>
        <w:pStyle w:val="ListParagraph"/>
        <w:numPr>
          <w:ilvl w:val="0"/>
          <w:numId w:val="1"/>
        </w:numPr>
        <w:spacing w:after="60"/>
      </w:pPr>
      <w:r>
        <w:t xml:space="preserve">This entity unblocks Requirements 3 (dealer/distributor dashboards), 7 (visit target), 8 (revenue metrics), 9 (complaint linkage), and 11 (mobile KPIs)</w:t>
      </w:r>
    </w:p>
    <w:p>
      <w:pPr>
        <w:pStyle w:val="Heading2"/>
        <w:spacing w:after="120" w:before="260"/>
      </w:pPr>
      <w:r>
        <w:t xml:space="preserve">3.4 Field Visit</w:t>
      </w:r>
    </w:p>
    <w:p>
      <w:pPr>
        <w:pStyle w:val="ListParagraph"/>
        <w:numPr>
          <w:ilvl w:val="0"/>
          <w:numId w:val="1"/>
        </w:numPr>
        <w:spacing w:after="60"/>
      </w:pPr>
      <w:r>
        <w:t xml:space="preserve">visitDate, linked customer/enquiry, performing staff/dealer/distributor, visitNotes</w:t>
      </w:r>
    </w:p>
    <w:p>
      <w:pPr>
        <w:pStyle w:val="ListParagraph"/>
        <w:numPr>
          <w:ilvl w:val="0"/>
          <w:numId w:val="1"/>
        </w:numPr>
        <w:spacing w:after="60"/>
      </w:pPr>
      <w:r>
        <w:t xml:space="preserve">gpsLat / gpsLng captured via the browser Geolocation API (requires HTTPS + user permission)</w:t>
      </w:r>
    </w:p>
    <w:p>
      <w:pPr>
        <w:pStyle w:val="ListParagraph"/>
        <w:numPr>
          <w:ilvl w:val="0"/>
          <w:numId w:val="1"/>
        </w:numPr>
        <w:spacing w:after="60"/>
      </w:pPr>
      <w:r>
        <w:t xml:space="preserve">photos[] reusing the existing attachment sub-schema pattern</w:t>
      </w:r>
    </w:p>
    <w:p>
      <w:pPr>
        <w:pStyle w:val="ListParagraph"/>
        <w:numPr>
          <w:ilvl w:val="0"/>
          <w:numId w:val="1"/>
        </w:numPr>
        <w:spacing w:after="60"/>
      </w:pPr>
      <w:r>
        <w:t xml:space="preserve">visitType enum: Poultry Farm Visit, Hotel Visit, Restaurant Visit, Dealer Visit, Distributor Visit</w:t>
      </w:r>
    </w:p>
    <w:p>
      <w:pPr>
        <w:pStyle w:val="Heading2"/>
        <w:spacing w:after="120" w:before="260"/>
      </w:pPr>
      <w:r>
        <w:t xml:space="preserve">3.5 Customer Complaint</w:t>
      </w:r>
    </w:p>
    <w:p>
      <w:pPr>
        <w:pStyle w:val="ListParagraph"/>
        <w:numPr>
          <w:ilvl w:val="0"/>
          <w:numId w:val="1"/>
        </w:numPr>
        <w:spacing w:after="60"/>
      </w:pPr>
      <w:r>
        <w:t xml:space="preserve">type: Product / Delivery / Service</w:t>
      </w:r>
    </w:p>
    <w:p>
      <w:pPr>
        <w:pStyle w:val="ListParagraph"/>
        <w:numPr>
          <w:ilvl w:val="0"/>
          <w:numId w:val="1"/>
        </w:numPr>
        <w:spacing w:after="60"/>
      </w:pPr>
      <w:r>
        <w:t xml:space="preserve">Linked to Customer/Enquiry/Order, complaintDate, status FSM (Open → In Progress → Resolved → Closed), resolutionNotes</w:t>
      </w:r>
    </w:p>
    <w:p>
      <w:pPr>
        <w:pStyle w:val="ListParagraph"/>
        <w:numPr>
          <w:ilvl w:val="0"/>
          <w:numId w:val="1"/>
        </w:numPr>
        <w:spacing w:after="60"/>
      </w:pPr>
      <w:r>
        <w:t xml:space="preserve">Structurally a close copy of the existing Enquiry+Follow-up code pattern — lowest-risk of the new modules</w:t>
      </w:r>
    </w:p>
    <w:p>
      <w:pPr>
        <w:pStyle w:val="Heading1"/>
        <w:spacing w:after="160" w:before="360"/>
      </w:pPr>
      <w:r>
        <w:t xml:space="preserve">4. Changes to Existing Modules</w:t>
      </w:r>
    </w:p>
    <w:p>
      <w:pPr>
        <w:pStyle w:val="Heading2"/>
        <w:spacing w:after="120" w:before="260"/>
      </w:pPr>
      <w:r>
        <w:t xml:space="preserve">4.1 Lead Status Workflow (Requirement 4)</w:t>
      </w:r>
    </w:p>
    <w:p>
      <w:pPr>
        <w:spacing w:after="160"/>
      </w:pPr>
      <w:r>
        <w:t xml:space="preserve">The status enum, its transition-guard, the status badge component, and every dashboard/report that reads status (conversion funnel, staff scoring, zone performance) need to move from the current 7-stage support FSM to the 11-stage sales pipeline: New Lead → Assigned → Contacted → Interested → Visit Planned → Quotation Sent → Negotiation → Order Confirmed → Delivered → Repeat Customer → Lost.</w:t>
      </w:r>
    </w:p>
    <w:p>
      <w:pPr>
        <w:spacing w:after="160"/>
      </w:pPr>
      <w:r>
        <w:t xml:space="preserve">Open design question flagged in Section 8: whether “Repeat Customer” is a dead-end lead status or a Customer-level flag that starts a fresh lead cycle. Recommend the latter.</w:t>
      </w:r>
    </w:p>
    <w:p>
      <w:pPr>
        <w:pStyle w:val="Heading2"/>
        <w:spacing w:after="120" w:before="260"/>
      </w:pPr>
      <w:r>
        <w:t xml:space="preserve">4.2 Lead Source &amp; Category (Requirements 1 &amp; 2)</w:t>
      </w:r>
    </w:p>
    <w:p>
      <w:pPr>
        <w:spacing w:after="160"/>
      </w:pPr>
      <w:r>
        <w:t xml:space="preserve">Both are Master-Data driven today, which is good news — no schema change needed for the source list, only a re-seed with the 10 required values plus a “channel group” tag (Digital / Referral / Offline) for marketing roll-ups.</w:t>
      </w:r>
    </w:p>
    <w:p>
      <w:pPr>
        <w:spacing w:after="160"/>
      </w:pPr>
      <w:r>
        <w:t xml:space="preserve">Category needs one schema addition: a parentCode field on Master Data entries so a sub-category (e.g. “Brooders”) can declare its parent vertical (“Poultry”), enabling a cascading Vertical → Sub-category picker in the enquiry form, matching the 3-vertical / 11-sub-category structure requested.</w:t>
      </w:r>
    </w:p>
    <w:p>
      <w:pPr>
        <w:pStyle w:val="Heading2"/>
        <w:spacing w:after="120" w:before="260"/>
      </w:pPr>
      <w:r>
        <w:t xml:space="preserve">4.3 Reporting &amp; Dashboards (Requirement 8)</w:t>
      </w:r>
    </w:p>
    <w:p>
      <w:pPr>
        <w:spacing w:after="160"/>
      </w:pPr>
      <w:r>
        <w:t xml:space="preserve">The reporting layer already aggregates by source, status, zone, and staff — extending it to Dealer/Distributor and to a dedicated Marketing view is additive work on an existing, well-structured aggregation layer, not a rebuild.</w:t>
      </w:r>
    </w:p>
    <w:p>
      <w:pPr>
        <w:pStyle w:val="Heading1"/>
        <w:spacing w:after="160" w:before="360"/>
      </w:pPr>
      <w:r>
        <w:t xml:space="preserve">5. New Infrastructure Required</w:t>
      </w:r>
    </w:p>
    <w:p>
      <w:pPr>
        <w:pStyle w:val="Heading3"/>
        <w:spacing w:after="100" w:before="200"/>
      </w:pPr>
      <w:r>
        <w:t xml:space="preserve">Background Scheduler (blocks Requirement 9)</w:t>
      </w:r>
    </w:p>
    <w:p>
      <w:pPr>
        <w:spacing w:after="160"/>
      </w:pPr>
      <w:r>
        <w:t xml:space="preserve">Everything in the current app is request-driven — there is no cron job, queue, or worker process. The 24/48/72-hour escalation rule needs one. Recommended: an hourly scheduled job (Vercel Cron if hosted on Vercel, or a lightweight node-cron worker otherwise) that scans for enquiries with no activity past each threshold and reuses the existing Notification system (for the 24h/48h alerts) and the existing Assignment release/reassign flow (for the 72h reassignment option) — no need to invent new plumbing for the actions themselves, only the trigger.</w:t>
      </w:r>
    </w:p>
    <w:p>
      <w:pPr>
        <w:pStyle w:val="Heading3"/>
        <w:spacing w:after="100" w:before="200"/>
      </w:pPr>
      <w:r>
        <w:t xml:space="preserve">File / Photo Storage (blocks Requirement 7, touches Requirement 3)</w:t>
      </w:r>
    </w:p>
    <w:p>
      <w:pPr>
        <w:spacing w:after="160"/>
      </w:pPr>
      <w:r>
        <w:t xml:space="preserve">The existing attachment pattern stores a URL string, fileName, mimeType, and size — it does not itself define where files are hosted. Before Field Visit photo upload can ship, confirm (or introduce) an object-storage provider (e.g. S3-compatible bucket or Cloudinary) that the app is authorized to write to; this is a one-time infrastructure decision, not a recurring cost per feature.</w:t>
      </w:r>
    </w:p>
    <w:p>
      <w:r>
        <w:br w:type="page"/>
      </w:r>
    </w:p>
    <w:p>
      <w:pPr>
        <w:pStyle w:val="Heading1"/>
        <w:spacing w:after="160" w:before="360"/>
      </w:pPr>
      <w:r>
        <w:t xml:space="preserve">6. Phased Delivery Plan</w:t>
      </w:r>
    </w:p>
    <w:p>
      <w:pPr>
        <w:spacing w:after="160"/>
      </w:pPr>
      <w:r>
        <w:t xml:space="preserve">Recommended sequencing — later phases are gated by entities introduced in Phase 1, so building out of order creates rework.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shd w:fill="1F3B4D" w:val="clear"/>
            <w:tcMar>
              <w:top w:type="dxa" w:w="80"/>
              <w:left w:type="dxa" w:w="100"/>
              <w:bottom w:type="dxa" w:w="80"/>
              <w:right w:type="dxa" w:w="100"/>
            </w:tcMar>
          </w:tcPr>
          <w:p>
            <w:r>
              <w:rPr>
                <w:b/>
                <w:bCs/>
                <w:color w:val="FFFFFF"/>
                <w:sz w:val="19"/>
                <w:szCs w:val="19"/>
              </w:rPr>
              <w:t xml:space="preserve">Phase</w:t>
            </w:r>
          </w:p>
        </w:tc>
        <w:tc>
          <w:tcPr>
            <w:tcW w:type="dxa" w:w="4300"/>
            <w:shd w:fill="1F3B4D" w:val="clear"/>
            <w:tcMar>
              <w:top w:type="dxa" w:w="80"/>
              <w:left w:type="dxa" w:w="100"/>
              <w:bottom w:type="dxa" w:w="80"/>
              <w:right w:type="dxa" w:w="100"/>
            </w:tcMar>
          </w:tcPr>
          <w:p>
            <w:r>
              <w:rPr>
                <w:b/>
                <w:bCs/>
                <w:color w:val="FFFFFF"/>
                <w:sz w:val="19"/>
                <w:szCs w:val="19"/>
              </w:rPr>
              <w:t xml:space="preserve">Scope</w:t>
            </w:r>
          </w:p>
        </w:tc>
        <w:tc>
          <w:tcPr>
            <w:tcW w:type="dxa" w:w="3000"/>
            <w:shd w:fill="1F3B4D" w:val="clear"/>
            <w:tcMar>
              <w:top w:type="dxa" w:w="80"/>
              <w:left w:type="dxa" w:w="100"/>
              <w:bottom w:type="dxa" w:w="80"/>
              <w:right w:type="dxa" w:w="100"/>
            </w:tcMar>
          </w:tcPr>
          <w:p>
            <w:r>
              <w:rPr>
                <w:b/>
                <w:bCs/>
                <w:color w:val="FFFFFF"/>
                <w:sz w:val="19"/>
                <w:szCs w:val="19"/>
              </w:rPr>
              <w:t xml:space="preserve">Why this order</w:t>
            </w:r>
          </w:p>
        </w:tc>
      </w:tr>
      <w:tr>
        <w:tc>
          <w:tcPr>
            <w:tcW w:type="dxa" w:w="2400"/>
            <w:shd w:fill="FFFFFF" w:val="clear"/>
            <w:tcMar>
              <w:top w:type="dxa" w:w="70"/>
              <w:left w:type="dxa" w:w="100"/>
              <w:bottom w:type="dxa" w:w="70"/>
              <w:right w:type="dxa" w:w="100"/>
            </w:tcMar>
          </w:tcPr>
          <w:p>
            <w:r>
              <w:rPr>
                <w:b/>
                <w:bCs/>
                <w:sz w:val="19"/>
                <w:szCs w:val="19"/>
              </w:rPr>
              <w:t xml:space="preserve">Phase 1 — Foundation</w:t>
            </w:r>
          </w:p>
        </w:tc>
        <w:tc>
          <w:tcPr>
            <w:tcW w:type="dxa" w:w="4300"/>
            <w:shd w:fill="FFFFFF" w:val="clear"/>
            <w:tcMar>
              <w:top w:type="dxa" w:w="70"/>
              <w:left w:type="dxa" w:w="100"/>
              <w:bottom w:type="dxa" w:w="70"/>
              <w:right w:type="dxa" w:w="100"/>
            </w:tcMar>
          </w:tcPr>
          <w:p>
            <w:r>
              <w:rPr>
                <w:sz w:val="19"/>
                <w:szCs w:val="19"/>
              </w:rPr>
              <w:t xml:space="preserve">Lead Status Workflow rebuild (4) · Lead Source re-seed (1) · Business Category taxonomy (2) · Customer entity + conversion logic (6) · Distributor &amp; Dealer module (3)</w:t>
            </w:r>
          </w:p>
        </w:tc>
        <w:tc>
          <w:tcPr>
            <w:tcW w:type="dxa" w:w="3000"/>
            <w:shd w:fill="FFFFFF" w:val="clear"/>
            <w:tcMar>
              <w:top w:type="dxa" w:w="70"/>
              <w:left w:type="dxa" w:w="100"/>
              <w:bottom w:type="dxa" w:w="70"/>
              <w:right w:type="dxa" w:w="100"/>
            </w:tcMar>
          </w:tcPr>
          <w:p>
            <w:r>
              <w:rPr>
                <w:sz w:val="19"/>
                <w:szCs w:val="19"/>
              </w:rPr>
              <w:t xml:space="preserve">Every later requirement reads from status, source/category, or the Customer/Dealer/Distributor entities. Get the data model right once.</w:t>
            </w:r>
          </w:p>
        </w:tc>
      </w:tr>
      <w:tr>
        <w:tc>
          <w:tcPr>
            <w:tcW w:type="dxa" w:w="2400"/>
            <w:shd w:fill="F2F2F2" w:val="clear"/>
            <w:tcMar>
              <w:top w:type="dxa" w:w="70"/>
              <w:left w:type="dxa" w:w="100"/>
              <w:bottom w:type="dxa" w:w="70"/>
              <w:right w:type="dxa" w:w="100"/>
            </w:tcMar>
          </w:tcPr>
          <w:p>
            <w:r>
              <w:rPr>
                <w:b/>
                <w:bCs/>
                <w:sz w:val="19"/>
                <w:szCs w:val="19"/>
              </w:rPr>
              <w:t xml:space="preserve">Phase 2 — Operations</w:t>
            </w:r>
          </w:p>
        </w:tc>
        <w:tc>
          <w:tcPr>
            <w:tcW w:type="dxa" w:w="4300"/>
            <w:shd w:fill="F2F2F2" w:val="clear"/>
            <w:tcMar>
              <w:top w:type="dxa" w:w="70"/>
              <w:left w:type="dxa" w:w="100"/>
              <w:bottom w:type="dxa" w:w="70"/>
              <w:right w:type="dxa" w:w="100"/>
            </w:tcMar>
          </w:tcPr>
          <w:p>
            <w:r>
              <w:rPr>
                <w:sz w:val="19"/>
                <w:szCs w:val="19"/>
              </w:rPr>
              <w:t xml:space="preserve">Dealer/Distributor/Marketing dashboards + Revenue metric (8) · Complaint module (10) · Field Visit tracking + storage integration (7) · Escalation scheduler (9) · Follow-up “Next Action” field (5) · Remaining mobile KPIs (11)</w:t>
            </w:r>
          </w:p>
        </w:tc>
        <w:tc>
          <w:tcPr>
            <w:tcW w:type="dxa" w:w="3000"/>
            <w:shd w:fill="F2F2F2" w:val="clear"/>
            <w:tcMar>
              <w:top w:type="dxa" w:w="70"/>
              <w:left w:type="dxa" w:w="100"/>
              <w:bottom w:type="dxa" w:w="70"/>
              <w:right w:type="dxa" w:w="100"/>
            </w:tcMar>
          </w:tcPr>
          <w:p>
            <w:r>
              <w:rPr>
                <w:sz w:val="19"/>
                <w:szCs w:val="19"/>
              </w:rPr>
              <w:t xml:space="preserve">These consume the Phase-1 entities. Complaint and Field Visit are pattern-clones of existing modules, low architectural risk once Customer exists.</w:t>
            </w:r>
          </w:p>
        </w:tc>
      </w:tr>
      <w:tr>
        <w:tc>
          <w:tcPr>
            <w:tcW w:type="dxa" w:w="2400"/>
            <w:shd w:fill="FFFFFF" w:val="clear"/>
            <w:tcMar>
              <w:top w:type="dxa" w:w="70"/>
              <w:left w:type="dxa" w:w="100"/>
              <w:bottom w:type="dxa" w:w="70"/>
              <w:right w:type="dxa" w:w="100"/>
            </w:tcMar>
          </w:tcPr>
          <w:p>
            <w:r>
              <w:rPr>
                <w:b/>
                <w:bCs/>
                <w:sz w:val="19"/>
                <w:szCs w:val="19"/>
              </w:rPr>
              <w:t xml:space="preserve">Phase 3 — Integrations (post-Phase 1)</w:t>
            </w:r>
          </w:p>
        </w:tc>
        <w:tc>
          <w:tcPr>
            <w:tcW w:type="dxa" w:w="4300"/>
            <w:shd w:fill="FFFFFF" w:val="clear"/>
            <w:tcMar>
              <w:top w:type="dxa" w:w="70"/>
              <w:left w:type="dxa" w:w="100"/>
              <w:bottom w:type="dxa" w:w="70"/>
              <w:right w:type="dxa" w:w="100"/>
            </w:tcMar>
          </w:tcPr>
          <w:p>
            <w:r>
              <w:rPr>
                <w:sz w:val="19"/>
                <w:szCs w:val="19"/>
              </w:rPr>
              <w:t xml:space="preserve">WhatsApp API, Facebook/Instagram Lead Ads, Inventory Management, Accounting Software, native Mobile App (12)</w:t>
            </w:r>
          </w:p>
        </w:tc>
        <w:tc>
          <w:tcPr>
            <w:tcW w:type="dxa" w:w="3000"/>
            <w:shd w:fill="FFFFFF" w:val="clear"/>
            <w:tcMar>
              <w:top w:type="dxa" w:w="70"/>
              <w:left w:type="dxa" w:w="100"/>
              <w:bottom w:type="dxa" w:w="70"/>
              <w:right w:type="dxa" w:w="100"/>
            </w:tcMar>
          </w:tcPr>
          <w:p>
            <w:r>
              <w:rPr>
                <w:sz w:val="19"/>
                <w:szCs w:val="19"/>
              </w:rPr>
              <w:t xml:space="preserve">Explicitly out of Phase 1 per the client's own note — architecture should stay ready for these without being built now.</w:t>
            </w:r>
          </w:p>
        </w:tc>
      </w:tr>
    </w:tbl>
    <w:p>
      <w:pPr>
        <w:spacing w:after="200"/>
      </w:pPr>
    </w:p>
    <w:p>
      <w:pPr>
        <w:pStyle w:val="Heading1"/>
        <w:spacing w:after="160" w:before="360"/>
      </w:pPr>
      <w:r>
        <w:t xml:space="preserve">7. Future Integration Readiness (Requirement 12)</w:t>
      </w:r>
    </w:p>
    <w:p>
      <w:pPr>
        <w:spacing w:after="160"/>
      </w:pPr>
      <w:r>
        <w:t xml:space="preserve">Recommended defensive design choices to make now, while Phase 1 modules are being built, so integrations in Phase 3 don't require re-shaping the data model:</w:t>
      </w:r>
    </w:p>
    <w:p>
      <w:pPr>
        <w:pStyle w:val="ListParagraph"/>
        <w:numPr>
          <w:ilvl w:val="0"/>
          <w:numId w:val="1"/>
        </w:numPr>
        <w:spacing w:after="60"/>
      </w:pPr>
      <w:r>
        <w:t xml:space="preserve">Route every inbound lead-creation path (manual entry, and eventually WhatsApp/Facebook/Instagram Lead Ads webhooks) through one shared create-enquiry function, so new channels plug into existing logic instead of duplicating it.</w:t>
      </w:r>
    </w:p>
    <w:p>
      <w:pPr>
        <w:pStyle w:val="ListParagraph"/>
        <w:numPr>
          <w:ilvl w:val="0"/>
          <w:numId w:val="1"/>
        </w:numPr>
        <w:spacing w:after="60"/>
      </w:pPr>
      <w:r>
        <w:t xml:space="preserve">Add a generic externalRef { provider, externalId } field to Enquiry now — cheap today, avoids a migration when the first webhook integration arrives and needs to de-duplicate leads.</w:t>
      </w:r>
    </w:p>
    <w:p>
      <w:pPr>
        <w:pStyle w:val="ListParagraph"/>
        <w:numPr>
          <w:ilvl w:val="0"/>
          <w:numId w:val="1"/>
        </w:numPr>
        <w:spacing w:after="60"/>
      </w:pPr>
      <w:r>
        <w:t xml:space="preserve">Shape the Customer/Order data model so an Accounting or Inventory integration can map to it later without reshaping it.</w:t>
      </w:r>
    </w:p>
    <w:p>
      <w:pPr>
        <w:pStyle w:val="ListParagraph"/>
        <w:numPr>
          <w:ilvl w:val="0"/>
          <w:numId w:val="1"/>
        </w:numPr>
        <w:spacing w:after="60"/>
      </w:pPr>
      <w:r>
        <w:t xml:space="preserve">Consider a lightweight outbound event log (or MongoDB change streams) so a future mobile app or external system can subscribe to CRM events instead of polling the database directly.</w:t>
      </w:r>
    </w:p>
    <w:p>
      <w:pPr>
        <w:pStyle w:val="Heading1"/>
        <w:spacing w:after="160" w:before="360"/>
      </w:pPr>
      <w:r>
        <w:t xml:space="preserve">8. Open Questions for the Client</w:t>
      </w:r>
    </w:p>
    <w:p>
      <w:pPr>
        <w:spacing w:after="160"/>
      </w:pPr>
      <w:r>
        <w:t xml:space="preserve">A few decisions affect the data model and should be confirmed before Phase 1 build starts:</w:t>
      </w:r>
    </w:p>
    <w:p>
      <w:pPr>
        <w:pStyle w:val="ListParagraph"/>
        <w:numPr>
          <w:ilvl w:val="0"/>
          <w:numId w:val="1"/>
        </w:numPr>
        <w:spacing w:after="60"/>
      </w:pPr>
      <w:r>
        <w:t xml:space="preserve">“Repeat Customer” — is this a terminal lead status, or does it mean the Customer record is flagged and a new lead cycle begins for their next order? (This document recommends the latter.)</w:t>
      </w:r>
    </w:p>
    <w:p>
      <w:pPr>
        <w:pStyle w:val="ListParagraph"/>
        <w:numPr>
          <w:ilvl w:val="0"/>
          <w:numId w:val="1"/>
        </w:numPr>
        <w:spacing w:after="60"/>
      </w:pPr>
      <w:r>
        <w:t xml:space="preserve">Order value / revenue — is a single order-value field on the Customer/Enquiry sufficient for “Monthly Sales Value”, or is line-item order detail needed (implying a separate Order/Invoice collection)?</w:t>
      </w:r>
    </w:p>
    <w:p>
      <w:pPr>
        <w:pStyle w:val="ListParagraph"/>
        <w:numPr>
          <w:ilvl w:val="0"/>
          <w:numId w:val="1"/>
        </w:numPr>
        <w:spacing w:after="60"/>
      </w:pPr>
      <w:r>
        <w:t xml:space="preserve">Photo storage provider — does an existing cloud storage account (S3, Cloudinary, or similar) already exist for this project, or does one need to be provisioned?</w:t>
      </w:r>
    </w:p>
    <w:p>
      <w:pPr>
        <w:pStyle w:val="ListParagraph"/>
        <w:numPr>
          <w:ilvl w:val="0"/>
          <w:numId w:val="1"/>
        </w:numPr>
        <w:spacing w:after="60"/>
      </w:pPr>
      <w:r>
        <w:t xml:space="preserve">Hosting target — confirming whether the app is deployed on Vercel (enables Vercel Cron for the escalation scheduler) or self-hosted (requires a small worker process instead).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4D" w:sz="8" w:space="4"/>
      </w:pBdr>
      <w:spacing w:after="160" w:before="360"/>
    </w:pPr>
    <w:rPr>
      <w:rFonts w:ascii="Calibri" w:cs="Calibri" w:eastAsia="Calibri" w:hAnsi="Calibri"/>
      <w:b/>
      <w:bCs/>
      <w:color w:val="1F3B4D"/>
      <w:sz w:val="30"/>
      <w:szCs w:val="30"/>
    </w:rPr>
  </w:style>
  <w:style w:type="paragraph" w:styleId="Heading2">
    <w:name w:val="Heading 2"/>
    <w:basedOn w:val="Normal"/>
    <w:next w:val="Normal"/>
    <w:qFormat/>
    <w:pPr>
      <w:spacing w:after="120" w:before="260"/>
    </w:pPr>
    <w:rPr>
      <w:rFonts w:ascii="Calibri" w:cs="Calibri" w:eastAsia="Calibri" w:hAnsi="Calibri"/>
      <w:b/>
      <w:bCs/>
      <w:color w:val="2E6F5E"/>
      <w:sz w:val="25"/>
      <w:szCs w:val="25"/>
    </w:rPr>
  </w:style>
  <w:style w:type="paragraph" w:styleId="Heading3">
    <w:name w:val="Heading 3"/>
    <w:basedOn w:val="Normal"/>
    <w:next w:val="Normal"/>
    <w:qFormat/>
    <w:pPr>
      <w:spacing w:after="10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2026-07-16T05:26:00.243Z</dcterms:created>
  <dcterms:modified xsi:type="dcterms:W3CDTF">2026-07-16T05:26:00.244Z</dcterms:modified>
</cp:coreProperties>
</file>

<file path=docProps/custom.xml><?xml version="1.0" encoding="utf-8"?>
<Properties xmlns="http://schemas.openxmlformats.org/officeDocument/2006/custom-properties" xmlns:vt="http://schemas.openxmlformats.org/officeDocument/2006/docPropsVTypes"/>
</file>