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633EE"/>
          <w:sz w:val="44"/>
          <w:szCs w:val="44"/>
        </w:rPr>
        <w:t xml:space="preserve">ARTICOG WEBSITE</w:t>
      </w:r>
    </w:p>
    <w:p>
      <w:pPr>
        <w:spacing w:after="300"/>
      </w:pPr>
      <w:r>
        <w:rPr>
          <w:color w:val="1A1A1A"/>
          <w:sz w:val="26"/>
          <w:szCs w:val="26"/>
        </w:rPr>
        <w:t xml:space="preserve">Complete Change List — Content, Assets, Design &amp; Technical</w:t>
      </w:r>
    </w:p>
    <w:p>
      <w:pPr>
        <w:spacing w:after="40"/>
      </w:pPr>
      <w:r>
        <w:rPr>
          <w:color w:val="666666"/>
          <w:sz w:val="20"/>
          <w:szCs w:val="20"/>
        </w:rPr>
        <w:t xml:space="preserve">Prepared for: Sai Teja Inampudi — Articog Tech LLP</w:t>
      </w:r>
    </w:p>
    <w:p>
      <w:pPr>
        <w:spacing w:after="400"/>
      </w:pPr>
      <w:r>
        <w:rPr>
          <w:i/>
          <w:iCs/>
          <w:color w:val="666666"/>
          <w:sz w:val="20"/>
          <w:szCs w:val="20"/>
        </w:rPr>
        <w:t xml:space="preserve">Read directly from the articog-nextjs-main source: every page.tsx, the design tokens in globals.css, next.config.ts, eslint.config.mjs, tsconfig.json, and the public/ assets. No code was changed in producing this document.</w:t>
      </w:r>
    </w:p>
    <w:p>
      <w:pPr>
        <w:spacing w:after="150"/>
      </w:pPr>
      <w:r>
        <w:rPr>
          <w:color w:val="1A1A1A"/>
          <w:sz w:val="22"/>
          <w:szCs w:val="22"/>
        </w:rPr>
        <w:t xml:space="preserve">This is a full pass looking for what separates the site from a top-tier San Francisco product site (the ElevenLabs/OpenAI bar already used as reference earlier in this review) — not just “does it work,” but whether the content is fully real, the assets are complete, the design holds up under real accessibility standards, and the technical foundation matches what a serious engineering team would ship. 38 changes follow, grouped into four parts, numbered individually so each is one change to one issue.</w:t>
      </w:r>
    </w:p>
    <w:p>
      <w:pPr>
        <w:pStyle w:val="Heading1"/>
        <w:pBdr>
          <w:bottom w:val="single" w:color="6633EE" w:sz="6" w:space="4"/>
        </w:pBdr>
        <w:spacing w:after="200" w:before="420"/>
      </w:pPr>
      <w:r>
        <w:rPr>
          <w:b/>
          <w:bCs/>
          <w:color w:val="6633EE"/>
          <w:sz w:val="30"/>
          <w:szCs w:val="30"/>
        </w:rPr>
        <w:t xml:space="preserve">Part A — Content Changes (14)</w:t>
      </w:r>
    </w:p>
    <w:p>
      <w:pPr>
        <w:pStyle w:val="ListParagraph"/>
        <w:numPr>
          <w:ilvl w:val="0"/>
          <w:numId w:val="2"/>
        </w:numPr>
        <w:spacing w:after="60"/>
      </w:pPr>
      <w:r>
        <w:rPr>
          <w:b/>
          <w:bCs/>
          <w:color w:val="1A1A1A"/>
          <w:sz w:val="22"/>
          <w:szCs w:val="22"/>
        </w:rPr>
        <w:t xml:space="preserve">Homepage hero button says “Book a Demo” but links to /contact.</w:t>
      </w:r>
    </w:p>
    <w:p>
      <w:pPr>
        <w:spacing w:after="60"/>
        <w:ind w:left="500"/>
      </w:pPr>
      <w:r>
        <w:rPr>
          <w:color w:val="1A1A1A"/>
          <w:sz w:val="21"/>
          <w:szCs w:val="21"/>
        </w:rPr>
        <w:t xml:space="preserve">In lib/content.ts, hero.ctaLabel is “Book a Demo” but hero.ctaHref is "/contact". Every other Book a Demo button on the site correctly points to /book-a-demo, which runs the Calendly flow. This is the very first thing a visitor sees.</w:t>
      </w:r>
    </w:p>
    <w:p>
      <w:pPr>
        <w:spacing w:after="220"/>
        <w:ind w:left="500"/>
      </w:pPr>
      <w:r>
        <w:rPr>
          <w:b/>
          <w:bCs/>
          <w:i/>
          <w:iCs/>
          <w:color w:val="444444"/>
          <w:sz w:val="21"/>
          <w:szCs w:val="21"/>
        </w:rPr>
        <w:t xml:space="preserve">Fix: </w:t>
      </w:r>
      <w:r>
        <w:rPr>
          <w:i/>
          <w:iCs/>
          <w:color w:val="444444"/>
          <w:sz w:val="21"/>
          <w:szCs w:val="21"/>
        </w:rPr>
        <w:t xml:space="preserve">Change hero.ctaHref to "/book-a-demo".</w:t>
      </w:r>
    </w:p>
    <w:p>
      <w:pPr>
        <w:pStyle w:val="ListParagraph"/>
        <w:numPr>
          <w:ilvl w:val="0"/>
          <w:numId w:val="2"/>
        </w:numPr>
        <w:spacing w:after="60"/>
      </w:pPr>
      <w:r>
        <w:rPr>
          <w:b/>
          <w:bCs/>
          <w:color w:val="1A1A1A"/>
          <w:sz w:val="22"/>
          <w:szCs w:val="22"/>
        </w:rPr>
        <w:t xml:space="preserve">Homepage closing CTA has the same mismatch.</w:t>
      </w:r>
    </w:p>
    <w:p>
      <w:pPr>
        <w:spacing w:after="60"/>
        <w:ind w:left="500"/>
      </w:pPr>
      <w:r>
        <w:rPr>
          <w:color w:val="1A1A1A"/>
          <w:sz w:val="21"/>
          <w:szCs w:val="21"/>
        </w:rPr>
        <w:t xml:space="preserve">The same file's cta object has ctaLabel “Book a Demo” with ctaHref "/contact" — the last thing a visitor sees on the homepage sends them to the wrong form.</w:t>
      </w:r>
    </w:p>
    <w:p>
      <w:pPr>
        <w:spacing w:after="220"/>
        <w:ind w:left="500"/>
      </w:pPr>
      <w:r>
        <w:rPr>
          <w:b/>
          <w:bCs/>
          <w:i/>
          <w:iCs/>
          <w:color w:val="444444"/>
          <w:sz w:val="21"/>
          <w:szCs w:val="21"/>
        </w:rPr>
        <w:t xml:space="preserve">Fix: </w:t>
      </w:r>
      <w:r>
        <w:rPr>
          <w:i/>
          <w:iCs/>
          <w:color w:val="444444"/>
          <w:sz w:val="21"/>
          <w:szCs w:val="21"/>
        </w:rPr>
        <w:t xml:space="preserve">Change cta.ctaHref to "/book-a-demo".</w:t>
      </w:r>
    </w:p>
    <w:p>
      <w:pPr>
        <w:pStyle w:val="ListParagraph"/>
        <w:numPr>
          <w:ilvl w:val="0"/>
          <w:numId w:val="2"/>
        </w:numPr>
        <w:spacing w:after="60"/>
      </w:pPr>
      <w:r>
        <w:rPr>
          <w:b/>
          <w:bCs/>
          <w:color w:val="1A1A1A"/>
          <w:sz w:val="22"/>
          <w:szCs w:val="22"/>
        </w:rPr>
        <w:t xml:space="preserve">“Model Your Needs” button doesn't say Book a Demo.</w:t>
      </w:r>
    </w:p>
    <w:p>
      <w:pPr>
        <w:spacing w:after="60"/>
        <w:ind w:left="500"/>
      </w:pPr>
      <w:r>
        <w:rPr>
          <w:color w:val="1A1A1A"/>
          <w:sz w:val="21"/>
          <w:szCs w:val="21"/>
        </w:rPr>
        <w:t xml:space="preserve">app/why-articog/production-economics/page.tsx uses this wording for a button that links to /book-a-demo — correct destination, inconsistent label.</w:t>
      </w:r>
    </w:p>
    <w:p>
      <w:pPr>
        <w:spacing w:after="220"/>
        <w:ind w:left="500"/>
      </w:pPr>
      <w:r>
        <w:rPr>
          <w:b/>
          <w:bCs/>
          <w:i/>
          <w:iCs/>
          <w:color w:val="444444"/>
          <w:sz w:val="21"/>
          <w:szCs w:val="21"/>
        </w:rPr>
        <w:t xml:space="preserve">Fix: </w:t>
      </w:r>
      <w:r>
        <w:rPr>
          <w:i/>
          <w:iCs/>
          <w:color w:val="444444"/>
          <w:sz w:val="21"/>
          <w:szCs w:val="21"/>
        </w:rPr>
        <w:t xml:space="preserve">Change the button text to “Book a Demo.”</w:t>
      </w:r>
    </w:p>
    <w:p>
      <w:pPr>
        <w:pStyle w:val="ListParagraph"/>
        <w:numPr>
          <w:ilvl w:val="0"/>
          <w:numId w:val="2"/>
        </w:numPr>
        <w:spacing w:after="60"/>
      </w:pPr>
      <w:r>
        <w:rPr>
          <w:b/>
          <w:bCs/>
          <w:color w:val="1A1A1A"/>
          <w:sz w:val="22"/>
          <w:szCs w:val="22"/>
        </w:rPr>
        <w:t xml:space="preserve">“Start Your Project” button doesn't say Book a Demo.</w:t>
      </w:r>
    </w:p>
    <w:p>
      <w:pPr>
        <w:spacing w:after="60"/>
        <w:ind w:left="500"/>
      </w:pPr>
      <w:r>
        <w:rPr>
          <w:color w:val="1A1A1A"/>
          <w:sz w:val="21"/>
          <w:szCs w:val="21"/>
        </w:rPr>
        <w:t xml:space="preserve">app/ai-ad-library/page.tsx, same pattern: right link, different wording.</w:t>
      </w:r>
    </w:p>
    <w:p>
      <w:pPr>
        <w:spacing w:after="220"/>
        <w:ind w:left="500"/>
      </w:pPr>
      <w:r>
        <w:rPr>
          <w:b/>
          <w:bCs/>
          <w:i/>
          <w:iCs/>
          <w:color w:val="444444"/>
          <w:sz w:val="21"/>
          <w:szCs w:val="21"/>
        </w:rPr>
        <w:t xml:space="preserve">Fix: </w:t>
      </w:r>
      <w:r>
        <w:rPr>
          <w:i/>
          <w:iCs/>
          <w:color w:val="444444"/>
          <w:sz w:val="21"/>
          <w:szCs w:val="21"/>
        </w:rPr>
        <w:t xml:space="preserve">Change the button text to “Book a Demo.”</w:t>
      </w:r>
    </w:p>
    <w:p>
      <w:pPr>
        <w:pStyle w:val="ListParagraph"/>
        <w:numPr>
          <w:ilvl w:val="0"/>
          <w:numId w:val="2"/>
        </w:numPr>
        <w:spacing w:after="60"/>
      </w:pPr>
      <w:r>
        <w:rPr>
          <w:b/>
          <w:bCs/>
          <w:color w:val="1A1A1A"/>
          <w:sz w:val="22"/>
          <w:szCs w:val="22"/>
        </w:rPr>
        <w:t xml:space="preserve">“Talk to us” button on /work doesn't say Book a Demo.</w:t>
      </w:r>
    </w:p>
    <w:p>
      <w:pPr>
        <w:spacing w:after="60"/>
        <w:ind w:left="500"/>
      </w:pPr>
      <w:r>
        <w:rPr>
          <w:color w:val="1A1A1A"/>
          <w:sz w:val="21"/>
          <w:szCs w:val="21"/>
        </w:rPr>
        <w:t xml:space="preserve">app/work/page.tsx's closing CTA links to /book-a-demo but is labelled “Talk to us.”</w:t>
      </w:r>
    </w:p>
    <w:p>
      <w:pPr>
        <w:spacing w:after="220"/>
        <w:ind w:left="500"/>
      </w:pPr>
      <w:r>
        <w:rPr>
          <w:b/>
          <w:bCs/>
          <w:i/>
          <w:iCs/>
          <w:color w:val="444444"/>
          <w:sz w:val="21"/>
          <w:szCs w:val="21"/>
        </w:rPr>
        <w:t xml:space="preserve">Fix: </w:t>
      </w:r>
      <w:r>
        <w:rPr>
          <w:i/>
          <w:iCs/>
          <w:color w:val="444444"/>
          <w:sz w:val="21"/>
          <w:szCs w:val="21"/>
        </w:rPr>
        <w:t xml:space="preserve">Change the button text to “Book a Demo.”</w:t>
      </w:r>
    </w:p>
    <w:p>
      <w:pPr>
        <w:pStyle w:val="ListParagraph"/>
        <w:numPr>
          <w:ilvl w:val="0"/>
          <w:numId w:val="2"/>
        </w:numPr>
        <w:spacing w:after="60"/>
      </w:pPr>
      <w:r>
        <w:rPr>
          <w:b/>
          <w:bCs/>
          <w:color w:val="1A1A1A"/>
          <w:sz w:val="22"/>
          <w:szCs w:val="22"/>
        </w:rPr>
        <w:t xml:space="preserve">“Talk to us” button on /how-it-works doesn't say Book a Demo.</w:t>
      </w:r>
    </w:p>
    <w:p>
      <w:pPr>
        <w:spacing w:after="60"/>
        <w:ind w:left="500"/>
      </w:pPr>
      <w:r>
        <w:rPr>
          <w:color w:val="1A1A1A"/>
          <w:sz w:val="21"/>
          <w:szCs w:val="21"/>
        </w:rPr>
        <w:t xml:space="preserve">app/how-it-works/page.tsx has the identical inconsistency.</w:t>
      </w:r>
    </w:p>
    <w:p>
      <w:pPr>
        <w:spacing w:after="220"/>
        <w:ind w:left="500"/>
      </w:pPr>
      <w:r>
        <w:rPr>
          <w:b/>
          <w:bCs/>
          <w:i/>
          <w:iCs/>
          <w:color w:val="444444"/>
          <w:sz w:val="21"/>
          <w:szCs w:val="21"/>
        </w:rPr>
        <w:t xml:space="preserve">Fix: </w:t>
      </w:r>
      <w:r>
        <w:rPr>
          <w:i/>
          <w:iCs/>
          <w:color w:val="444444"/>
          <w:sz w:val="21"/>
          <w:szCs w:val="21"/>
        </w:rPr>
        <w:t xml:space="preserve">Change the button text to “Book a Demo.”</w:t>
      </w:r>
    </w:p>
    <w:p>
      <w:pPr>
        <w:pStyle w:val="ListParagraph"/>
        <w:numPr>
          <w:ilvl w:val="0"/>
          <w:numId w:val="2"/>
        </w:numPr>
        <w:spacing w:after="60"/>
      </w:pPr>
      <w:r>
        <w:rPr>
          <w:b/>
          <w:bCs/>
          <w:color w:val="1A1A1A"/>
          <w:sz w:val="22"/>
          <w:szCs w:val="22"/>
        </w:rPr>
        <w:t xml:space="preserve">“Review Our Data Practices” button doesn't say Book a Demo.</w:t>
      </w:r>
    </w:p>
    <w:p>
      <w:pPr>
        <w:spacing w:after="60"/>
        <w:ind w:left="500"/>
      </w:pPr>
      <w:r>
        <w:rPr>
          <w:color w:val="1A1A1A"/>
          <w:sz w:val="21"/>
          <w:szCs w:val="21"/>
        </w:rPr>
        <w:t xml:space="preserve">app/trust/data-handling/page.tsx's CTA links to /book-a-demo under different wording.</w:t>
      </w:r>
    </w:p>
    <w:p>
      <w:pPr>
        <w:spacing w:after="220"/>
        <w:ind w:left="500"/>
      </w:pPr>
      <w:r>
        <w:rPr>
          <w:b/>
          <w:bCs/>
          <w:i/>
          <w:iCs/>
          <w:color w:val="444444"/>
          <w:sz w:val="21"/>
          <w:szCs w:val="21"/>
        </w:rPr>
        <w:t xml:space="preserve">Fix: </w:t>
      </w:r>
      <w:r>
        <w:rPr>
          <w:i/>
          <w:iCs/>
          <w:color w:val="444444"/>
          <w:sz w:val="21"/>
          <w:szCs w:val="21"/>
        </w:rPr>
        <w:t xml:space="preserve">Change the button text to “Book a Demo.”</w:t>
      </w:r>
    </w:p>
    <w:p>
      <w:pPr>
        <w:pStyle w:val="ListParagraph"/>
        <w:numPr>
          <w:ilvl w:val="0"/>
          <w:numId w:val="2"/>
        </w:numPr>
        <w:spacing w:after="60"/>
      </w:pPr>
      <w:r>
        <w:rPr>
          <w:b/>
          <w:bCs/>
          <w:color w:val="1A1A1A"/>
          <w:sz w:val="22"/>
          <w:szCs w:val="22"/>
        </w:rPr>
        <w:t xml:space="preserve">“Choose a Plan” buttons don't say Book a Demo.</w:t>
      </w:r>
    </w:p>
    <w:p>
      <w:pPr>
        <w:spacing w:after="60"/>
        <w:ind w:left="500"/>
      </w:pPr>
      <w:r>
        <w:rPr>
          <w:color w:val="1A1A1A"/>
          <w:sz w:val="21"/>
          <w:szCs w:val="21"/>
        </w:rPr>
        <w:t xml:space="preserve">app/pricing/page.tsx: all three plan-selection buttons (Starter, Growth, Scale) link to /book-a-demo but read “Choose a Plan.”</w:t>
      </w:r>
    </w:p>
    <w:p>
      <w:pPr>
        <w:spacing w:after="220"/>
        <w:ind w:left="500"/>
      </w:pPr>
      <w:r>
        <w:rPr>
          <w:b/>
          <w:bCs/>
          <w:i/>
          <w:iCs/>
          <w:color w:val="444444"/>
          <w:sz w:val="21"/>
          <w:szCs w:val="21"/>
        </w:rPr>
        <w:t xml:space="preserve">Fix: </w:t>
      </w:r>
      <w:r>
        <w:rPr>
          <w:i/>
          <w:iCs/>
          <w:color w:val="444444"/>
          <w:sz w:val="21"/>
          <w:szCs w:val="21"/>
        </w:rPr>
        <w:t xml:space="preserve">Change the button text to “Book a Demo.”</w:t>
      </w:r>
    </w:p>
    <w:p>
      <w:pPr>
        <w:pStyle w:val="ListParagraph"/>
        <w:numPr>
          <w:ilvl w:val="0"/>
          <w:numId w:val="2"/>
        </w:numPr>
        <w:spacing w:after="60"/>
      </w:pPr>
      <w:r>
        <w:rPr>
          <w:b/>
          <w:bCs/>
          <w:color w:val="1A1A1A"/>
          <w:sz w:val="22"/>
          <w:szCs w:val="22"/>
        </w:rPr>
        <w:t xml:space="preserve">“Start a Pilot” button doesn't say Book a Demo.</w:t>
      </w:r>
    </w:p>
    <w:p>
      <w:pPr>
        <w:spacing w:after="60"/>
        <w:ind w:left="500"/>
      </w:pPr>
      <w:r>
        <w:rPr>
          <w:color w:val="1A1A1A"/>
          <w:sz w:val="21"/>
          <w:szCs w:val="21"/>
        </w:rPr>
        <w:t xml:space="preserve">Same file, the pilot-offer button below the plan cards has the same inconsistency.</w:t>
      </w:r>
    </w:p>
    <w:p>
      <w:pPr>
        <w:spacing w:after="220"/>
        <w:ind w:left="500"/>
      </w:pPr>
      <w:r>
        <w:rPr>
          <w:b/>
          <w:bCs/>
          <w:i/>
          <w:iCs/>
          <w:color w:val="444444"/>
          <w:sz w:val="21"/>
          <w:szCs w:val="21"/>
        </w:rPr>
        <w:t xml:space="preserve">Fix: </w:t>
      </w:r>
      <w:r>
        <w:rPr>
          <w:i/>
          <w:iCs/>
          <w:color w:val="444444"/>
          <w:sz w:val="21"/>
          <w:szCs w:val="21"/>
        </w:rPr>
        <w:t xml:space="preserve">Change the button text to “Book a Demo.”</w:t>
      </w:r>
    </w:p>
    <w:p>
      <w:pPr>
        <w:pStyle w:val="ListParagraph"/>
        <w:numPr>
          <w:ilvl w:val="0"/>
          <w:numId w:val="2"/>
        </w:numPr>
        <w:spacing w:after="60"/>
      </w:pPr>
      <w:r>
        <w:rPr>
          <w:b/>
          <w:bCs/>
          <w:color w:val="1A1A1A"/>
          <w:sz w:val="22"/>
          <w:szCs w:val="22"/>
        </w:rPr>
        <w:t xml:space="preserve">Homepage and comparison-page performance numbers are unverified.</w:t>
      </w:r>
    </w:p>
    <w:p>
      <w:pPr>
        <w:spacing w:after="60"/>
        <w:ind w:left="500"/>
      </w:pPr>
      <w:r>
        <w:rPr>
          <w:color w:val="1A1A1A"/>
          <w:sz w:val="21"/>
          <w:szCs w:val="21"/>
        </w:rPr>
        <w:t xml:space="preserve">lib/content.ts states “24h brief to first output,” “10× creative volume,” “90% cost reduction,” “10× output with zero headcount increase,” “72h brief to launch,” and “3.2× ROAS lift” as plain fact, with no client name, date, or methodology attached. This is the same situation the homepage testimonials were in before they were correctly pulled for being unverifiable.</w:t>
      </w:r>
    </w:p>
    <w:p>
      <w:pPr>
        <w:spacing w:after="220"/>
        <w:ind w:left="500"/>
      </w:pPr>
      <w:r>
        <w:rPr>
          <w:b/>
          <w:bCs/>
          <w:i/>
          <w:iCs/>
          <w:color w:val="444444"/>
          <w:sz w:val="21"/>
          <w:szCs w:val="21"/>
        </w:rPr>
        <w:t xml:space="preserve">Fix: </w:t>
      </w:r>
      <w:r>
        <w:rPr>
          <w:i/>
          <w:iCs/>
          <w:color w:val="444444"/>
          <w:sz w:val="21"/>
          <w:szCs w:val="21"/>
        </w:rPr>
        <w:t xml:space="preserve">Confirm these are real, measured results and add a source/date, reframe them as illustrative/target figures, or remove them until real numbers exist.</w:t>
      </w:r>
    </w:p>
    <w:p>
      <w:pPr>
        <w:pStyle w:val="ListParagraph"/>
        <w:numPr>
          <w:ilvl w:val="0"/>
          <w:numId w:val="2"/>
        </w:numPr>
        <w:spacing w:after="60"/>
      </w:pPr>
      <w:r>
        <w:rPr>
          <w:b/>
          <w:bCs/>
          <w:color w:val="1A1A1A"/>
          <w:sz w:val="22"/>
          <w:szCs w:val="22"/>
        </w:rPr>
        <w:t xml:space="preserve">The one disclaimer for those numbers exists but can't be read.</w:t>
      </w:r>
    </w:p>
    <w:p>
      <w:pPr>
        <w:spacing w:after="60"/>
        <w:ind w:left="500"/>
      </w:pPr>
      <w:r>
        <w:rPr>
          <w:color w:val="1A1A1A"/>
          <w:sz w:val="21"/>
          <w:szCs w:val="21"/>
        </w:rPr>
        <w:t xml:space="preserve">Comparison.tsx does carry a disclaimer — “Based on Articog client engagements” — so the substantiation isn't entirely missing. But it renders at the lowest contrast level used anywhere on the site (see Part C, item 1), so in practice no visitor can read it.</w:t>
      </w:r>
    </w:p>
    <w:p>
      <w:pPr>
        <w:spacing w:after="220"/>
        <w:ind w:left="500"/>
      </w:pPr>
      <w:r>
        <w:rPr>
          <w:b/>
          <w:bCs/>
          <w:i/>
          <w:iCs/>
          <w:color w:val="444444"/>
          <w:sz w:val="21"/>
          <w:szCs w:val="21"/>
        </w:rPr>
        <w:t xml:space="preserve">Fix: </w:t>
      </w:r>
      <w:r>
        <w:rPr>
          <w:i/>
          <w:iCs/>
          <w:color w:val="444444"/>
          <w:sz w:val="21"/>
          <w:szCs w:val="21"/>
        </w:rPr>
        <w:t xml:space="preserve">Fix the contrast (Part C) as part of resolving this item — the disclaimer only counts if it's visible.</w:t>
      </w:r>
    </w:p>
    <w:p>
      <w:pPr>
        <w:pStyle w:val="ListParagraph"/>
        <w:numPr>
          <w:ilvl w:val="0"/>
          <w:numId w:val="2"/>
        </w:numPr>
        <w:spacing w:after="60"/>
      </w:pPr>
      <w:r>
        <w:rPr>
          <w:b/>
          <w:bCs/>
          <w:color w:val="1A1A1A"/>
          <w:sz w:val="22"/>
          <w:szCs w:val="22"/>
        </w:rPr>
        <w:t xml:space="preserve">Native blog posts are dated over a year before launch.</w:t>
      </w:r>
    </w:p>
    <w:p>
      <w:pPr>
        <w:spacing w:after="60"/>
        <w:ind w:left="500"/>
      </w:pPr>
      <w:r>
        <w:rPr>
          <w:color w:val="1A1A1A"/>
          <w:sz w:val="21"/>
          <w:szCs w:val="21"/>
        </w:rPr>
        <w:t xml:space="preserve">lib/blog.ts dates the two Articog-written articles 2025-02-12 and 2025-03-04. At a September 2026 publish, this reads as a blog that's been dormant.</w:t>
      </w:r>
    </w:p>
    <w:p>
      <w:pPr>
        <w:spacing w:after="220"/>
        <w:ind w:left="500"/>
      </w:pPr>
      <w:r>
        <w:rPr>
          <w:b/>
          <w:bCs/>
          <w:i/>
          <w:iCs/>
          <w:color w:val="444444"/>
          <w:sz w:val="21"/>
          <w:szCs w:val="21"/>
        </w:rPr>
        <w:t xml:space="preserve">Fix: </w:t>
      </w:r>
      <w:r>
        <w:rPr>
          <w:i/>
          <w:iCs/>
          <w:color w:val="444444"/>
          <w:sz w:val="21"/>
          <w:szCs w:val="21"/>
        </w:rPr>
        <w:t xml:space="preserve">Update the dates to a real 2026 publish date, or label them explicitly as archive/reference posts if the content itself is meant to stay as-is.</w:t>
      </w:r>
    </w:p>
    <w:p>
      <w:pPr>
        <w:pStyle w:val="ListParagraph"/>
        <w:numPr>
          <w:ilvl w:val="0"/>
          <w:numId w:val="2"/>
        </w:numPr>
        <w:spacing w:after="60"/>
      </w:pPr>
      <w:r>
        <w:rPr>
          <w:b/>
          <w:bCs/>
          <w:color w:val="1A1A1A"/>
          <w:sz w:val="22"/>
          <w:szCs w:val="22"/>
        </w:rPr>
        <w:t xml:space="preserve">California privacy page's “Last updated” date is fake — it's just today's date.</w:t>
      </w:r>
    </w:p>
    <w:p>
      <w:pPr>
        <w:spacing w:after="60"/>
        <w:ind w:left="500"/>
      </w:pPr>
      <w:r>
        <w:rPr>
          <w:color w:val="1A1A1A"/>
          <w:sz w:val="21"/>
          <w:szCs w:val="21"/>
        </w:rPr>
        <w:t xml:space="preserve">app/privacy/california/page.tsx computes const today = new Date().toLocaleDateString(...) and displays it as the policy's last-updated date. That means it always shows whatever day someone happens to load the page, not when the policy actually last changed — misleading on a legal page, and inconsistent with the other three legal pages (Accessibility, Terms, Cookie Policy), which all correctly show a fixed date (“August 19, 2026”).</w:t>
      </w:r>
    </w:p>
    <w:p>
      <w:pPr>
        <w:spacing w:after="220"/>
        <w:ind w:left="500"/>
      </w:pPr>
      <w:r>
        <w:rPr>
          <w:b/>
          <w:bCs/>
          <w:i/>
          <w:iCs/>
          <w:color w:val="444444"/>
          <w:sz w:val="21"/>
          <w:szCs w:val="21"/>
        </w:rPr>
        <w:t xml:space="preserve">Fix: </w:t>
      </w:r>
      <w:r>
        <w:rPr>
          <w:i/>
          <w:iCs/>
          <w:color w:val="444444"/>
          <w:sz w:val="21"/>
          <w:szCs w:val="21"/>
        </w:rPr>
        <w:t xml:space="preserve">Replace {today} with a fixed date matching when this policy was actually last edited.</w:t>
      </w:r>
    </w:p>
    <w:p>
      <w:pPr>
        <w:pStyle w:val="ListParagraph"/>
        <w:numPr>
          <w:ilvl w:val="0"/>
          <w:numId w:val="2"/>
        </w:numPr>
        <w:spacing w:after="60"/>
      </w:pPr>
      <w:r>
        <w:rPr>
          <w:b/>
          <w:bCs/>
          <w:color w:val="1A1A1A"/>
          <w:sz w:val="22"/>
          <w:szCs w:val="22"/>
        </w:rPr>
        <w:t xml:space="preserve">/trust hub page doesn't link to 3 of its own 4 sub-pages.</w:t>
      </w:r>
    </w:p>
    <w:p>
      <w:pPr>
        <w:spacing w:after="60"/>
        <w:ind w:left="500"/>
      </w:pPr>
      <w:r>
        <w:rPr>
          <w:color w:val="1A1A1A"/>
          <w:sz w:val="21"/>
          <w:szCs w:val="21"/>
        </w:rPr>
        <w:t xml:space="preserve">app/trust/page.tsx links to /trust/ai-and-ip and /contact, but not to /trust/data-handling, /trust/rights-licensing, or /trust/security — carried over from the previous review, still open.</w:t>
      </w:r>
    </w:p>
    <w:p>
      <w:pPr>
        <w:spacing w:after="220"/>
        <w:ind w:left="500"/>
      </w:pPr>
      <w:r>
        <w:rPr>
          <w:b/>
          <w:bCs/>
          <w:i/>
          <w:iCs/>
          <w:color w:val="444444"/>
          <w:sz w:val="21"/>
          <w:szCs w:val="21"/>
        </w:rPr>
        <w:t xml:space="preserve">Fix: </w:t>
      </w:r>
      <w:r>
        <w:rPr>
          <w:i/>
          <w:iCs/>
          <w:color w:val="444444"/>
          <w:sz w:val="21"/>
          <w:szCs w:val="21"/>
        </w:rPr>
        <w:t xml:space="preserve">Add links to all four trust detail pages from the hub.</w:t>
      </w:r>
    </w:p>
    <w:p>
      <w:r>
        <w:br w:type="page"/>
      </w:r>
    </w:p>
    <w:p>
      <w:pPr>
        <w:pStyle w:val="Heading1"/>
        <w:pBdr>
          <w:bottom w:val="single" w:color="6633EE" w:sz="6" w:space="4"/>
        </w:pBdr>
        <w:spacing w:after="200" w:before="420"/>
      </w:pPr>
      <w:r>
        <w:rPr>
          <w:b/>
          <w:bCs/>
          <w:color w:val="6633EE"/>
          <w:sz w:val="30"/>
          <w:szCs w:val="30"/>
        </w:rPr>
        <w:t xml:space="preserve">Part B — Asset Changes (6)</w:t>
      </w:r>
    </w:p>
    <w:p>
      <w:pPr>
        <w:pStyle w:val="ListParagraph"/>
        <w:numPr>
          <w:ilvl w:val="0"/>
          <w:numId w:val="3"/>
        </w:numPr>
        <w:spacing w:after="60"/>
      </w:pPr>
      <w:r>
        <w:rPr>
          <w:b/>
          <w:bCs/>
          <w:color w:val="1A1A1A"/>
          <w:sz w:val="22"/>
          <w:szCs w:val="22"/>
        </w:rPr>
        <w:t xml:space="preserve">The site icon is a placeholder, not a designed mark.</w:t>
      </w:r>
    </w:p>
    <w:p>
      <w:pPr>
        <w:spacing w:after="60"/>
        <w:ind w:left="500"/>
      </w:pPr>
      <w:r>
        <w:rPr>
          <w:color w:val="1A1A1A"/>
          <w:sz w:val="21"/>
          <w:szCs w:val="21"/>
        </w:rPr>
        <w:t xml:space="preserve">public/icon.svg is a plain black square with a generic system-font capital “A” — no custom shape, no brand geometry. This is the icon that shows up in every browser tab, bookmark, and search result next to the site name; at the ElevenLabs/OpenAI bar this is a considered logomark, not default text-in-a-box.</w:t>
      </w:r>
    </w:p>
    <w:p>
      <w:pPr>
        <w:spacing w:after="220"/>
        <w:ind w:left="500"/>
      </w:pPr>
      <w:r>
        <w:rPr>
          <w:b/>
          <w:bCs/>
          <w:i/>
          <w:iCs/>
          <w:color w:val="444444"/>
          <w:sz w:val="21"/>
          <w:szCs w:val="21"/>
        </w:rPr>
        <w:t xml:space="preserve">Fix: </w:t>
      </w:r>
      <w:r>
        <w:rPr>
          <w:i/>
          <w:iCs/>
          <w:color w:val="444444"/>
          <w:sz w:val="21"/>
          <w:szCs w:val="21"/>
        </w:rPr>
        <w:t xml:space="preserve">Commission or design a real vector logomark to replace it.</w:t>
      </w:r>
    </w:p>
    <w:p>
      <w:pPr>
        <w:pStyle w:val="ListParagraph"/>
        <w:numPr>
          <w:ilvl w:val="0"/>
          <w:numId w:val="3"/>
        </w:numPr>
        <w:spacing w:after="60"/>
      </w:pPr>
      <w:r>
        <w:rPr>
          <w:b/>
          <w:bCs/>
          <w:color w:val="1A1A1A"/>
          <w:sz w:val="22"/>
          <w:szCs w:val="22"/>
        </w:rPr>
        <w:t xml:space="preserve">No Open Graph metadata anywhere except one blog template.</w:t>
      </w:r>
    </w:p>
    <w:p>
      <w:pPr>
        <w:spacing w:after="60"/>
        <w:ind w:left="500"/>
      </w:pPr>
      <w:r>
        <w:rPr>
          <w:color w:val="1A1A1A"/>
          <w:sz w:val="21"/>
          <w:szCs w:val="21"/>
        </w:rPr>
        <w:t xml:space="preserve">app/layout.tsx defines only a title and description — no openGraph object. Every one of the 56 other pages (homepage, services, solutions, pricing, trust, work, about…) will show a bare or inconsistent preview when shared on LinkedIn, Slack, WhatsApp, or iMessage.</w:t>
      </w:r>
    </w:p>
    <w:p>
      <w:pPr>
        <w:spacing w:after="220"/>
        <w:ind w:left="500"/>
      </w:pPr>
      <w:r>
        <w:rPr>
          <w:b/>
          <w:bCs/>
          <w:i/>
          <w:iCs/>
          <w:color w:val="444444"/>
          <w:sz w:val="21"/>
          <w:szCs w:val="21"/>
        </w:rPr>
        <w:t xml:space="preserve">Fix: </w:t>
      </w:r>
      <w:r>
        <w:rPr>
          <w:i/>
          <w:iCs/>
          <w:color w:val="444444"/>
          <w:sz w:val="21"/>
          <w:szCs w:val="21"/>
        </w:rPr>
        <w:t xml:space="preserve">Add a sitewide openGraph default to the root layout's metadata (title, description, url, and the og-image.png asset), following the same pattern already used correctly in app/blog/[slug]/page.tsx.</w:t>
      </w:r>
    </w:p>
    <w:p>
      <w:pPr>
        <w:pStyle w:val="ListParagraph"/>
        <w:numPr>
          <w:ilvl w:val="0"/>
          <w:numId w:val="3"/>
        </w:numPr>
        <w:spacing w:after="60"/>
      </w:pPr>
      <w:r>
        <w:rPr>
          <w:b/>
          <w:bCs/>
          <w:color w:val="1A1A1A"/>
          <w:sz w:val="22"/>
          <w:szCs w:val="22"/>
        </w:rPr>
        <w:t xml:space="preserve">No Twitter/X Card metadata anywhere.</w:t>
      </w:r>
    </w:p>
    <w:p>
      <w:pPr>
        <w:spacing w:after="60"/>
        <w:ind w:left="500"/>
      </w:pPr>
      <w:r>
        <w:rPr>
          <w:color w:val="1A1A1A"/>
          <w:sz w:val="21"/>
          <w:szCs w:val="21"/>
        </w:rPr>
        <w:t xml:space="preserve">Same gap as above, specific to X/Twitter's own card format (summary_large_image), which most sites configure alongside Open Graph.</w:t>
      </w:r>
    </w:p>
    <w:p>
      <w:pPr>
        <w:spacing w:after="220"/>
        <w:ind w:left="500"/>
      </w:pPr>
      <w:r>
        <w:rPr>
          <w:b/>
          <w:bCs/>
          <w:i/>
          <w:iCs/>
          <w:color w:val="444444"/>
          <w:sz w:val="21"/>
          <w:szCs w:val="21"/>
        </w:rPr>
        <w:t xml:space="preserve">Fix: </w:t>
      </w:r>
      <w:r>
        <w:rPr>
          <w:i/>
          <w:iCs/>
          <w:color w:val="444444"/>
          <w:sz w:val="21"/>
          <w:szCs w:val="21"/>
        </w:rPr>
        <w:t xml:space="preserve">Add a twitter metadata object to the root layout alongside the Open Graph fix above.</w:t>
      </w:r>
    </w:p>
    <w:p>
      <w:pPr>
        <w:pStyle w:val="ListParagraph"/>
        <w:numPr>
          <w:ilvl w:val="0"/>
          <w:numId w:val="3"/>
        </w:numPr>
        <w:spacing w:after="60"/>
      </w:pPr>
      <w:r>
        <w:rPr>
          <w:b/>
          <w:bCs/>
          <w:color w:val="1A1A1A"/>
          <w:sz w:val="22"/>
          <w:szCs w:val="22"/>
        </w:rPr>
        <w:t xml:space="preserve">og-image.png exists and is correctly sized, but is essentially unused.</w:t>
      </w:r>
    </w:p>
    <w:p>
      <w:pPr>
        <w:spacing w:after="60"/>
        <w:ind w:left="500"/>
      </w:pPr>
      <w:r>
        <w:rPr>
          <w:color w:val="1A1A1A"/>
          <w:sz w:val="21"/>
          <w:szCs w:val="21"/>
        </w:rPr>
        <w:t xml:space="preserve">The asset is 2400×1260 — exactly a 2x, high-DPI version of the standard 1200×630 share-image ratio, and it's already sitting in /public. It just isn't referenced by metadata anywhere except the one blog template.</w:t>
      </w:r>
    </w:p>
    <w:p>
      <w:pPr>
        <w:spacing w:after="220"/>
        <w:ind w:left="500"/>
      </w:pPr>
      <w:r>
        <w:rPr>
          <w:b/>
          <w:bCs/>
          <w:i/>
          <w:iCs/>
          <w:color w:val="444444"/>
          <w:sz w:val="21"/>
          <w:szCs w:val="21"/>
        </w:rPr>
        <w:t xml:space="preserve">Fix: </w:t>
      </w:r>
      <w:r>
        <w:rPr>
          <w:i/>
          <w:iCs/>
          <w:color w:val="444444"/>
          <w:sz w:val="21"/>
          <w:szCs w:val="21"/>
        </w:rPr>
        <w:t xml:space="preserve">Wire this exact file into the sitewide openGraph.images default from item 2 — no new asset needs to be created, just connected.</w:t>
      </w:r>
    </w:p>
    <w:p>
      <w:pPr>
        <w:pStyle w:val="ListParagraph"/>
        <w:numPr>
          <w:ilvl w:val="0"/>
          <w:numId w:val="3"/>
        </w:numPr>
        <w:spacing w:after="60"/>
      </w:pPr>
      <w:r>
        <w:rPr>
          <w:b/>
          <w:bCs/>
          <w:color w:val="1A1A1A"/>
          <w:sz w:val="22"/>
          <w:szCs w:val="22"/>
        </w:rPr>
        <w:t xml:space="preserve">No web app manifest or theme-color.</w:t>
      </w:r>
    </w:p>
    <w:p>
      <w:pPr>
        <w:spacing w:after="60"/>
        <w:ind w:left="500"/>
      </w:pPr>
      <w:r>
        <w:rPr>
          <w:color w:val="1A1A1A"/>
          <w:sz w:val="21"/>
          <w:szCs w:val="21"/>
        </w:rPr>
        <w:t xml:space="preserve">There's no manifest.json/manifest.webmanifest and no themeColor metadata, so mobile browser chrome (the address-bar color on Android Chrome, for example) isn't themed to match the black/purple brand, and there's no “add to home screen” icon set.</w:t>
      </w:r>
    </w:p>
    <w:p>
      <w:pPr>
        <w:spacing w:after="220"/>
        <w:ind w:left="500"/>
      </w:pPr>
      <w:r>
        <w:rPr>
          <w:b/>
          <w:bCs/>
          <w:i/>
          <w:iCs/>
          <w:color w:val="444444"/>
          <w:sz w:val="21"/>
          <w:szCs w:val="21"/>
        </w:rPr>
        <w:t xml:space="preserve">Fix: </w:t>
      </w:r>
      <w:r>
        <w:rPr>
          <w:i/>
          <w:iCs/>
          <w:color w:val="444444"/>
          <w:sz w:val="21"/>
          <w:szCs w:val="21"/>
        </w:rPr>
        <w:t xml:space="preserve">Add a minimal manifest.json (name, short_name, theme_color, background_color, icons) and reference it from the root layout's metadata.</w:t>
      </w:r>
    </w:p>
    <w:p>
      <w:pPr>
        <w:pStyle w:val="ListParagraph"/>
        <w:numPr>
          <w:ilvl w:val="0"/>
          <w:numId w:val="3"/>
        </w:numPr>
        <w:spacing w:after="60"/>
      </w:pPr>
      <w:r>
        <w:rPr>
          <w:b/>
          <w:bCs/>
          <w:color w:val="1A1A1A"/>
          <w:sz w:val="22"/>
          <w:szCs w:val="22"/>
        </w:rPr>
        <w:t xml:space="preserve">One image bypasses Next.js's image optimizer.</w:t>
      </w:r>
    </w:p>
    <w:p>
      <w:pPr>
        <w:spacing w:after="60"/>
        <w:ind w:left="500"/>
      </w:pPr>
      <w:r>
        <w:rPr>
          <w:color w:val="1A1A1A"/>
          <w:sz w:val="21"/>
          <w:szCs w:val="21"/>
        </w:rPr>
        <w:t xml:space="preserve">app/work/CreativeDocument.tsx uses a raw &lt;img&gt; tag for a Cloudinary asset instead of next/image. It already sets width/height manually and requests a specific Cloudinary size, so the practical impact is small, but it's the only place in the codebase not using Next's automatic format/lazy-loading pipeline.</w:t>
      </w:r>
    </w:p>
    <w:p>
      <w:pPr>
        <w:spacing w:after="220"/>
        <w:ind w:left="500"/>
      </w:pPr>
      <w:r>
        <w:rPr>
          <w:b/>
          <w:bCs/>
          <w:i/>
          <w:iCs/>
          <w:color w:val="444444"/>
          <w:sz w:val="21"/>
          <w:szCs w:val="21"/>
        </w:rPr>
        <w:t xml:space="preserve">Fix: </w:t>
      </w:r>
      <w:r>
        <w:rPr>
          <w:i/>
          <w:iCs/>
          <w:color w:val="444444"/>
          <w:sz w:val="21"/>
          <w:szCs w:val="21"/>
        </w:rPr>
        <w:t xml:space="preserve">Migrate to next/image with the same Cloudinary URL, or confirm the manual sizing already covers the performance-sensitive part and leave as a known exception.</w:t>
      </w:r>
    </w:p>
    <w:p>
      <w:pPr>
        <w:pBdr>
          <w:left w:val="single" w:color="6633EE" w:sz="16" w:space="8"/>
        </w:pBdr>
        <w:shd w:fill="F3F0FF" w:val="clear"/>
        <w:spacing w:after="200"/>
        <w:ind w:left="200"/>
      </w:pPr>
      <w:r>
        <w:rPr>
          <w:i/>
          <w:iCs/>
          <w:color w:val="444444"/>
          <w:sz w:val="21"/>
          <w:szCs w:val="21"/>
        </w:rPr>
        <w:t xml:space="preserve">Not a change, but worth confirming as correct: all 5 background &lt;video&gt; elements across Hero, Pipeline, CaseStudies, and two service pages are already correctly marked aria-hidden="true". No action needed there.</w:t>
      </w:r>
    </w:p>
    <w:p>
      <w:r>
        <w:br w:type="page"/>
      </w:r>
    </w:p>
    <w:p>
      <w:pPr>
        <w:pStyle w:val="Heading1"/>
        <w:pBdr>
          <w:bottom w:val="single" w:color="6633EE" w:sz="6" w:space="4"/>
        </w:pBdr>
        <w:spacing w:after="200" w:before="420"/>
      </w:pPr>
      <w:r>
        <w:rPr>
          <w:b/>
          <w:bCs/>
          <w:color w:val="6633EE"/>
          <w:sz w:val="30"/>
          <w:szCs w:val="30"/>
        </w:rPr>
        <w:t xml:space="preserve">Part C — Design Changes (7)</w:t>
      </w:r>
    </w:p>
    <w:p>
      <w:pPr>
        <w:spacing w:after="150"/>
      </w:pPr>
      <w:r>
        <w:rPr>
          <w:color w:val="1A1A1A"/>
          <w:sz w:val="22"/>
          <w:szCs w:val="22"/>
        </w:rPr>
        <w:t xml:space="preserve">These are measured, not eyeballed: WCAG 2.1 AA requires a 4.5:1 contrast ratio for normal-size text (large/bold text gets a 3:1 exception, but none of the text below qualifies — it's all 10–14px). Every item here is text rendered below that line against the site's pure black background.</w:t>
      </w:r>
    </w:p>
    <w:p>
      <w:pPr>
        <w:pStyle w:val="ListParagraph"/>
        <w:numPr>
          <w:ilvl w:val="0"/>
          <w:numId w:val="4"/>
        </w:numPr>
        <w:spacing w:after="60"/>
      </w:pPr>
      <w:r>
        <w:rPr>
          <w:b/>
          <w:bCs/>
          <w:color w:val="1A1A1A"/>
          <w:sz w:val="22"/>
          <w:szCs w:val="22"/>
        </w:rPr>
        <w:t xml:space="preserve">Cookie Policy's “Last updated” date is nearly invisible.</w:t>
      </w:r>
    </w:p>
    <w:p>
      <w:pPr>
        <w:spacing w:after="60"/>
        <w:ind w:left="500"/>
      </w:pPr>
      <w:r>
        <w:rPr>
          <w:color w:val="1A1A1A"/>
          <w:sz w:val="21"/>
          <w:szCs w:val="21"/>
        </w:rPr>
        <w:t xml:space="preserve">app/legal/cookie-policy/page.tsx renders it in text-white/30, which measures 2.45:1 on black — well under the 4.5:1 minimum for 14px text.</w:t>
      </w:r>
    </w:p>
    <w:p>
      <w:pPr>
        <w:spacing w:after="220"/>
        <w:ind w:left="500"/>
      </w:pPr>
      <w:r>
        <w:rPr>
          <w:b/>
          <w:bCs/>
          <w:i/>
          <w:iCs/>
          <w:color w:val="444444"/>
          <w:sz w:val="21"/>
          <w:szCs w:val="21"/>
        </w:rPr>
        <w:t xml:space="preserve">Fix: </w:t>
      </w:r>
      <w:r>
        <w:rPr>
          <w:i/>
          <w:iCs/>
          <w:color w:val="444444"/>
          <w:sz w:val="21"/>
          <w:szCs w:val="21"/>
        </w:rPr>
        <w:t xml:space="preserve">Raise this to at least white/46 (the point where 14px text clears 4.5:1), or reuse the existing white/55 “muted” token, which measures 6.25:1.</w:t>
      </w:r>
    </w:p>
    <w:p>
      <w:pPr>
        <w:pStyle w:val="ListParagraph"/>
        <w:numPr>
          <w:ilvl w:val="0"/>
          <w:numId w:val="4"/>
        </w:numPr>
        <w:spacing w:after="60"/>
      </w:pPr>
      <w:r>
        <w:rPr>
          <w:b/>
          <w:bCs/>
          <w:color w:val="1A1A1A"/>
          <w:sz w:val="22"/>
          <w:szCs w:val="22"/>
        </w:rPr>
        <w:t xml:space="preserve">Careers page's data-handling notice is nearly invisible.</w:t>
      </w:r>
    </w:p>
    <w:p>
      <w:pPr>
        <w:spacing w:after="60"/>
        <w:ind w:left="500"/>
      </w:pPr>
      <w:r>
        <w:rPr>
          <w:color w:val="1A1A1A"/>
          <w:sz w:val="21"/>
          <w:szCs w:val="21"/>
        </w:rPr>
        <w:t xml:space="preserve">The line “Candidate information is handled according to our Privacy Policy” on app/careers/page.tsx also uses white/30 (2.45:1) at 12px — the same failure, on a sentence that exists specifically to inform candidates about their data.</w:t>
      </w:r>
    </w:p>
    <w:p>
      <w:pPr>
        <w:spacing w:after="220"/>
        <w:ind w:left="500"/>
      </w:pPr>
      <w:r>
        <w:rPr>
          <w:b/>
          <w:bCs/>
          <w:i/>
          <w:iCs/>
          <w:color w:val="444444"/>
          <w:sz w:val="21"/>
          <w:szCs w:val="21"/>
        </w:rPr>
        <w:t xml:space="preserve">Fix: </w:t>
      </w:r>
      <w:r>
        <w:rPr>
          <w:i/>
          <w:iCs/>
          <w:color w:val="444444"/>
          <w:sz w:val="21"/>
          <w:szCs w:val="21"/>
        </w:rPr>
        <w:t xml:space="preserve">Same fix: raise to white/46 or the existing white/55 token.</w:t>
      </w:r>
    </w:p>
    <w:p>
      <w:pPr>
        <w:pStyle w:val="ListParagraph"/>
        <w:numPr>
          <w:ilvl w:val="0"/>
          <w:numId w:val="4"/>
        </w:numPr>
        <w:spacing w:after="60"/>
      </w:pPr>
      <w:r>
        <w:rPr>
          <w:b/>
          <w:bCs/>
          <w:color w:val="1A1A1A"/>
          <w:sz w:val="22"/>
          <w:szCs w:val="22"/>
        </w:rPr>
        <w:t xml:space="preserve">Footer navigation links fail contrast sitewide.</w:t>
      </w:r>
    </w:p>
    <w:p>
      <w:pPr>
        <w:spacing w:after="60"/>
        <w:ind w:left="500"/>
      </w:pPr>
      <w:r>
        <w:rPr>
          <w:color w:val="1A1A1A"/>
          <w:sz w:val="21"/>
          <w:szCs w:val="21"/>
        </w:rPr>
        <w:t xml:space="preserve">components/layout/Footer.tsx renders its link groups at text-white/35, which measures 3.0:1 — below the 4.5:1 minimum, and this appears on every single page since the footer is global.</w:t>
      </w:r>
    </w:p>
    <w:p>
      <w:pPr>
        <w:spacing w:after="220"/>
        <w:ind w:left="500"/>
      </w:pPr>
      <w:r>
        <w:rPr>
          <w:b/>
          <w:bCs/>
          <w:i/>
          <w:iCs/>
          <w:color w:val="444444"/>
          <w:sz w:val="21"/>
          <w:szCs w:val="21"/>
        </w:rPr>
        <w:t xml:space="preserve">Fix: </w:t>
      </w:r>
      <w:r>
        <w:rPr>
          <w:i/>
          <w:iCs/>
          <w:color w:val="444444"/>
          <w:sz w:val="21"/>
          <w:szCs w:val="21"/>
        </w:rPr>
        <w:t xml:space="preserve">Raise footer link color to at least white/46, or white/55 for consistency with body copy elsewhere.</w:t>
      </w:r>
    </w:p>
    <w:p>
      <w:pPr>
        <w:pStyle w:val="ListParagraph"/>
        <w:numPr>
          <w:ilvl w:val="0"/>
          <w:numId w:val="4"/>
        </w:numPr>
        <w:spacing w:after="60"/>
      </w:pPr>
      <w:r>
        <w:rPr>
          <w:b/>
          <w:bCs/>
          <w:color w:val="1A1A1A"/>
          <w:sz w:val="22"/>
          <w:szCs w:val="22"/>
        </w:rPr>
        <w:t xml:space="preserve">The performance-stats disclaimer is nearly invisible.</w:t>
      </w:r>
    </w:p>
    <w:p>
      <w:pPr>
        <w:spacing w:after="60"/>
        <w:ind w:left="500"/>
      </w:pPr>
      <w:r>
        <w:rPr>
          <w:color w:val="1A1A1A"/>
          <w:sz w:val="21"/>
          <w:szCs w:val="21"/>
        </w:rPr>
        <w:t xml:space="preserve">Comparison.tsx's “Based on Articog client engagements” line uses white/30 (2.45:1) — directly relevant to the content fix in Part A, item 11.</w:t>
      </w:r>
    </w:p>
    <w:p>
      <w:pPr>
        <w:spacing w:after="220"/>
        <w:ind w:left="500"/>
      </w:pPr>
      <w:r>
        <w:rPr>
          <w:b/>
          <w:bCs/>
          <w:i/>
          <w:iCs/>
          <w:color w:val="444444"/>
          <w:sz w:val="21"/>
          <w:szCs w:val="21"/>
        </w:rPr>
        <w:t xml:space="preserve">Fix: </w:t>
      </w:r>
      <w:r>
        <w:rPr>
          <w:i/>
          <w:iCs/>
          <w:color w:val="444444"/>
          <w:sz w:val="21"/>
          <w:szCs w:val="21"/>
        </w:rPr>
        <w:t xml:space="preserve">Raise to white/46+ so the disclaimer actually does its job.</w:t>
      </w:r>
    </w:p>
    <w:p>
      <w:pPr>
        <w:pStyle w:val="ListParagraph"/>
        <w:numPr>
          <w:ilvl w:val="0"/>
          <w:numId w:val="4"/>
        </w:numPr>
        <w:spacing w:after="60"/>
      </w:pPr>
      <w:r>
        <w:rPr>
          <w:b/>
          <w:bCs/>
          <w:color w:val="1A1A1A"/>
          <w:sz w:val="22"/>
          <w:szCs w:val="22"/>
        </w:rPr>
        <w:t xml:space="preserve">The comparison table's own outcome disclaimer and headers fail contrast.</w:t>
      </w:r>
    </w:p>
    <w:p>
      <w:pPr>
        <w:spacing w:after="60"/>
        <w:ind w:left="500"/>
      </w:pPr>
      <w:r>
        <w:rPr>
          <w:color w:val="1A1A1A"/>
          <w:sz w:val="21"/>
          <w:szCs w:val="21"/>
        </w:rPr>
        <w:t xml:space="preserve">app/compare/vs-traditional-production/page.tsx renders its “Metric” column headers and its closing methodology note (“Based on observed outcomes…”) at the same failing white/30.</w:t>
      </w:r>
    </w:p>
    <w:p>
      <w:pPr>
        <w:spacing w:after="220"/>
        <w:ind w:left="500"/>
      </w:pPr>
      <w:r>
        <w:rPr>
          <w:b/>
          <w:bCs/>
          <w:i/>
          <w:iCs/>
          <w:color w:val="444444"/>
          <w:sz w:val="21"/>
          <w:szCs w:val="21"/>
        </w:rPr>
        <w:t xml:space="preserve">Fix: </w:t>
      </w:r>
      <w:r>
        <w:rPr>
          <w:i/>
          <w:iCs/>
          <w:color w:val="444444"/>
          <w:sz w:val="21"/>
          <w:szCs w:val="21"/>
        </w:rPr>
        <w:t xml:space="preserve">Same fix, applied to both elements on this page.</w:t>
      </w:r>
    </w:p>
    <w:p>
      <w:pPr>
        <w:pStyle w:val="ListParagraph"/>
        <w:numPr>
          <w:ilvl w:val="0"/>
          <w:numId w:val="4"/>
        </w:numPr>
        <w:spacing w:after="60"/>
      </w:pPr>
      <w:r>
        <w:rPr>
          <w:b/>
          <w:bCs/>
          <w:color w:val="1A1A1A"/>
          <w:sz w:val="22"/>
          <w:szCs w:val="22"/>
        </w:rPr>
        <w:t xml:space="preserve">Case study client/industry labels fail contrast.</w:t>
      </w:r>
    </w:p>
    <w:p>
      <w:pPr>
        <w:spacing w:after="60"/>
        <w:ind w:left="500"/>
      </w:pPr>
      <w:r>
        <w:rPr>
          <w:color w:val="1A1A1A"/>
          <w:sz w:val="21"/>
          <w:szCs w:val="21"/>
        </w:rPr>
        <w:t xml:space="preserve">components/sections/CaseStudies.tsx labels each case study's client type and industry at white/35 (3.0:1).</w:t>
      </w:r>
    </w:p>
    <w:p>
      <w:pPr>
        <w:spacing w:after="220"/>
        <w:ind w:left="500"/>
      </w:pPr>
      <w:r>
        <w:rPr>
          <w:b/>
          <w:bCs/>
          <w:i/>
          <w:iCs/>
          <w:color w:val="444444"/>
          <w:sz w:val="21"/>
          <w:szCs w:val="21"/>
        </w:rPr>
        <w:t xml:space="preserve">Fix: </w:t>
      </w:r>
      <w:r>
        <w:rPr>
          <w:i/>
          <w:iCs/>
          <w:color w:val="444444"/>
          <w:sz w:val="21"/>
          <w:szCs w:val="21"/>
        </w:rPr>
        <w:t xml:space="preserve">Raise to white/46+.</w:t>
      </w:r>
    </w:p>
    <w:p>
      <w:pPr>
        <w:pStyle w:val="ListParagraph"/>
        <w:numPr>
          <w:ilvl w:val="0"/>
          <w:numId w:val="4"/>
        </w:numPr>
        <w:spacing w:after="60"/>
      </w:pPr>
      <w:r>
        <w:rPr>
          <w:b/>
          <w:bCs/>
          <w:color w:val="1A1A1A"/>
          <w:sz w:val="22"/>
          <w:szCs w:val="22"/>
        </w:rPr>
        <w:t xml:space="preserve">The same “muted” color is written two different ways across the codebase.</w:t>
      </w:r>
    </w:p>
    <w:p>
      <w:pPr>
        <w:spacing w:after="60"/>
        <w:ind w:left="500"/>
      </w:pPr>
      <w:r>
        <w:rPr>
          <w:color w:val="1A1A1A"/>
          <w:sz w:val="21"/>
          <w:szCs w:val="21"/>
        </w:rPr>
        <w:t xml:space="preserve">Some files use the Tailwind utility text-white/35; others set the identical value with an inline style={{ color: "rgba(255,255,255,0.35)" }}. Beyond being inconsistent code style, it makes the contrast fixes above easy to apply in one place and miss in the other, since there's no single source of truth for “muted text.”</w:t>
      </w:r>
    </w:p>
    <w:p>
      <w:pPr>
        <w:spacing w:after="220"/>
        <w:ind w:left="500"/>
      </w:pPr>
      <w:r>
        <w:rPr>
          <w:b/>
          <w:bCs/>
          <w:i/>
          <w:iCs/>
          <w:color w:val="444444"/>
          <w:sz w:val="21"/>
          <w:szCs w:val="21"/>
        </w:rPr>
        <w:t xml:space="preserve">Fix: </w:t>
      </w:r>
      <w:r>
        <w:rPr>
          <w:i/>
          <w:iCs/>
          <w:color w:val="444444"/>
          <w:sz w:val="21"/>
          <w:szCs w:val="21"/>
        </w:rPr>
        <w:t xml:space="preserve">Pick one approach (ideally a small set of named tokens in globals.css — e.g. --color-muted-safe: white/55 — used everywhere via Tailwind classes) and migrate the inline-style instances to it.</w:t>
      </w:r>
    </w:p>
    <w:p>
      <w:r>
        <w:br w:type="page"/>
      </w:r>
    </w:p>
    <w:p>
      <w:pPr>
        <w:pStyle w:val="Heading1"/>
        <w:pBdr>
          <w:bottom w:val="single" w:color="6633EE" w:sz="6" w:space="4"/>
        </w:pBdr>
        <w:spacing w:after="200" w:before="420"/>
      </w:pPr>
      <w:r>
        <w:rPr>
          <w:b/>
          <w:bCs/>
          <w:color w:val="6633EE"/>
          <w:sz w:val="30"/>
          <w:szCs w:val="30"/>
        </w:rPr>
        <w:t xml:space="preserve">Part D — Deep Technical Changes (11)</w:t>
      </w:r>
    </w:p>
    <w:p>
      <w:pPr>
        <w:pStyle w:val="ListParagraph"/>
        <w:numPr>
          <w:ilvl w:val="0"/>
          <w:numId w:val="5"/>
        </w:numPr>
        <w:spacing w:after="60"/>
      </w:pPr>
      <w:r>
        <w:rPr>
          <w:b/>
          <w:bCs/>
          <w:color w:val="1A1A1A"/>
          <w:sz w:val="22"/>
          <w:szCs w:val="22"/>
        </w:rPr>
        <w:t xml:space="preserve">No page uses Next.js's built-in image optimizer.</w:t>
      </w:r>
    </w:p>
    <w:p>
      <w:pPr>
        <w:spacing w:after="60"/>
        <w:ind w:left="500"/>
      </w:pPr>
      <w:r>
        <w:rPr>
          <w:color w:val="1A1A1A"/>
          <w:sz w:val="21"/>
          <w:szCs w:val="21"/>
        </w:rPr>
        <w:t xml:space="preserve">A repo-wide search for next/image found zero usages. That means no automatic AVIF/WebP conversion, no responsive srcset generation, and no built-in lazy-loading for any image on the site — all real, measurable performance levers a Next.js site gets for free.</w:t>
      </w:r>
    </w:p>
    <w:p>
      <w:pPr>
        <w:spacing w:after="220"/>
        <w:ind w:left="500"/>
      </w:pPr>
      <w:r>
        <w:rPr>
          <w:b/>
          <w:bCs/>
          <w:i/>
          <w:iCs/>
          <w:color w:val="444444"/>
          <w:sz w:val="21"/>
          <w:szCs w:val="21"/>
        </w:rPr>
        <w:t xml:space="preserve">Fix: </w:t>
      </w:r>
      <w:r>
        <w:rPr>
          <w:i/>
          <w:iCs/>
          <w:color w:val="444444"/>
          <w:sz w:val="21"/>
          <w:szCs w:val="21"/>
        </w:rPr>
        <w:t xml:space="preserve">Adopt next/image for any raster image added going forward, starting with the one raw &lt;img&gt; tag in Part B, item 6.</w:t>
      </w:r>
    </w:p>
    <w:p>
      <w:pPr>
        <w:pStyle w:val="ListParagraph"/>
        <w:numPr>
          <w:ilvl w:val="0"/>
          <w:numId w:val="5"/>
        </w:numPr>
        <w:spacing w:after="60"/>
      </w:pPr>
      <w:r>
        <w:rPr>
          <w:b/>
          <w:bCs/>
          <w:color w:val="1A1A1A"/>
          <w:sz w:val="22"/>
          <w:szCs w:val="22"/>
        </w:rPr>
        <w:t xml:space="preserve">No Content-Security-Policy header.</w:t>
      </w:r>
    </w:p>
    <w:p>
      <w:pPr>
        <w:spacing w:after="60"/>
        <w:ind w:left="500"/>
      </w:pPr>
      <w:r>
        <w:rPr>
          <w:color w:val="1A1A1A"/>
          <w:sz w:val="21"/>
          <w:szCs w:val="21"/>
        </w:rPr>
        <w:t xml:space="preserve">next.config.ts has no headers() function at all, so there's no CSP restricting which scripts/styles/frames can load — a baseline hardening measure most production sites of this profile carry, especially one embedding several third-party scripts (Calendly, GA, Beehiiv, Breezy).</w:t>
      </w:r>
    </w:p>
    <w:p>
      <w:pPr>
        <w:spacing w:after="220"/>
        <w:ind w:left="500"/>
      </w:pPr>
      <w:r>
        <w:rPr>
          <w:b/>
          <w:bCs/>
          <w:i/>
          <w:iCs/>
          <w:color w:val="444444"/>
          <w:sz w:val="21"/>
          <w:szCs w:val="21"/>
        </w:rPr>
        <w:t xml:space="preserve">Fix: </w:t>
      </w:r>
      <w:r>
        <w:rPr>
          <w:i/>
          <w:iCs/>
          <w:color w:val="444444"/>
          <w:sz w:val="21"/>
          <w:szCs w:val="21"/>
        </w:rPr>
        <w:t xml:space="preserve">Add a headers() function in next.config.ts defining a CSP that explicitly allow-lists the third-party domains already in use.</w:t>
      </w:r>
    </w:p>
    <w:p>
      <w:pPr>
        <w:pStyle w:val="ListParagraph"/>
        <w:numPr>
          <w:ilvl w:val="0"/>
          <w:numId w:val="5"/>
        </w:numPr>
        <w:spacing w:after="60"/>
      </w:pPr>
      <w:r>
        <w:rPr>
          <w:b/>
          <w:bCs/>
          <w:color w:val="1A1A1A"/>
          <w:sz w:val="22"/>
          <w:szCs w:val="22"/>
        </w:rPr>
        <w:t xml:space="preserve">No X-Frame-Options (clickjacking protection).</w:t>
      </w:r>
    </w:p>
    <w:p>
      <w:pPr>
        <w:spacing w:after="60"/>
        <w:ind w:left="500"/>
      </w:pPr>
      <w:r>
        <w:rPr>
          <w:color w:val="1A1A1A"/>
          <w:sz w:val="21"/>
          <w:szCs w:val="21"/>
        </w:rPr>
        <w:t xml:space="preserve">Same root cause as above — nothing prevents the site from being embedded in a hidden iframe on another domain.</w:t>
      </w:r>
    </w:p>
    <w:p>
      <w:pPr>
        <w:spacing w:after="220"/>
        <w:ind w:left="500"/>
      </w:pPr>
      <w:r>
        <w:rPr>
          <w:b/>
          <w:bCs/>
          <w:i/>
          <w:iCs/>
          <w:color w:val="444444"/>
          <w:sz w:val="21"/>
          <w:szCs w:val="21"/>
        </w:rPr>
        <w:t xml:space="preserve">Fix: </w:t>
      </w:r>
      <w:r>
        <w:rPr>
          <w:i/>
          <w:iCs/>
          <w:color w:val="444444"/>
          <w:sz w:val="21"/>
          <w:szCs w:val="21"/>
        </w:rPr>
        <w:t xml:space="preserve">Add X-Frame-Options: SAMEORIGIN (or the frame-ancestors CSP directive) in the same headers() function.</w:t>
      </w:r>
    </w:p>
    <w:p>
      <w:pPr>
        <w:pStyle w:val="ListParagraph"/>
        <w:numPr>
          <w:ilvl w:val="0"/>
          <w:numId w:val="5"/>
        </w:numPr>
        <w:spacing w:after="60"/>
      </w:pPr>
      <w:r>
        <w:rPr>
          <w:b/>
          <w:bCs/>
          <w:color w:val="1A1A1A"/>
          <w:sz w:val="22"/>
          <w:szCs w:val="22"/>
        </w:rPr>
        <w:t xml:space="preserve">No Strict-Transport-Security header.</w:t>
      </w:r>
    </w:p>
    <w:p>
      <w:pPr>
        <w:spacing w:after="60"/>
        <w:ind w:left="500"/>
      </w:pPr>
      <w:r>
        <w:rPr>
          <w:color w:val="1A1A1A"/>
          <w:sz w:val="21"/>
          <w:szCs w:val="21"/>
        </w:rPr>
        <w:t xml:space="preserve">No HSTS header is set, so browsers aren't told to always use HTTPS for this domain after the first visit.</w:t>
      </w:r>
    </w:p>
    <w:p>
      <w:pPr>
        <w:spacing w:after="220"/>
        <w:ind w:left="500"/>
      </w:pPr>
      <w:r>
        <w:rPr>
          <w:b/>
          <w:bCs/>
          <w:i/>
          <w:iCs/>
          <w:color w:val="444444"/>
          <w:sz w:val="21"/>
          <w:szCs w:val="21"/>
        </w:rPr>
        <w:t xml:space="preserve">Fix: </w:t>
      </w:r>
      <w:r>
        <w:rPr>
          <w:i/>
          <w:iCs/>
          <w:color w:val="444444"/>
          <w:sz w:val="21"/>
          <w:szCs w:val="21"/>
        </w:rPr>
        <w:t xml:space="preserve">Add Strict-Transport-Security with a reasonable max-age once the production domain is live on Vercel.</w:t>
      </w:r>
    </w:p>
    <w:p>
      <w:pPr>
        <w:pStyle w:val="ListParagraph"/>
        <w:numPr>
          <w:ilvl w:val="0"/>
          <w:numId w:val="5"/>
        </w:numPr>
        <w:spacing w:after="60"/>
      </w:pPr>
      <w:r>
        <w:rPr>
          <w:b/>
          <w:bCs/>
          <w:color w:val="1A1A1A"/>
          <w:sz w:val="22"/>
          <w:szCs w:val="22"/>
        </w:rPr>
        <w:t xml:space="preserve">No Referrer-Policy or Permissions-Policy headers.</w:t>
      </w:r>
    </w:p>
    <w:p>
      <w:pPr>
        <w:spacing w:after="60"/>
        <w:ind w:left="500"/>
      </w:pPr>
      <w:r>
        <w:rPr>
          <w:color w:val="1A1A1A"/>
          <w:sz w:val="21"/>
          <w:szCs w:val="21"/>
        </w:rPr>
        <w:t xml:space="preserve">Neither is configured, leaving both at browser defaults rather than an explicit, intentional choice.</w:t>
      </w:r>
    </w:p>
    <w:p>
      <w:pPr>
        <w:spacing w:after="220"/>
        <w:ind w:left="500"/>
      </w:pPr>
      <w:r>
        <w:rPr>
          <w:b/>
          <w:bCs/>
          <w:i/>
          <w:iCs/>
          <w:color w:val="444444"/>
          <w:sz w:val="21"/>
          <w:szCs w:val="21"/>
        </w:rPr>
        <w:t xml:space="preserve">Fix: </w:t>
      </w:r>
      <w:r>
        <w:rPr>
          <w:i/>
          <w:iCs/>
          <w:color w:val="444444"/>
          <w:sz w:val="21"/>
          <w:szCs w:val="21"/>
        </w:rPr>
        <w:t xml:space="preserve">Add both to the same headers() function — typically referrer-policy: strict-origin-when-cross-origin and a permissions-policy that disables unused browser features (camera, microphone, geolocation, etc.).</w:t>
      </w:r>
    </w:p>
    <w:p>
      <w:pPr>
        <w:pStyle w:val="ListParagraph"/>
        <w:numPr>
          <w:ilvl w:val="0"/>
          <w:numId w:val="5"/>
        </w:numPr>
        <w:spacing w:after="60"/>
      </w:pPr>
      <w:r>
        <w:rPr>
          <w:b/>
          <w:bCs/>
          <w:color w:val="1A1A1A"/>
          <w:sz w:val="22"/>
          <w:szCs w:val="22"/>
        </w:rPr>
        <w:t xml:space="preserve">9 pages render a second, nested &lt;main&gt; landmark.</w:t>
      </w:r>
    </w:p>
    <w:p>
      <w:pPr>
        <w:spacing w:after="60"/>
        <w:ind w:left="500"/>
      </w:pPr>
      <w:r>
        <w:rPr>
          <w:color w:val="1A1A1A"/>
          <w:sz w:val="21"/>
          <w:szCs w:val="21"/>
        </w:rPr>
        <w:t xml:space="preserve">The root layout already wraps every page in &lt;main className="flex-1"&gt;{children}&lt;/main&gt;. But app/sitemap/page.tsx, app/privacy-choices/page.tsx, app/copyright/page.tsx, app/privacy-policy/page.tsx, app/press/page.tsx, app/work/video-ads/page.tsx, app/privacy/request/page.tsx, app/newsletter/page.tsx, and app/email-preferences/page.tsx each add their own &lt;main&gt; inside that. Two nested &lt;main&gt; landmarks on one page is invalid HTML5/ARIA and confuses screen-reader navigation.</w:t>
      </w:r>
    </w:p>
    <w:p>
      <w:pPr>
        <w:spacing w:after="220"/>
        <w:ind w:left="500"/>
      </w:pPr>
      <w:r>
        <w:rPr>
          <w:b/>
          <w:bCs/>
          <w:i/>
          <w:iCs/>
          <w:color w:val="444444"/>
          <w:sz w:val="21"/>
          <w:szCs w:val="21"/>
        </w:rPr>
        <w:t xml:space="preserve">Fix: </w:t>
      </w:r>
      <w:r>
        <w:rPr>
          <w:i/>
          <w:iCs/>
          <w:color w:val="444444"/>
          <w:sz w:val="21"/>
          <w:szCs w:val="21"/>
        </w:rPr>
        <w:t xml:space="preserve">Change the inner &lt;main className="flex-grow pt-32 pb-20"&gt; to a &lt;div&gt; with the same classes in all 9 files.</w:t>
      </w:r>
    </w:p>
    <w:p>
      <w:pPr>
        <w:pStyle w:val="ListParagraph"/>
        <w:numPr>
          <w:ilvl w:val="0"/>
          <w:numId w:val="5"/>
        </w:numPr>
        <w:spacing w:after="60"/>
      </w:pPr>
      <w:r>
        <w:rPr>
          <w:b/>
          <w:bCs/>
          <w:color w:val="1A1A1A"/>
          <w:sz w:val="22"/>
          <w:szCs w:val="22"/>
        </w:rPr>
        <w:t xml:space="preserve">The TypeScript ‘no explicit any’ rule is turned off, but nothing needs it anymore.</w:t>
      </w:r>
    </w:p>
    <w:p>
      <w:pPr>
        <w:spacing w:after="60"/>
        <w:ind w:left="500"/>
      </w:pPr>
      <w:r>
        <w:rPr>
          <w:color w:val="1A1A1A"/>
          <w:sz w:val="21"/>
          <w:szCs w:val="21"/>
        </w:rPr>
        <w:t xml:space="preserve">eslint.config.mjs disables @typescript-eslint/no-explicit-any with the comment “Allow existing any types.” A full search of the current codebase found zero any usages left — the rule is now only leaving a door open for new any usage to slip back in unnoticed.</w:t>
      </w:r>
    </w:p>
    <w:p>
      <w:pPr>
        <w:spacing w:after="220"/>
        <w:ind w:left="500"/>
      </w:pPr>
      <w:r>
        <w:rPr>
          <w:b/>
          <w:bCs/>
          <w:i/>
          <w:iCs/>
          <w:color w:val="444444"/>
          <w:sz w:val="21"/>
          <w:szCs w:val="21"/>
        </w:rPr>
        <w:t xml:space="preserve">Fix: </w:t>
      </w:r>
      <w:r>
        <w:rPr>
          <w:i/>
          <w:iCs/>
          <w:color w:val="444444"/>
          <w:sz w:val="21"/>
          <w:szCs w:val="21"/>
        </w:rPr>
        <w:t xml:space="preserve">Remove the override and let the rule enforce normally.</w:t>
      </w:r>
    </w:p>
    <w:p>
      <w:pPr>
        <w:pStyle w:val="ListParagraph"/>
        <w:numPr>
          <w:ilvl w:val="0"/>
          <w:numId w:val="5"/>
        </w:numPr>
        <w:spacing w:after="60"/>
      </w:pPr>
      <w:r>
        <w:rPr>
          <w:b/>
          <w:bCs/>
          <w:color w:val="1A1A1A"/>
          <w:sz w:val="22"/>
          <w:szCs w:val="22"/>
        </w:rPr>
        <w:t xml:space="preserve">A real React correctness lint rule is disabled site-wide.</w:t>
      </w:r>
    </w:p>
    <w:p>
      <w:pPr>
        <w:spacing w:after="60"/>
        <w:ind w:left="500"/>
      </w:pPr>
      <w:r>
        <w:rPr>
          <w:color w:val="1A1A1A"/>
          <w:sz w:val="21"/>
          <w:szCs w:val="21"/>
        </w:rPr>
        <w:t xml:space="preserve">The same config file turns off react-hooks/set-state-in-effect, which warns about setting state synchronously inside a useEffect (a pattern that can cause an extra render pass). It's disabled broadly rather than addressed at the specific call sites that needed it.</w:t>
      </w:r>
    </w:p>
    <w:p>
      <w:pPr>
        <w:spacing w:after="220"/>
        <w:ind w:left="500"/>
      </w:pPr>
      <w:r>
        <w:rPr>
          <w:b/>
          <w:bCs/>
          <w:i/>
          <w:iCs/>
          <w:color w:val="444444"/>
          <w:sz w:val="21"/>
          <w:szCs w:val="21"/>
        </w:rPr>
        <w:t xml:space="preserve">Fix: </w:t>
      </w:r>
      <w:r>
        <w:rPr>
          <w:i/>
          <w:iCs/>
          <w:color w:val="444444"/>
          <w:sz w:val="21"/>
          <w:szCs w:val="21"/>
        </w:rPr>
        <w:t xml:space="preserve">Re-enable the rule and fix the specific components it flags, rather than suppressing it everywhere.</w:t>
      </w:r>
    </w:p>
    <w:p>
      <w:pPr>
        <w:pStyle w:val="ListParagraph"/>
        <w:numPr>
          <w:ilvl w:val="0"/>
          <w:numId w:val="5"/>
        </w:numPr>
        <w:spacing w:after="60"/>
      </w:pPr>
      <w:r>
        <w:rPr>
          <w:b/>
          <w:bCs/>
          <w:color w:val="1A1A1A"/>
          <w:sz w:val="22"/>
          <w:szCs w:val="22"/>
        </w:rPr>
        <w:t xml:space="preserve">ESLint still ignores three folders that no longer exist.</w:t>
      </w:r>
    </w:p>
    <w:p>
      <w:pPr>
        <w:spacing w:after="60"/>
        <w:ind w:left="500"/>
      </w:pPr>
      <w:r>
        <w:rPr>
          <w:color w:val="1A1A1A"/>
          <w:sz w:val="21"/>
          <w:szCs w:val="21"/>
        </w:rPr>
        <w:t xml:space="preserve">The same config's globalIgnores list still excludes app-backup-before-bulk-conversion/**, app-before-bulk-content-replacement/**, and app-before-content-fix/** — all three were deleted from the repository in an earlier cleanup pass. Harmless, but it's config referring to nothing.</w:t>
      </w:r>
    </w:p>
    <w:p>
      <w:pPr>
        <w:spacing w:after="220"/>
        <w:ind w:left="500"/>
      </w:pPr>
      <w:r>
        <w:rPr>
          <w:b/>
          <w:bCs/>
          <w:i/>
          <w:iCs/>
          <w:color w:val="444444"/>
          <w:sz w:val="21"/>
          <w:szCs w:val="21"/>
        </w:rPr>
        <w:t xml:space="preserve">Fix: </w:t>
      </w:r>
      <w:r>
        <w:rPr>
          <w:i/>
          <w:iCs/>
          <w:color w:val="444444"/>
          <w:sz w:val="21"/>
          <w:szCs w:val="21"/>
        </w:rPr>
        <w:t xml:space="preserve">Remove the three stale entries.</w:t>
      </w:r>
    </w:p>
    <w:p>
      <w:pPr>
        <w:pStyle w:val="ListParagraph"/>
        <w:numPr>
          <w:ilvl w:val="0"/>
          <w:numId w:val="5"/>
        </w:numPr>
        <w:spacing w:after="60"/>
      </w:pPr>
      <w:r>
        <w:rPr>
          <w:b/>
          <w:bCs/>
          <w:color w:val="1A1A1A"/>
          <w:sz w:val="22"/>
          <w:szCs w:val="22"/>
        </w:rPr>
        <w:t xml:space="preserve">No automated tests exist anywhere in the codebase.</w:t>
      </w:r>
    </w:p>
    <w:p>
      <w:pPr>
        <w:spacing w:after="60"/>
        <w:ind w:left="500"/>
      </w:pPr>
      <w:r>
        <w:rPr>
          <w:color w:val="1A1A1A"/>
          <w:sz w:val="21"/>
          <w:szCs w:val="21"/>
        </w:rPr>
        <w:t xml:space="preserve">A repo-wide search for *.test.* or *.spec.* files returned nothing. This site has a real lead-capture flow (rate limiting, a honeypot, a Google Sheets write, a Resend email, a fallback alert) with no test coverage protecting any of that logic from a future regression.</w:t>
      </w:r>
    </w:p>
    <w:p>
      <w:pPr>
        <w:spacing w:after="220"/>
        <w:ind w:left="500"/>
      </w:pPr>
      <w:r>
        <w:rPr>
          <w:b/>
          <w:bCs/>
          <w:i/>
          <w:iCs/>
          <w:color w:val="444444"/>
          <w:sz w:val="21"/>
          <w:szCs w:val="21"/>
        </w:rPr>
        <w:t xml:space="preserve">Fix: </w:t>
      </w:r>
      <w:r>
        <w:rPr>
          <w:i/>
          <w:iCs/>
          <w:color w:val="444444"/>
          <w:sz w:val="21"/>
          <w:szCs w:val="21"/>
        </w:rPr>
        <w:t xml:space="preserve">At minimum, add a smoke test for POST /api/contact covering the success path, the honeypot short-circuit, and the rate-limit response.</w:t>
      </w:r>
    </w:p>
    <w:p>
      <w:pPr>
        <w:pStyle w:val="ListParagraph"/>
        <w:numPr>
          <w:ilvl w:val="0"/>
          <w:numId w:val="5"/>
        </w:numPr>
        <w:spacing w:after="60"/>
      </w:pPr>
      <w:r>
        <w:rPr>
          <w:b/>
          <w:bCs/>
          <w:color w:val="1A1A1A"/>
          <w:sz w:val="22"/>
          <w:szCs w:val="22"/>
        </w:rPr>
        <w:t xml:space="preserve">Two sitemap entries are pages that just redirect elsewhere.</w:t>
      </w:r>
    </w:p>
    <w:p>
      <w:pPr>
        <w:spacing w:after="60"/>
        <w:ind w:left="500"/>
      </w:pPr>
      <w:r>
        <w:rPr>
          <w:color w:val="1A1A1A"/>
          <w:sz w:val="21"/>
          <w:szCs w:val="21"/>
        </w:rPr>
        <w:t xml:space="preserve">app/work/industries/page.tsx and app/pricing/faq/page.tsx both immediately call redirect() with no content of their own, but neither is in app/sitemap.ts's exclusion list, so both URLs are still published in the live sitemap as if they were real destinations — carried over from the previous review, still open.</w:t>
      </w:r>
    </w:p>
    <w:p>
      <w:pPr>
        <w:spacing w:after="220"/>
        <w:ind w:left="500"/>
      </w:pPr>
      <w:r>
        <w:rPr>
          <w:b/>
          <w:bCs/>
          <w:i/>
          <w:iCs/>
          <w:color w:val="444444"/>
          <w:sz w:val="21"/>
          <w:szCs w:val="21"/>
        </w:rPr>
        <w:t xml:space="preserve">Fix: </w:t>
      </w:r>
      <w:r>
        <w:rPr>
          <w:i/>
          <w:iCs/>
          <w:color w:val="444444"/>
          <w:sz w:val="21"/>
          <w:szCs w:val="21"/>
        </w:rPr>
        <w:t xml:space="preserve">Add both routes to the REDIRECTED_ROUTES set in app/sitemap.ts.</w:t>
      </w:r>
    </w:p>
    <w:p>
      <w:pPr>
        <w:spacing w:before="300"/>
      </w:pPr>
      <w:r>
        <w:rPr>
          <w:i/>
          <w:iCs/>
          <w:color w:val="666666"/>
          <w:sz w:val="20"/>
          <w:szCs w:val="20"/>
        </w:rPr>
        <w:t xml:space="preserve">End of document — 38 changes across 4 parts. No code was changed in producing this review.</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20"/>
      </w:pPr>
    </w:lvl>
  </w:abstractNum>
  <w:abstractNum w:abstractNumId="3" w15:restartNumberingAfterBreak="0">
    <w:multiLevelType w:val="hybridMultilevel"/>
    <w:lvl w:ilvl="0" w15:tentative="1">
      <w:start w:val="1"/>
      <w:numFmt w:val="decimal"/>
      <w:lvlText w:val="%1."/>
      <w:lvlJc w:val="start"/>
      <w:pPr>
        <w:ind w:left="500" w:hanging="320"/>
      </w:pPr>
    </w:lvl>
  </w:abstractNum>
  <w:abstractNum w:abstractNumId="4" w15:restartNumberingAfterBreak="0">
    <w:multiLevelType w:val="hybridMultilevel"/>
    <w:lvl w:ilvl="0" w15:tentative="1">
      <w:start w:val="1"/>
      <w:numFmt w:val="decimal"/>
      <w:lvlText w:val="%1."/>
      <w:lvlJc w:val="start"/>
      <w:pPr>
        <w:ind w:left="500" w:hanging="320"/>
      </w:pPr>
    </w:lvl>
  </w:abstractNum>
  <w:abstractNum w:abstractNumId="5" w15:restartNumberingAfterBreak="0">
    <w:multiLevelType w:val="hybridMultilevel"/>
    <w:lvl w:ilvl="0" w15:tentative="1">
      <w:start w:val="1"/>
      <w:numFmt w:val="decimal"/>
      <w:lvlText w:val="%1."/>
      <w:lvlJc w:val="start"/>
      <w:pPr>
        <w:ind w:left="500" w:hanging="320"/>
      </w:pPr>
    </w:lvl>
  </w:abstractNum>
  <w:abstractNum w:abstractNumId="6" w15:restartNumberingAfterBreak="0">
    <w:multiLevelType w:val="hybridMultilevel"/>
    <w:lvl w:ilvl="0" w15:tentative="1">
      <w:start w:val="1"/>
      <w:numFmt w:val="bullet"/>
      <w:lvlText w:val="•"/>
      <w:lvlJc w:val="star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2026-09-09T14:09:35.972Z</dcterms:created>
  <dcterms:modified xsi:type="dcterms:W3CDTF">2026-09-09T14:09:35.985Z</dcterms:modified>
</cp:coreProperties>
</file>

<file path=docProps/custom.xml><?xml version="1.0" encoding="utf-8"?>
<Properties xmlns="http://schemas.openxmlformats.org/officeDocument/2006/custom-properties" xmlns:vt="http://schemas.openxmlformats.org/officeDocument/2006/docPropsVTypes"/>
</file>