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2A4A"/>
          <w:sz w:val="32"/>
          <w:szCs w:val="32"/>
        </w:rPr>
        <w:t xml:space="preserve">T ROCK CONSTRUCTION × BUILDKIT LABS</w:t>
      </w:r>
    </w:p>
    <w:p>
      <w:pPr>
        <w:spacing w:after="40"/>
        <w:jc w:val="center"/>
      </w:pPr>
      <w:r>
        <w:rPr>
          <w:rFonts w:ascii="Arial" w:cs="Arial" w:eastAsia="Arial" w:hAnsi="Arial"/>
          <w:color w:val="2E75B6"/>
          <w:sz w:val="24"/>
          <w:szCs w:val="24"/>
        </w:rPr>
        <w:t xml:space="preserve">Custom CRM — Phase 1 Scope of Work</w:t>
      </w:r>
    </w:p>
    <w:p>
      <w:pPr>
        <w:spacing w:after="40"/>
        <w:jc w:val="center"/>
      </w:pPr>
      <w:r>
        <w:rPr>
          <w:rFonts w:ascii="Arial" w:cs="Arial" w:eastAsia="Arial" w:hAnsi="Arial"/>
          <w:color w:val="888888"/>
          <w:sz w:val="19"/>
          <w:szCs w:val="19"/>
        </w:rPr>
        <w:t xml:space="preserve">April 2026 | Confidential | REDLINE v2</w:t>
      </w:r>
    </w:p>
    <w:p>
      <w:pPr>
        <w:spacing w:after="120" w:before="80"/>
        <w:jc w:val="center"/>
      </w:pPr>
      <w:r>
        <w:rPr>
          <w:rFonts w:ascii="Arial" w:cs="Arial" w:eastAsia="Arial" w:hAnsi="Arial"/>
          <w:strike/>
          <w:color w:val="C0392B"/>
          <w:sz w:val="17"/>
          <w:szCs w:val="17"/>
        </w:rPr>
        <w:t xml:space="preserve">Strikethrough red = removed  |  </w:t>
      </w:r>
      <w:r>
        <w:rPr>
          <w:rFonts w:ascii="Arial" w:cs="Arial" w:eastAsia="Arial" w:hAnsi="Arial"/>
          <w:b/>
          <w:bCs/>
          <w:color w:val="27AE60"/>
          <w:sz w:val="17"/>
          <w:szCs w:val="17"/>
        </w:rPr>
        <w:t xml:space="preserve">Bold green = added/changed</w:t>
      </w:r>
    </w:p>
    <w:p>
      <w:r>
        <w:br w:type="page"/>
      </w:r>
    </w:p>
    <w:p>
      <w:pPr>
        <w:pBdr>
          <w:bottom w:val="single" w:color="2E75B6" w:sz="4" w:space="4"/>
        </w:pBdr>
        <w:spacing w:after="160" w:before="360"/>
      </w:pPr>
      <w:r>
        <w:rPr>
          <w:rFonts w:ascii="Arial" w:cs="Arial" w:eastAsia="Arial" w:hAnsi="Arial"/>
          <w:b/>
          <w:bCs/>
          <w:color w:val="2E75B6"/>
          <w:sz w:val="24"/>
          <w:szCs w:val="24"/>
        </w:rPr>
        <w:t xml:space="preserve">Project Overview</w:t>
      </w:r>
    </w:p>
    <w:p>
      <w:pPr>
        <w:spacing w:after="80" w:before="80"/>
      </w:pPr>
      <w:r>
        <w:rPr>
          <w:rFonts w:ascii="Arial" w:cs="Arial" w:eastAsia="Arial" w:hAnsi="Arial"/>
          <w:i w:val="false"/>
          <w:iCs w:val="false"/>
          <w:color w:val="374151"/>
          <w:sz w:val="19"/>
          <w:szCs w:val="19"/>
        </w:rPr>
        <w:t xml:space="preserve">BuildKit Labs will design, build, and deliver a custom CRM platform for T Rock Construction that replaces HubSpot as the primary sales and operations tool. The platform will integrate natively with Procore and Microsoft 365, be fully owned by T Rock with complete IP transfer, and be architected to support multiple offices from day one. The CRM will be a responsive web application accessible on desktop and mobile browsers.</w:t>
      </w:r>
    </w:p>
    <w:p>
      <w:pPr>
        <w:spacing w:after="80" w:before="80"/>
      </w:pPr>
      <w:r>
        <w:rPr>
          <w:rFonts w:ascii="Arial" w:cs="Arial" w:eastAsia="Arial" w:hAnsi="Arial"/>
          <w:i w:val="false"/>
          <w:iCs w:val="false"/>
          <w:color w:val="374151"/>
          <w:sz w:val="19"/>
          <w:szCs w:val="19"/>
        </w:rPr>
        <w:t xml:space="preserve">This document covers Phase 1 only. Phase 2 (AI-powered features including news feed lead generation, business card scanning, large loss monitoring, data discrepancy detection, and relationship mapping) will be scoped and priced as a separate engagement after Phase 1 is live and stable.</w:t>
      </w:r>
    </w:p>
    <w:p>
      <w:pPr>
        <w:spacing w:after="80" w:before="120"/>
      </w:pPr>
      <w:r>
        <w:rPr>
          <w:rFonts w:ascii="Arial" w:cs="Arial" w:eastAsia="Arial" w:hAnsi="Arial"/>
          <w:b/>
          <w:bCs/>
          <w:color w:val="27AE60"/>
          <w:sz w:val="19"/>
          <w:szCs w:val="19"/>
        </w:rPr>
        <w:t xml:space="preserve">The Phase 1 platform will be built with a modular API layer, normalized data model, and documented extension points to ensure Phase 2 features can be built on top of the existing foundation without re-architecture.</w:t>
      </w:r>
    </w:p>
    <w:p>
      <w:pPr>
        <w:pBdr>
          <w:bottom w:val="single" w:color="2E75B6" w:sz="4" w:space="4"/>
        </w:pBdr>
        <w:spacing w:after="160" w:before="360"/>
      </w:pPr>
      <w:r>
        <w:rPr>
          <w:rFonts w:ascii="Arial" w:cs="Arial" w:eastAsia="Arial" w:hAnsi="Arial"/>
          <w:b/>
          <w:bCs/>
          <w:color w:val="2E75B6"/>
          <w:sz w:val="24"/>
          <w:szCs w:val="24"/>
        </w:rPr>
        <w:t xml:space="preserve">Phase 1 Deliverables</w:t>
      </w:r>
    </w:p>
    <w:p>
      <w:pPr>
        <w:spacing w:after="80" w:before="200"/>
      </w:pPr>
      <w:r>
        <w:rPr>
          <w:rFonts w:ascii="Arial" w:cs="Arial" w:eastAsia="Arial" w:hAnsi="Arial"/>
          <w:b/>
          <w:bCs/>
          <w:color w:val="1B2A4A"/>
          <w:sz w:val="21"/>
          <w:szCs w:val="21"/>
        </w:rPr>
        <w:t xml:space="preserve">1. Pipeline &amp; Deal Management</w:t>
      </w:r>
    </w:p>
    <w:p>
      <w:pPr>
        <w:pStyle w:val="ListParagraph"/>
        <w:numPr>
          <w:ilvl w:val="0"/>
          <w:numId w:val="2"/>
        </w:numPr>
        <w:spacing w:after="40" w:before="40"/>
      </w:pPr>
      <w:r>
        <w:rPr>
          <w:rFonts w:ascii="Arial" w:cs="Arial" w:eastAsia="Arial" w:hAnsi="Arial"/>
          <w:color w:val="374151"/>
          <w:sz w:val="19"/>
          <w:szCs w:val="19"/>
        </w:rPr>
        <w:t xml:space="preserve">Custom deal pipeline with T Rock-specific stages (DD, Estimating, Bid Sent, In Production, Close Out, Closed Won, Closed Lost)</w:t>
      </w:r>
    </w:p>
    <w:p>
      <w:pPr>
        <w:pStyle w:val="ListParagraph"/>
        <w:numPr>
          <w:ilvl w:val="0"/>
          <w:numId w:val="2"/>
        </w:numPr>
        <w:spacing w:after="40" w:before="40"/>
      </w:pPr>
      <w:r>
        <w:rPr>
          <w:rFonts w:ascii="Arial" w:cs="Arial" w:eastAsia="Arial" w:hAnsi="Arial"/>
          <w:color w:val="374151"/>
          <w:sz w:val="19"/>
          <w:szCs w:val="19"/>
        </w:rPr>
        <w:t xml:space="preserve">Due Diligence (DD) classified separately — does not count toward active pipeline totals until conversion</w:t>
      </w:r>
    </w:p>
    <w:p>
      <w:pPr>
        <w:pStyle w:val="ListParagraph"/>
        <w:numPr>
          <w:ilvl w:val="0"/>
          <w:numId w:val="2"/>
        </w:numPr>
        <w:spacing w:after="40" w:before="40"/>
      </w:pPr>
      <w:r>
        <w:rPr>
          <w:rFonts w:ascii="Arial" w:cs="Arial" w:eastAsia="Arial" w:hAnsi="Arial"/>
          <w:color w:val="374151"/>
          <w:sz w:val="19"/>
          <w:szCs w:val="19"/>
        </w:rPr>
        <w:t xml:space="preserve">Multi-estimate tracking per deal: DD estimate, bid estimate, awarded amount, change order adjustments</w:t>
      </w:r>
    </w:p>
    <w:p>
      <w:pPr>
        <w:pStyle w:val="ListParagraph"/>
        <w:numPr>
          <w:ilvl w:val="0"/>
          <w:numId w:val="2"/>
        </w:numPr>
        <w:spacing w:after="40" w:before="40"/>
      </w:pPr>
      <w:r>
        <w:rPr>
          <w:rFonts w:ascii="Arial" w:cs="Arial" w:eastAsia="Arial" w:hAnsi="Arial"/>
          <w:color w:val="374151"/>
          <w:sz w:val="19"/>
          <w:szCs w:val="19"/>
        </w:rPr>
        <w:t xml:space="preserve">Stage transition validation gates — required fields, documents, and approvals before a deal can advance</w:t>
      </w:r>
    </w:p>
    <w:p>
      <w:pPr>
        <w:pStyle w:val="ListParagraph"/>
        <w:numPr>
          <w:ilvl w:val="0"/>
          <w:numId w:val="2"/>
        </w:numPr>
        <w:spacing w:after="40" w:before="40"/>
      </w:pPr>
      <w:r>
        <w:rPr>
          <w:rFonts w:ascii="Arial" w:cs="Arial" w:eastAsia="Arial" w:hAnsi="Arial"/>
          <w:color w:val="374151"/>
          <w:sz w:val="19"/>
          <w:szCs w:val="19"/>
        </w:rPr>
        <w:t xml:space="preserve">Deals cannot move backward unless manually overridden by a director</w:t>
      </w:r>
    </w:p>
    <w:p>
      <w:pPr>
        <w:pStyle w:val="ListParagraph"/>
        <w:numPr>
          <w:ilvl w:val="0"/>
          <w:numId w:val="2"/>
        </w:numPr>
        <w:spacing w:after="40" w:before="40"/>
      </w:pPr>
      <w:r>
        <w:rPr>
          <w:rFonts w:ascii="Arial" w:cs="Arial" w:eastAsia="Arial" w:hAnsi="Arial"/>
          <w:color w:val="374151"/>
          <w:sz w:val="19"/>
          <w:szCs w:val="19"/>
        </w:rPr>
        <w:t xml:space="preserve">Mandatory lost-deal notes — reason dropdown + free-text field required to close a deal as lost</w:t>
      </w:r>
    </w:p>
    <w:p>
      <w:pPr>
        <w:pStyle w:val="ListParagraph"/>
        <w:numPr>
          <w:ilvl w:val="0"/>
          <w:numId w:val="2"/>
        </w:numPr>
        <w:spacing w:after="40" w:before="40"/>
      </w:pPr>
      <w:r>
        <w:rPr>
          <w:rFonts w:ascii="Arial" w:cs="Arial" w:eastAsia="Arial" w:hAnsi="Arial"/>
          <w:color w:val="374151"/>
          <w:sz w:val="19"/>
          <w:szCs w:val="19"/>
        </w:rPr>
        <w:t xml:space="preserve">Configurable stale deal alerts at 30/60/90-day thresholds with notifications to rep and manager</w:t>
      </w:r>
    </w:p>
    <w:p>
      <w:pPr>
        <w:spacing w:after="80" w:before="200"/>
      </w:pPr>
      <w:r>
        <w:rPr>
          <w:rFonts w:ascii="Arial" w:cs="Arial" w:eastAsia="Arial" w:hAnsi="Arial"/>
          <w:b/>
          <w:bCs/>
          <w:color w:val="1B2A4A"/>
          <w:sz w:val="21"/>
          <w:szCs w:val="21"/>
        </w:rPr>
        <w:t xml:space="preserve">2. Reporting &amp; Dashboards</w:t>
      </w:r>
    </w:p>
    <w:p>
      <w:pPr>
        <w:pStyle w:val="ListParagraph"/>
        <w:numPr>
          <w:ilvl w:val="0"/>
          <w:numId w:val="3"/>
        </w:numPr>
        <w:spacing w:after="40" w:before="40"/>
      </w:pPr>
      <w:r>
        <w:rPr>
          <w:rFonts w:ascii="Arial" w:cs="Arial" w:eastAsia="Arial" w:hAnsi="Arial"/>
          <w:color w:val="374151"/>
          <w:sz w:val="19"/>
          <w:szCs w:val="19"/>
        </w:rPr>
        <w:t xml:space="preserve">Preset company-wide reports locked to consistent filters across all users</w:t>
      </w:r>
    </w:p>
    <w:p>
      <w:pPr>
        <w:pStyle w:val="ListParagraph"/>
        <w:numPr>
          <w:ilvl w:val="0"/>
          <w:numId w:val="3"/>
        </w:numPr>
        <w:spacing w:after="40" w:before="40"/>
      </w:pPr>
      <w:r>
        <w:rPr>
          <w:rFonts w:ascii="Arial" w:cs="Arial" w:eastAsia="Arial" w:hAnsi="Arial"/>
          <w:color w:val="374151"/>
          <w:sz w:val="19"/>
          <w:szCs w:val="19"/>
        </w:rPr>
        <w:t xml:space="preserve">Per-rep dashboard: my deals, my tasks, my performance metrics, my follow-ups</w:t>
      </w:r>
    </w:p>
    <w:p>
      <w:pPr>
        <w:pStyle w:val="ListParagraph"/>
        <w:numPr>
          <w:ilvl w:val="0"/>
          <w:numId w:val="3"/>
        </w:numPr>
        <w:spacing w:after="40" w:before="40"/>
      </w:pPr>
      <w:r>
        <w:rPr>
          <w:rFonts w:ascii="Arial" w:cs="Arial" w:eastAsia="Arial" w:hAnsi="Arial"/>
          <w:color w:val="374151"/>
          <w:sz w:val="19"/>
          <w:szCs w:val="19"/>
        </w:rPr>
        <w:t xml:space="preserve">Director dashboard: all reps at a glance, click into any rep for full detail (open deals, lost deals, activity, performance)</w:t>
      </w:r>
    </w:p>
    <w:p>
      <w:pPr>
        <w:pStyle w:val="ListParagraph"/>
        <w:numPr>
          <w:ilvl w:val="0"/>
          <w:numId w:val="3"/>
        </w:numPr>
        <w:spacing w:after="40" w:before="40"/>
      </w:pPr>
      <w:r>
        <w:rPr>
          <w:rFonts w:ascii="Arial" w:cs="Arial" w:eastAsia="Arial" w:hAnsi="Arial"/>
          <w:color w:val="374151"/>
          <w:sz w:val="19"/>
          <w:szCs w:val="19"/>
        </w:rPr>
        <w:t xml:space="preserve">Visual reporting: pie charts, bar charts, and trend lines — not just data tables</w:t>
      </w:r>
    </w:p>
    <w:p>
      <w:pPr>
        <w:pStyle w:val="ListParagraph"/>
        <w:numPr>
          <w:ilvl w:val="0"/>
          <w:numId w:val="3"/>
        </w:numPr>
        <w:spacing w:after="40" w:before="40"/>
      </w:pPr>
      <w:r>
        <w:rPr>
          <w:rFonts w:ascii="Arial" w:cs="Arial" w:eastAsia="Arial" w:hAnsi="Arial"/>
          <w:color w:val="374151"/>
          <w:sz w:val="19"/>
          <w:szCs w:val="19"/>
        </w:rPr>
        <w:t xml:space="preserve">Performance tracking: month-over-month, quarter-over-quarter, year-over-year per rep</w:t>
      </w:r>
    </w:p>
    <w:p>
      <w:pPr>
        <w:pStyle w:val="ListParagraph"/>
        <w:numPr>
          <w:ilvl w:val="0"/>
          <w:numId w:val="3"/>
        </w:numPr>
        <w:spacing w:after="40" w:before="40"/>
      </w:pPr>
      <w:r>
        <w:rPr>
          <w:rFonts w:ascii="Arial" w:cs="Arial" w:eastAsia="Arial" w:hAnsi="Arial"/>
          <w:color w:val="374151"/>
          <w:sz w:val="19"/>
          <w:szCs w:val="19"/>
        </w:rPr>
        <w:t xml:space="preserve">Activity tracking: calls logged, emails sent, tasks completed, follow-up compliance per rep</w:t>
      </w:r>
    </w:p>
    <w:p>
      <w:pPr>
        <w:pStyle w:val="ListParagraph"/>
        <w:numPr>
          <w:ilvl w:val="0"/>
          <w:numId w:val="3"/>
        </w:numPr>
        <w:spacing w:after="40" w:before="40"/>
      </w:pPr>
      <w:r>
        <w:rPr>
          <w:rFonts w:ascii="Arial" w:cs="Arial" w:eastAsia="Arial" w:hAnsi="Arial"/>
          <w:color w:val="374151"/>
          <w:sz w:val="19"/>
          <w:szCs w:val="19"/>
        </w:rPr>
        <w:t xml:space="preserve">Custom report builder — flexibility to create new reports without breaking locked standard reports</w:t>
      </w:r>
    </w:p>
    <w:p>
      <w:pPr>
        <w:pStyle w:val="ListParagraph"/>
        <w:numPr>
          <w:ilvl w:val="0"/>
          <w:numId w:val="3"/>
        </w:numPr>
        <w:spacing w:after="40" w:before="40"/>
      </w:pPr>
      <w:r>
        <w:rPr>
          <w:rFonts w:ascii="Arial" w:cs="Arial" w:eastAsia="Arial" w:hAnsi="Arial"/>
          <w:color w:val="374151"/>
          <w:sz w:val="19"/>
          <w:szCs w:val="19"/>
        </w:rPr>
        <w:t xml:space="preserve">Pipeline value views with DD vs. true pipeline separation</w:t>
      </w:r>
    </w:p>
    <w:p>
      <w:pPr>
        <w:spacing w:after="80" w:before="200"/>
      </w:pPr>
      <w:r>
        <w:rPr>
          <w:rFonts w:ascii="Arial" w:cs="Arial" w:eastAsia="Arial" w:hAnsi="Arial"/>
          <w:b/>
          <w:bCs/>
          <w:color w:val="1B2A4A"/>
          <w:sz w:val="21"/>
          <w:szCs w:val="21"/>
        </w:rPr>
        <w:t xml:space="preserve">3. Procore Integration</w:t>
      </w:r>
    </w:p>
    <w:p>
      <w:pPr>
        <w:spacing w:after="80" w:before="80"/>
      </w:pPr>
      <w:r>
        <w:rPr>
          <w:rFonts w:ascii="Arial" w:cs="Arial" w:eastAsia="Arial" w:hAnsi="Arial"/>
          <w:b/>
          <w:bCs/>
          <w:color w:val="27AE60"/>
          <w:sz w:val="19"/>
          <w:szCs w:val="19"/>
        </w:rPr>
        <w:t xml:space="preserve">Native bi-directional sync equivalent to the current SyncHub v3 integration, including all existing functionality:</w:t>
      </w:r>
    </w:p>
    <w:p>
      <w:pPr>
        <w:pStyle w:val="ListParagraph"/>
        <w:numPr>
          <w:ilvl w:val="0"/>
          <w:numId w:val="4"/>
        </w:numPr>
        <w:spacing w:after="40" w:before="40"/>
      </w:pPr>
      <w:r>
        <w:rPr>
          <w:rFonts w:ascii="Arial" w:cs="Arial" w:eastAsia="Arial" w:hAnsi="Arial"/>
          <w:color w:val="374151"/>
          <w:sz w:val="19"/>
          <w:szCs w:val="19"/>
        </w:rPr>
        <w:t xml:space="preserve">Bi-directional sync — deals, projects, stages, and change orders with field-level mapping validation</w:t>
      </w:r>
    </w:p>
    <w:p>
      <w:pPr>
        <w:pStyle w:val="ListParagraph"/>
        <w:numPr>
          <w:ilvl w:val="0"/>
          <w:numId w:val="4"/>
        </w:numPr>
        <w:spacing w:after="40" w:before="40"/>
      </w:pPr>
      <w:r>
        <w:rPr>
          <w:rFonts w:ascii="Arial" w:cs="Arial" w:eastAsia="Arial" w:hAnsi="Arial"/>
          <w:color w:val="374151"/>
          <w:sz w:val="19"/>
          <w:szCs w:val="19"/>
        </w:rPr>
        <w:t xml:space="preserve">Stage mapping with guardrails to prevent incorrect stage changes (addresses the Closed Won incident)</w:t>
      </w:r>
    </w:p>
    <w:p>
      <w:pPr>
        <w:pStyle w:val="ListParagraph"/>
        <w:numPr>
          <w:ilvl w:val="0"/>
          <w:numId w:val="4"/>
        </w:numPr>
        <w:spacing w:after="40" w:before="40"/>
      </w:pPr>
      <w:r>
        <w:rPr>
          <w:rFonts w:ascii="Arial" w:cs="Arial" w:eastAsia="Arial" w:hAnsi="Arial"/>
          <w:color w:val="374151"/>
          <w:sz w:val="19"/>
          <w:szCs w:val="19"/>
        </w:rPr>
        <w:t xml:space="preserve">Personal project board per rep — all assigned Procore projects in one filterable view</w:t>
      </w:r>
    </w:p>
    <w:p>
      <w:pPr>
        <w:pStyle w:val="ListParagraph"/>
        <w:numPr>
          <w:ilvl w:val="0"/>
          <w:numId w:val="4"/>
        </w:numPr>
        <w:spacing w:after="40" w:before="40"/>
      </w:pPr>
      <w:r>
        <w:rPr>
          <w:rFonts w:ascii="Arial" w:cs="Arial" w:eastAsia="Arial" w:hAnsi="Arial"/>
          <w:color w:val="374151"/>
          <w:sz w:val="19"/>
          <w:szCs w:val="19"/>
        </w:rPr>
        <w:t xml:space="preserve">Bid Board integration — new opportunities, stage changes, and assignment notifications surfaced in the CRM</w:t>
      </w:r>
    </w:p>
    <w:p>
      <w:pPr>
        <w:pStyle w:val="ListParagraph"/>
        <w:numPr>
          <w:ilvl w:val="0"/>
          <w:numId w:val="4"/>
        </w:numPr>
        <w:spacing w:after="40" w:before="40"/>
      </w:pPr>
      <w:r>
        <w:rPr>
          <w:rFonts w:ascii="Arial" w:cs="Arial" w:eastAsia="Arial" w:hAnsi="Arial"/>
          <w:color w:val="374151"/>
          <w:sz w:val="19"/>
          <w:szCs w:val="19"/>
        </w:rPr>
        <w:t xml:space="preserve">Deal-to-project automation: when a deal is won, a Procore project is created or linked automatically</w:t>
      </w:r>
    </w:p>
    <w:p>
      <w:pPr>
        <w:pStyle w:val="ListParagraph"/>
        <w:numPr>
          <w:ilvl w:val="0"/>
          <w:numId w:val="4"/>
        </w:numPr>
        <w:spacing w:after="40" w:before="40"/>
      </w:pPr>
      <w:r>
        <w:rPr>
          <w:rFonts w:ascii="Arial" w:cs="Arial" w:eastAsia="Arial" w:hAnsi="Arial"/>
          <w:color w:val="374151"/>
          <w:sz w:val="19"/>
          <w:szCs w:val="19"/>
        </w:rPr>
        <w:t xml:space="preserve">Change order tracking — automatic value updates when change orders are processed in Procore</w:t>
      </w:r>
    </w:p>
    <w:p>
      <w:pPr>
        <w:pStyle w:val="ListParagraph"/>
        <w:numPr>
          <w:ilvl w:val="0"/>
          <w:numId w:val="4"/>
        </w:numPr>
        <w:spacing w:after="40" w:before="40"/>
      </w:pPr>
      <w:r>
        <w:rPr>
          <w:rFonts w:ascii="Arial" w:cs="Arial" w:eastAsia="Arial" w:hAnsi="Arial"/>
          <w:b/>
          <w:bCs/>
          <w:color w:val="27AE60"/>
          <w:sz w:val="19"/>
          <w:szCs w:val="19"/>
        </w:rPr>
        <w:t xml:space="preserve">Dry-run mode, bi-directional write locks, rollback capability, and anomaly detection for all sync operations</w:t>
      </w:r>
    </w:p>
    <w:p>
      <w:pPr>
        <w:pStyle w:val="ListParagraph"/>
        <w:numPr>
          <w:ilvl w:val="0"/>
          <w:numId w:val="4"/>
        </w:numPr>
        <w:spacing w:after="40" w:before="40"/>
      </w:pPr>
      <w:r>
        <w:rPr>
          <w:rFonts w:ascii="Arial" w:cs="Arial" w:eastAsia="Arial" w:hAnsi="Arial"/>
          <w:b/>
          <w:bCs/>
          <w:color w:val="27AE60"/>
          <w:sz w:val="19"/>
          <w:szCs w:val="19"/>
        </w:rPr>
        <w:t xml:space="preserve">Error handling with automated retry, email notification on sync failures, and manual override controls</w:t>
      </w:r>
    </w:p>
    <w:p>
      <w:pPr>
        <w:spacing w:after="80" w:before="200"/>
      </w:pPr>
      <w:r>
        <w:rPr>
          <w:rFonts w:ascii="Arial" w:cs="Arial" w:eastAsia="Arial" w:hAnsi="Arial"/>
          <w:b/>
          <w:bCs/>
          <w:color w:val="1B2A4A"/>
          <w:sz w:val="21"/>
          <w:szCs w:val="21"/>
        </w:rPr>
        <w:t xml:space="preserve">4. Email &amp; Communication</w:t>
      </w:r>
    </w:p>
    <w:p>
      <w:pPr>
        <w:pStyle w:val="ListParagraph"/>
        <w:numPr>
          <w:ilvl w:val="0"/>
          <w:numId w:val="5"/>
        </w:numPr>
        <w:spacing w:after="40" w:before="40"/>
      </w:pPr>
      <w:r>
        <w:rPr>
          <w:rFonts w:ascii="Arial" w:cs="Arial" w:eastAsia="Arial" w:hAnsi="Arial"/>
          <w:color w:val="374151"/>
          <w:sz w:val="19"/>
          <w:szCs w:val="19"/>
        </w:rPr>
        <w:t xml:space="preserve">Microsoft Graph API integration — send and receive email directly from the CRM using T Rock’s Outlook/365</w:t>
      </w:r>
    </w:p>
    <w:p>
      <w:pPr>
        <w:pStyle w:val="ListParagraph"/>
        <w:numPr>
          <w:ilvl w:val="0"/>
          <w:numId w:val="5"/>
        </w:numPr>
        <w:spacing w:after="40" w:before="40"/>
      </w:pPr>
      <w:r>
        <w:rPr>
          <w:rFonts w:ascii="Arial" w:cs="Arial" w:eastAsia="Arial" w:hAnsi="Arial"/>
          <w:color w:val="374151"/>
          <w:sz w:val="19"/>
          <w:szCs w:val="19"/>
        </w:rPr>
        <w:t xml:space="preserve">Emails auto-logged to the associated deal and contact records with full thread history</w:t>
      </w:r>
    </w:p>
    <w:p>
      <w:pPr>
        <w:pStyle w:val="ListParagraph"/>
        <w:numPr>
          <w:ilvl w:val="0"/>
          <w:numId w:val="5"/>
        </w:numPr>
        <w:spacing w:after="40" w:before="40"/>
      </w:pPr>
      <w:r>
        <w:rPr>
          <w:rFonts w:ascii="Arial" w:cs="Arial" w:eastAsia="Arial" w:hAnsi="Arial"/>
          <w:color w:val="374151"/>
          <w:sz w:val="19"/>
          <w:szCs w:val="19"/>
        </w:rPr>
        <w:t xml:space="preserve">Inbound email triggers — client reply creates a task on the rep’s daily list</w:t>
      </w:r>
    </w:p>
    <w:p>
      <w:pPr>
        <w:pStyle w:val="ListParagraph"/>
        <w:numPr>
          <w:ilvl w:val="0"/>
          <w:numId w:val="5"/>
        </w:numPr>
        <w:spacing w:after="40" w:before="40"/>
      </w:pPr>
      <w:r>
        <w:rPr>
          <w:rFonts w:ascii="Arial" w:cs="Arial" w:eastAsia="Arial" w:hAnsi="Arial"/>
          <w:color w:val="374151"/>
          <w:sz w:val="19"/>
          <w:szCs w:val="19"/>
        </w:rPr>
        <w:t xml:space="preserve">Contact communication history — every email, call, and note tracked per contact with touchpoint counter</w:t>
      </w:r>
    </w:p>
    <w:p>
      <w:pPr>
        <w:spacing w:after="80" w:before="200"/>
      </w:pPr>
      <w:r>
        <w:rPr>
          <w:rFonts w:ascii="Arial" w:cs="Arial" w:eastAsia="Arial" w:hAnsi="Arial"/>
          <w:b/>
          <w:bCs/>
          <w:color w:val="1B2A4A"/>
          <w:sz w:val="21"/>
          <w:szCs w:val="21"/>
        </w:rPr>
        <w:t xml:space="preserve">5. Contact Directory</w:t>
      </w:r>
    </w:p>
    <w:p>
      <w:pPr>
        <w:pStyle w:val="ListParagraph"/>
        <w:numPr>
          <w:ilvl w:val="0"/>
          <w:numId w:val="6"/>
        </w:numPr>
        <w:spacing w:after="40" w:before="40"/>
      </w:pPr>
      <w:r>
        <w:rPr>
          <w:rFonts w:ascii="Arial" w:cs="Arial" w:eastAsia="Arial" w:hAnsi="Arial"/>
          <w:color w:val="374151"/>
          <w:sz w:val="19"/>
          <w:szCs w:val="19"/>
        </w:rPr>
        <w:t xml:space="preserve">Full contact directory with search, filter, and categorization (client, sub, architect, property manager, vendor, etc.)</w:t>
      </w:r>
    </w:p>
    <w:p>
      <w:pPr>
        <w:pStyle w:val="ListParagraph"/>
        <w:numPr>
          <w:ilvl w:val="0"/>
          <w:numId w:val="6"/>
        </w:numPr>
        <w:spacing w:after="40" w:before="40"/>
      </w:pPr>
      <w:r>
        <w:rPr>
          <w:rFonts w:ascii="Arial" w:cs="Arial" w:eastAsia="Arial" w:hAnsi="Arial"/>
          <w:color w:val="374151"/>
          <w:sz w:val="19"/>
          <w:szCs w:val="19"/>
        </w:rPr>
        <w:t xml:space="preserve">Contact-to-deal association — every deal, project, and communication visible on the contact record</w:t>
      </w:r>
    </w:p>
    <w:p>
      <w:pPr>
        <w:pStyle w:val="ListParagraph"/>
        <w:numPr>
          <w:ilvl w:val="0"/>
          <w:numId w:val="6"/>
        </w:numPr>
        <w:spacing w:after="40" w:before="40"/>
      </w:pPr>
      <w:r>
        <w:rPr>
          <w:rFonts w:ascii="Arial" w:cs="Arial" w:eastAsia="Arial" w:hAnsi="Arial"/>
          <w:color w:val="374151"/>
          <w:sz w:val="19"/>
          <w:szCs w:val="19"/>
        </w:rPr>
        <w:t xml:space="preserve">De-duplication logic to prevent duplicate contact creation</w:t>
      </w:r>
    </w:p>
    <w:p>
      <w:pPr>
        <w:pStyle w:val="ListParagraph"/>
        <w:numPr>
          <w:ilvl w:val="0"/>
          <w:numId w:val="6"/>
        </w:numPr>
        <w:spacing w:after="40" w:before="40"/>
      </w:pPr>
      <w:r>
        <w:rPr>
          <w:rFonts w:ascii="Arial" w:cs="Arial" w:eastAsia="Arial" w:hAnsi="Arial"/>
          <w:color w:val="374151"/>
          <w:sz w:val="19"/>
          <w:szCs w:val="19"/>
        </w:rPr>
        <w:t xml:space="preserve">Touchpoint alerts — system alerts until a new contact receives outreach</w:t>
      </w:r>
    </w:p>
    <w:p>
      <w:pPr>
        <w:spacing w:after="80" w:before="200"/>
      </w:pPr>
      <w:r>
        <w:rPr>
          <w:rFonts w:ascii="Arial" w:cs="Arial" w:eastAsia="Arial" w:hAnsi="Arial"/>
          <w:b/>
          <w:bCs/>
          <w:color w:val="1B2A4A"/>
          <w:sz w:val="21"/>
          <w:szCs w:val="21"/>
        </w:rPr>
        <w:t xml:space="preserve">6. Built-In Photo Management</w:t>
      </w:r>
    </w:p>
    <w:p>
      <w:pPr>
        <w:pStyle w:val="ListParagraph"/>
        <w:numPr>
          <w:ilvl w:val="0"/>
          <w:numId w:val="7"/>
        </w:numPr>
        <w:spacing w:after="40" w:before="40"/>
      </w:pPr>
      <w:r>
        <w:rPr>
          <w:rFonts w:ascii="Arial" w:cs="Arial" w:eastAsia="Arial" w:hAnsi="Arial"/>
          <w:color w:val="374151"/>
          <w:sz w:val="19"/>
          <w:szCs w:val="19"/>
        </w:rPr>
        <w:t xml:space="preserve">Native photo upload and storage within the CRM — no external tools required</w:t>
      </w:r>
    </w:p>
    <w:p>
      <w:pPr>
        <w:pStyle w:val="ListParagraph"/>
        <w:numPr>
          <w:ilvl w:val="0"/>
          <w:numId w:val="7"/>
        </w:numPr>
        <w:spacing w:after="40" w:before="40"/>
      </w:pPr>
      <w:r>
        <w:rPr>
          <w:rFonts w:ascii="Arial" w:cs="Arial" w:eastAsia="Arial" w:hAnsi="Arial"/>
          <w:color w:val="374151"/>
          <w:sz w:val="19"/>
          <w:szCs w:val="19"/>
        </w:rPr>
        <w:t xml:space="preserve">Photos tied to deals, properties, and projects</w:t>
      </w:r>
    </w:p>
    <w:p>
      <w:pPr>
        <w:pStyle w:val="ListParagraph"/>
        <w:numPr>
          <w:ilvl w:val="0"/>
          <w:numId w:val="7"/>
        </w:numPr>
        <w:spacing w:after="40" w:before="40"/>
      </w:pPr>
      <w:r>
        <w:rPr>
          <w:rFonts w:ascii="Arial" w:cs="Arial" w:eastAsia="Arial" w:hAnsi="Arial"/>
          <w:color w:val="374151"/>
          <w:sz w:val="19"/>
          <w:szCs w:val="19"/>
        </w:rPr>
        <w:t xml:space="preserve">Photo timeline per deal — visual history from first site visit through closeout</w:t>
      </w:r>
    </w:p>
    <w:p>
      <w:pPr>
        <w:pStyle w:val="ListParagraph"/>
        <w:numPr>
          <w:ilvl w:val="0"/>
          <w:numId w:val="7"/>
        </w:numPr>
        <w:spacing w:after="40" w:before="40"/>
      </w:pPr>
      <w:r>
        <w:rPr>
          <w:rFonts w:ascii="Arial" w:cs="Arial" w:eastAsia="Arial" w:hAnsi="Arial"/>
          <w:color w:val="374151"/>
          <w:sz w:val="19"/>
          <w:szCs w:val="19"/>
        </w:rPr>
        <w:t xml:space="preserve">Shared across sales, estimating, and project management — uploaded once, visible everywhere</w:t>
      </w:r>
    </w:p>
    <w:p>
      <w:pPr>
        <w:pStyle w:val="ListParagraph"/>
        <w:numPr>
          <w:ilvl w:val="0"/>
          <w:numId w:val="7"/>
        </w:numPr>
        <w:spacing w:after="40" w:before="40"/>
      </w:pPr>
      <w:r>
        <w:rPr>
          <w:rFonts w:ascii="Arial" w:cs="Arial" w:eastAsia="Arial" w:hAnsi="Arial"/>
          <w:color w:val="374151"/>
          <w:sz w:val="19"/>
          <w:szCs w:val="19"/>
        </w:rPr>
        <w:t xml:space="preserve">Document and file attachments on deal records — contracts, RFPs, estimates, and change orders stored alongside photos</w:t>
      </w:r>
    </w:p>
    <w:p>
      <w:pPr>
        <w:spacing w:after="80" w:before="200"/>
      </w:pPr>
      <w:r>
        <w:rPr>
          <w:rFonts w:ascii="Arial" w:cs="Arial" w:eastAsia="Arial" w:hAnsi="Arial"/>
          <w:b/>
          <w:bCs/>
          <w:color w:val="1B2A4A"/>
          <w:sz w:val="21"/>
          <w:szCs w:val="21"/>
        </w:rPr>
        <w:t xml:space="preserve">7. Audit Trail &amp; Data Integrity</w:t>
      </w:r>
    </w:p>
    <w:p>
      <w:pPr>
        <w:pStyle w:val="ListParagraph"/>
        <w:numPr>
          <w:ilvl w:val="0"/>
          <w:numId w:val="8"/>
        </w:numPr>
        <w:spacing w:after="40" w:before="40"/>
      </w:pPr>
      <w:r>
        <w:rPr>
          <w:rFonts w:ascii="Arial" w:cs="Arial" w:eastAsia="Arial" w:hAnsi="Arial"/>
          <w:color w:val="374151"/>
          <w:sz w:val="19"/>
          <w:szCs w:val="19"/>
        </w:rPr>
        <w:t xml:space="preserve">Field-level change tracking on every record — who changed what, old value, new value, timestamp</w:t>
      </w:r>
    </w:p>
    <w:p>
      <w:pPr>
        <w:pStyle w:val="ListParagraph"/>
        <w:numPr>
          <w:ilvl w:val="0"/>
          <w:numId w:val="8"/>
        </w:numPr>
        <w:spacing w:after="40" w:before="40"/>
      </w:pPr>
      <w:r>
        <w:rPr>
          <w:rFonts w:ascii="Arial" w:cs="Arial" w:eastAsia="Arial" w:hAnsi="Arial"/>
          <w:color w:val="374151"/>
          <w:sz w:val="19"/>
          <w:szCs w:val="19"/>
        </w:rPr>
        <w:t xml:space="preserve">Stage change history with full timeline and user attribution</w:t>
      </w:r>
    </w:p>
    <w:p>
      <w:pPr>
        <w:pStyle w:val="ListParagraph"/>
        <w:numPr>
          <w:ilvl w:val="0"/>
          <w:numId w:val="8"/>
        </w:numPr>
        <w:spacing w:after="40" w:before="40"/>
      </w:pPr>
      <w:r>
        <w:rPr>
          <w:rFonts w:ascii="Arial" w:cs="Arial" w:eastAsia="Arial" w:hAnsi="Arial"/>
          <w:color w:val="374151"/>
          <w:sz w:val="19"/>
          <w:szCs w:val="19"/>
        </w:rPr>
        <w:t xml:space="preserve">Data entry guardrails — dropdowns, required fields, and validation rules to minimize human error</w:t>
      </w:r>
    </w:p>
    <w:p>
      <w:pPr>
        <w:pStyle w:val="ListParagraph"/>
        <w:numPr>
          <w:ilvl w:val="0"/>
          <w:numId w:val="8"/>
        </w:numPr>
        <w:spacing w:after="40" w:before="40"/>
      </w:pPr>
      <w:r>
        <w:rPr>
          <w:rFonts w:ascii="Arial" w:cs="Arial" w:eastAsia="Arial" w:hAnsi="Arial"/>
          <w:color w:val="374151"/>
          <w:sz w:val="19"/>
          <w:szCs w:val="19"/>
        </w:rPr>
        <w:t xml:space="preserve">Limited input options specific to T Rock — no irrelevant fields or categories</w:t>
      </w:r>
    </w:p>
    <w:p>
      <w:pPr>
        <w:spacing w:after="80" w:before="200"/>
      </w:pPr>
      <w:r>
        <w:rPr>
          <w:rFonts w:ascii="Arial" w:cs="Arial" w:eastAsia="Arial" w:hAnsi="Arial"/>
          <w:b/>
          <w:bCs/>
          <w:color w:val="1B2A4A"/>
          <w:sz w:val="21"/>
          <w:szCs w:val="21"/>
        </w:rPr>
        <w:t xml:space="preserve">8. Automated Alerts &amp; Task Management</w:t>
      </w:r>
    </w:p>
    <w:p>
      <w:pPr>
        <w:pStyle w:val="ListParagraph"/>
        <w:numPr>
          <w:ilvl w:val="0"/>
          <w:numId w:val="9"/>
        </w:numPr>
        <w:spacing w:after="40" w:before="40"/>
      </w:pPr>
      <w:r>
        <w:rPr>
          <w:rFonts w:ascii="Arial" w:cs="Arial" w:eastAsia="Arial" w:hAnsi="Arial"/>
          <w:color w:val="374151"/>
          <w:sz w:val="19"/>
          <w:szCs w:val="19"/>
        </w:rPr>
        <w:t xml:space="preserve">Automated daily task list per rep — prioritized by overdue follow-ups, inbound emails, stale deals, and deadlines</w:t>
      </w:r>
    </w:p>
    <w:p>
      <w:pPr>
        <w:pStyle w:val="ListParagraph"/>
        <w:numPr>
          <w:ilvl w:val="0"/>
          <w:numId w:val="9"/>
        </w:numPr>
        <w:spacing w:after="40" w:before="40"/>
      </w:pPr>
      <w:r>
        <w:rPr>
          <w:rFonts w:ascii="Arial" w:cs="Arial" w:eastAsia="Arial" w:hAnsi="Arial"/>
          <w:color w:val="374151"/>
          <w:sz w:val="19"/>
          <w:szCs w:val="19"/>
        </w:rPr>
        <w:t xml:space="preserve">Stale deal notifications with configurable time thresholds per stage</w:t>
      </w:r>
    </w:p>
    <w:p>
      <w:pPr>
        <w:pStyle w:val="ListParagraph"/>
        <w:numPr>
          <w:ilvl w:val="0"/>
          <w:numId w:val="9"/>
        </w:numPr>
        <w:spacing w:after="40" w:before="40"/>
      </w:pPr>
      <w:r>
        <w:rPr>
          <w:rFonts w:ascii="Arial" w:cs="Arial" w:eastAsia="Arial" w:hAnsi="Arial"/>
          <w:color w:val="374151"/>
          <w:sz w:val="19"/>
          <w:szCs w:val="19"/>
        </w:rPr>
        <w:t xml:space="preserve">Follow-up reminders tied to deal stages and contact touchpoints</w:t>
      </w:r>
    </w:p>
    <w:p>
      <w:pPr>
        <w:pStyle w:val="ListParagraph"/>
        <w:numPr>
          <w:ilvl w:val="0"/>
          <w:numId w:val="9"/>
        </w:numPr>
        <w:spacing w:after="40" w:before="40"/>
      </w:pPr>
      <w:r>
        <w:rPr>
          <w:rFonts w:ascii="Arial" w:cs="Arial" w:eastAsia="Arial" w:hAnsi="Arial"/>
          <w:color w:val="374151"/>
          <w:sz w:val="19"/>
          <w:szCs w:val="19"/>
        </w:rPr>
        <w:t xml:space="preserve">Activity drop alerts for management — flags when a rep’s activity falls below their normal baseline</w:t>
      </w:r>
    </w:p>
    <w:p>
      <w:pPr>
        <w:spacing w:after="80" w:before="200"/>
      </w:pPr>
      <w:r>
        <w:rPr>
          <w:rFonts w:ascii="Arial" w:cs="Arial" w:eastAsia="Arial" w:hAnsi="Arial"/>
          <w:b/>
          <w:bCs/>
          <w:color w:val="1B2A4A"/>
          <w:sz w:val="21"/>
          <w:szCs w:val="21"/>
        </w:rPr>
        <w:t xml:space="preserve">9. Multi-Office / Franchise Architecture</w:t>
      </w:r>
    </w:p>
    <w:p>
      <w:pPr>
        <w:pStyle w:val="ListParagraph"/>
        <w:numPr>
          <w:ilvl w:val="0"/>
          <w:numId w:val="10"/>
        </w:numPr>
        <w:spacing w:after="40" w:before="40"/>
      </w:pPr>
      <w:r>
        <w:rPr>
          <w:rFonts w:ascii="Arial" w:cs="Arial" w:eastAsia="Arial" w:hAnsi="Arial"/>
          <w:color w:val="374151"/>
          <w:sz w:val="19"/>
          <w:szCs w:val="19"/>
        </w:rPr>
        <w:t xml:space="preserve">Per-office data silos — each location operates with its own pipeline, users, and dashboards</w:t>
      </w:r>
    </w:p>
    <w:p>
      <w:pPr>
        <w:pStyle w:val="ListParagraph"/>
        <w:numPr>
          <w:ilvl w:val="0"/>
          <w:numId w:val="10"/>
        </w:numPr>
        <w:spacing w:after="40" w:before="40"/>
      </w:pPr>
      <w:r>
        <w:rPr>
          <w:rFonts w:ascii="Arial" w:cs="Arial" w:eastAsia="Arial" w:hAnsi="Arial"/>
          <w:color w:val="374151"/>
          <w:sz w:val="19"/>
          <w:szCs w:val="19"/>
        </w:rPr>
        <w:t xml:space="preserve">Cross-office reporting — roll up data for company-wide visibility</w:t>
      </w:r>
    </w:p>
    <w:p>
      <w:pPr>
        <w:pStyle w:val="ListParagraph"/>
        <w:numPr>
          <w:ilvl w:val="0"/>
          <w:numId w:val="10"/>
        </w:numPr>
        <w:spacing w:after="40" w:before="40"/>
      </w:pPr>
      <w:r>
        <w:rPr>
          <w:rFonts w:ascii="Arial" w:cs="Arial" w:eastAsia="Arial" w:hAnsi="Arial"/>
          <w:color w:val="374151"/>
          <w:sz w:val="19"/>
          <w:szCs w:val="19"/>
        </w:rPr>
        <w:t xml:space="preserve">Centralized admin — add offices, manage users and permissions from one panel</w:t>
      </w:r>
    </w:p>
    <w:p>
      <w:pPr>
        <w:pStyle w:val="ListParagraph"/>
        <w:numPr>
          <w:ilvl w:val="0"/>
          <w:numId w:val="10"/>
        </w:numPr>
        <w:spacing w:after="40" w:before="40"/>
      </w:pPr>
      <w:r>
        <w:rPr>
          <w:rFonts w:ascii="Arial" w:cs="Arial" w:eastAsia="Arial" w:hAnsi="Arial"/>
          <w:color w:val="374151"/>
          <w:sz w:val="19"/>
          <w:szCs w:val="19"/>
        </w:rPr>
        <w:t xml:space="preserve">Same codebase supports 1 to 20+ offices with no re-architecture or per-hub licensing</w:t>
      </w:r>
    </w:p>
    <w:p>
      <w:pPr>
        <w:spacing w:after="80" w:before="200"/>
      </w:pPr>
      <w:r>
        <w:rPr>
          <w:rFonts w:ascii="Arial" w:cs="Arial" w:eastAsia="Arial" w:hAnsi="Arial"/>
          <w:b/>
          <w:bCs/>
          <w:color w:val="1B2A4A"/>
          <w:sz w:val="21"/>
          <w:szCs w:val="21"/>
        </w:rPr>
        <w:t xml:space="preserve">10. Data Migration &amp; Launch Support</w:t>
      </w:r>
    </w:p>
    <w:p>
      <w:pPr>
        <w:pStyle w:val="ListParagraph"/>
        <w:numPr>
          <w:ilvl w:val="0"/>
          <w:numId w:val="11"/>
        </w:numPr>
        <w:spacing w:after="40" w:before="40"/>
      </w:pPr>
      <w:r>
        <w:rPr>
          <w:rFonts w:ascii="Arial" w:cs="Arial" w:eastAsia="Arial" w:hAnsi="Arial"/>
          <w:color w:val="374151"/>
          <w:sz w:val="19"/>
          <w:szCs w:val="19"/>
        </w:rPr>
        <w:t xml:space="preserve">Full data migration from HubSpot — deals, contacts, activities, and communication history</w:t>
      </w:r>
    </w:p>
    <w:p>
      <w:pPr>
        <w:pStyle w:val="ListParagraph"/>
        <w:numPr>
          <w:ilvl w:val="0"/>
          <w:numId w:val="11"/>
        </w:numPr>
        <w:spacing w:after="40" w:before="40"/>
      </w:pPr>
      <w:r>
        <w:rPr>
          <w:rFonts w:ascii="Arial" w:cs="Arial" w:eastAsia="Arial" w:hAnsi="Arial"/>
          <w:color w:val="374151"/>
          <w:sz w:val="19"/>
          <w:szCs w:val="19"/>
        </w:rPr>
        <w:t xml:space="preserve">Data validation with the sales team before go-live</w:t>
      </w:r>
    </w:p>
    <w:p>
      <w:pPr>
        <w:pStyle w:val="ListParagraph"/>
        <w:numPr>
          <w:ilvl w:val="0"/>
          <w:numId w:val="11"/>
        </w:numPr>
        <w:spacing w:after="40" w:before="40"/>
      </w:pPr>
      <w:r>
        <w:rPr>
          <w:rFonts w:ascii="Arial" w:cs="Arial" w:eastAsia="Arial" w:hAnsi="Arial"/>
          <w:color w:val="374151"/>
          <w:sz w:val="19"/>
          <w:szCs w:val="19"/>
        </w:rPr>
        <w:t xml:space="preserve">Team training session for all CRM users</w:t>
      </w:r>
    </w:p>
    <w:p>
      <w:pPr>
        <w:pStyle w:val="ListParagraph"/>
        <w:numPr>
          <w:ilvl w:val="0"/>
          <w:numId w:val="11"/>
        </w:numPr>
        <w:spacing w:after="40" w:before="40"/>
      </w:pPr>
      <w:r>
        <w:rPr>
          <w:rFonts w:ascii="Arial" w:cs="Arial" w:eastAsia="Arial" w:hAnsi="Arial"/>
          <w:strike/>
          <w:color w:val="C0392B"/>
          <w:sz w:val="19"/>
          <w:szCs w:val="19"/>
        </w:rPr>
        <w:t xml:space="preserve">One week of post-launch on-site support (3 hours/day) for bug fixes, adjustments, and hands-on assistance</w:t>
      </w:r>
      <w:r>
        <w:rPr>
          <w:rFonts w:ascii="Arial" w:cs="Arial" w:eastAsia="Arial" w:hAnsi="Arial"/>
          <w:b/>
          <w:bCs/>
          <w:color w:val="27AE60"/>
          <w:sz w:val="19"/>
          <w:szCs w:val="19"/>
        </w:rPr>
        <w:t xml:space="preserve"> BuildKit Labs will be on-site at T Rock’s office during the full build phase (April 15 – May 15) for real-time development and feedback. Post go-live: 10 hours/week on-site support for 30 days, then remote support for the remaining 60 days of the warranty period.</w:t>
      </w:r>
    </w:p>
    <w:p>
      <w:r>
        <w:br w:type="page"/>
      </w:r>
    </w:p>
    <w:p>
      <w:pPr>
        <w:pBdr>
          <w:bottom w:val="single" w:color="2E75B6" w:sz="4" w:space="4"/>
        </w:pBdr>
        <w:spacing w:after="160" w:before="360"/>
      </w:pPr>
      <w:r>
        <w:rPr>
          <w:rFonts w:ascii="Arial" w:cs="Arial" w:eastAsia="Arial" w:hAnsi="Arial"/>
          <w:b/>
          <w:bCs/>
          <w:color w:val="2E75B6"/>
          <w:sz w:val="24"/>
          <w:szCs w:val="24"/>
        </w:rPr>
        <w:t xml:space="preserve">Acceptance Criteria — NEW</w:t>
      </w:r>
    </w:p>
    <w:p>
      <w:pPr>
        <w:spacing w:after="80" w:before="80"/>
      </w:pPr>
      <w:r>
        <w:rPr>
          <w:rFonts w:ascii="Arial" w:cs="Arial" w:eastAsia="Arial" w:hAnsi="Arial"/>
          <w:b/>
          <w:bCs/>
          <w:color w:val="27AE60"/>
          <w:sz w:val="19"/>
          <w:szCs w:val="19"/>
        </w:rPr>
        <w:t xml:space="preserve">This section is new. It defines the criteria for formal acceptance of the Phase 1 deliverables.</w:t>
      </w:r>
    </w:p>
    <w:p>
      <w:pPr>
        <w:spacing w:after="80" w:before="80"/>
      </w:pPr>
      <w:r>
        <w:rPr>
          <w:rFonts w:ascii="Arial" w:cs="Arial" w:eastAsia="Arial" w:hAnsi="Arial"/>
          <w:b/>
          <w:bCs/>
          <w:color w:val="27AE60"/>
          <w:sz w:val="19"/>
          <w:szCs w:val="19"/>
        </w:rPr>
        <w:t xml:space="preserve">Acceptance means all 10 deliverable sections listed above are built, functional, and verified against the following checklist. T Rock must designate one Acceptance Authority (named individual) who is authorized to sign off on deliverables and approve go-live.</w:t>
      </w:r>
    </w:p>
    <w:p>
      <w:pPr>
        <w:spacing w:after="80" w:before="160"/>
      </w:pPr>
      <w:r>
        <w:rPr>
          <w:rFonts w:ascii="Arial" w:cs="Arial" w:eastAsia="Arial" w:hAnsi="Arial"/>
          <w:b/>
          <w:bCs/>
          <w:color w:val="27AE60"/>
          <w:sz w:val="21"/>
          <w:szCs w:val="21"/>
        </w:rPr>
        <w:t xml:space="preserve">Acceptance Checklist</w:t>
      </w:r>
    </w:p>
    <w:p>
      <w:pPr>
        <w:pStyle w:val="ListParagraph"/>
        <w:numPr>
          <w:ilvl w:val="0"/>
          <w:numId w:val="12"/>
        </w:numPr>
        <w:spacing w:after="40" w:before="40"/>
      </w:pPr>
      <w:r>
        <w:rPr>
          <w:rFonts w:ascii="Arial" w:cs="Arial" w:eastAsia="Arial" w:hAnsi="Arial"/>
          <w:b/>
          <w:bCs/>
          <w:color w:val="27AE60"/>
          <w:sz w:val="19"/>
          <w:szCs w:val="19"/>
        </w:rPr>
        <w:t xml:space="preserve">Pipeline: All 7 stages functional, DD separation working, validation gates enforced, stale deal alerts firing</w:t>
      </w:r>
    </w:p>
    <w:p>
      <w:pPr>
        <w:pStyle w:val="ListParagraph"/>
        <w:numPr>
          <w:ilvl w:val="0"/>
          <w:numId w:val="12"/>
        </w:numPr>
        <w:spacing w:after="40" w:before="40"/>
      </w:pPr>
      <w:r>
        <w:rPr>
          <w:rFonts w:ascii="Arial" w:cs="Arial" w:eastAsia="Arial" w:hAnsi="Arial"/>
          <w:b/>
          <w:bCs/>
          <w:color w:val="27AE60"/>
          <w:sz w:val="19"/>
          <w:szCs w:val="19"/>
        </w:rPr>
        <w:t xml:space="preserve">Reporting: All preset reports rendering correctly, per-rep and director dashboards populated, custom report builder functional, export working</w:t>
      </w:r>
    </w:p>
    <w:p>
      <w:pPr>
        <w:pStyle w:val="ListParagraph"/>
        <w:numPr>
          <w:ilvl w:val="0"/>
          <w:numId w:val="12"/>
        </w:numPr>
        <w:spacing w:after="40" w:before="40"/>
      </w:pPr>
      <w:r>
        <w:rPr>
          <w:rFonts w:ascii="Arial" w:cs="Arial" w:eastAsia="Arial" w:hAnsi="Arial"/>
          <w:b/>
          <w:bCs/>
          <w:color w:val="27AE60"/>
          <w:sz w:val="19"/>
          <w:szCs w:val="19"/>
        </w:rPr>
        <w:t xml:space="preserve">Procore: Bi-directional sync live with all SyncHub v3 functionality, dry-run mode available, error handling and retry operational, Bid Board integration surfacing data</w:t>
      </w:r>
    </w:p>
    <w:p>
      <w:pPr>
        <w:pStyle w:val="ListParagraph"/>
        <w:numPr>
          <w:ilvl w:val="0"/>
          <w:numId w:val="12"/>
        </w:numPr>
        <w:spacing w:after="40" w:before="40"/>
      </w:pPr>
      <w:r>
        <w:rPr>
          <w:rFonts w:ascii="Arial" w:cs="Arial" w:eastAsia="Arial" w:hAnsi="Arial"/>
          <w:b/>
          <w:bCs/>
          <w:color w:val="27AE60"/>
          <w:sz w:val="19"/>
          <w:szCs w:val="19"/>
        </w:rPr>
        <w:t xml:space="preserve">Email: Microsoft 365 integration sending/receiving, emails auto-logging to deals and contacts, inbound triggers creating tasks</w:t>
      </w:r>
    </w:p>
    <w:p>
      <w:pPr>
        <w:pStyle w:val="ListParagraph"/>
        <w:numPr>
          <w:ilvl w:val="0"/>
          <w:numId w:val="12"/>
        </w:numPr>
        <w:spacing w:after="40" w:before="40"/>
      </w:pPr>
      <w:r>
        <w:rPr>
          <w:rFonts w:ascii="Arial" w:cs="Arial" w:eastAsia="Arial" w:hAnsi="Arial"/>
          <w:b/>
          <w:bCs/>
          <w:color w:val="27AE60"/>
          <w:sz w:val="19"/>
          <w:szCs w:val="19"/>
        </w:rPr>
        <w:t xml:space="preserve">Contacts: Directory searchable and filterable, de-duplication working, touchpoint alerts active</w:t>
      </w:r>
    </w:p>
    <w:p>
      <w:pPr>
        <w:pStyle w:val="ListParagraph"/>
        <w:numPr>
          <w:ilvl w:val="0"/>
          <w:numId w:val="12"/>
        </w:numPr>
        <w:spacing w:after="40" w:before="40"/>
      </w:pPr>
      <w:r>
        <w:rPr>
          <w:rFonts w:ascii="Arial" w:cs="Arial" w:eastAsia="Arial" w:hAnsi="Arial"/>
          <w:b/>
          <w:bCs/>
          <w:color w:val="27AE60"/>
          <w:sz w:val="19"/>
          <w:szCs w:val="19"/>
        </w:rPr>
        <w:t xml:space="preserve">Photos: Upload, storage, timeline view, cross-team visibility, and document attachments all functional</w:t>
      </w:r>
    </w:p>
    <w:p>
      <w:pPr>
        <w:pStyle w:val="ListParagraph"/>
        <w:numPr>
          <w:ilvl w:val="0"/>
          <w:numId w:val="12"/>
        </w:numPr>
        <w:spacing w:after="40" w:before="40"/>
      </w:pPr>
      <w:r>
        <w:rPr>
          <w:rFonts w:ascii="Arial" w:cs="Arial" w:eastAsia="Arial" w:hAnsi="Arial"/>
          <w:b/>
          <w:bCs/>
          <w:color w:val="27AE60"/>
          <w:sz w:val="19"/>
          <w:szCs w:val="19"/>
        </w:rPr>
        <w:t xml:space="preserve">Audit Trail: Field-level tracking recording changes, stage history visible, data entry guardrails enforced</w:t>
      </w:r>
    </w:p>
    <w:p>
      <w:pPr>
        <w:pStyle w:val="ListParagraph"/>
        <w:numPr>
          <w:ilvl w:val="0"/>
          <w:numId w:val="12"/>
        </w:numPr>
        <w:spacing w:after="40" w:before="40"/>
      </w:pPr>
      <w:r>
        <w:rPr>
          <w:rFonts w:ascii="Arial" w:cs="Arial" w:eastAsia="Arial" w:hAnsi="Arial"/>
          <w:b/>
          <w:bCs/>
          <w:color w:val="27AE60"/>
          <w:sz w:val="19"/>
          <w:szCs w:val="19"/>
        </w:rPr>
        <w:t xml:space="preserve">Alerts &amp; Tasks: Daily task list generating, stale deal notifications firing, activity drop alerts triggering</w:t>
      </w:r>
    </w:p>
    <w:p>
      <w:pPr>
        <w:pStyle w:val="ListParagraph"/>
        <w:numPr>
          <w:ilvl w:val="0"/>
          <w:numId w:val="12"/>
        </w:numPr>
        <w:spacing w:after="40" w:before="40"/>
      </w:pPr>
      <w:r>
        <w:rPr>
          <w:rFonts w:ascii="Arial" w:cs="Arial" w:eastAsia="Arial" w:hAnsi="Arial"/>
          <w:b/>
          <w:bCs/>
          <w:color w:val="27AE60"/>
          <w:sz w:val="19"/>
          <w:szCs w:val="19"/>
        </w:rPr>
        <w:t xml:space="preserve">Multi-Office: At least one office configured and operational, cross-office roll-up reporting verified, admin panel functional</w:t>
      </w:r>
    </w:p>
    <w:p>
      <w:pPr>
        <w:pStyle w:val="ListParagraph"/>
        <w:numPr>
          <w:ilvl w:val="0"/>
          <w:numId w:val="12"/>
        </w:numPr>
        <w:spacing w:after="40" w:before="40"/>
      </w:pPr>
      <w:r>
        <w:rPr>
          <w:rFonts w:ascii="Arial" w:cs="Arial" w:eastAsia="Arial" w:hAnsi="Arial"/>
          <w:b/>
          <w:bCs/>
          <w:color w:val="27AE60"/>
          <w:sz w:val="19"/>
          <w:szCs w:val="19"/>
        </w:rPr>
        <w:t xml:space="preserve">Data Migration: All HubSpot data migrated, validated by sales team, no orphaned or duplicate records</w:t>
      </w:r>
    </w:p>
    <w:p>
      <w:pPr>
        <w:spacing w:after="80" w:before="160"/>
      </w:pPr>
      <w:r>
        <w:rPr>
          <w:rFonts w:ascii="Arial" w:cs="Arial" w:eastAsia="Arial" w:hAnsi="Arial"/>
          <w:b/>
          <w:bCs/>
          <w:color w:val="27AE60"/>
          <w:sz w:val="19"/>
          <w:szCs w:val="19"/>
        </w:rPr>
        <w:t xml:space="preserve">Acceptance Process:</w:t>
      </w:r>
    </w:p>
    <w:p>
      <w:pPr>
        <w:pStyle w:val="ListParagraph"/>
        <w:numPr>
          <w:ilvl w:val="0"/>
          <w:numId w:val="13"/>
        </w:numPr>
        <w:spacing w:after="40" w:before="40"/>
      </w:pPr>
      <w:r>
        <w:rPr>
          <w:rFonts w:ascii="Arial" w:cs="Arial" w:eastAsia="Arial" w:hAnsi="Arial"/>
          <w:b/>
          <w:bCs/>
          <w:color w:val="27AE60"/>
          <w:sz w:val="19"/>
          <w:szCs w:val="19"/>
        </w:rPr>
        <w:t xml:space="preserve">Upon completion of all deliverables, BuildKit Labs will notify T Rock’s designated Acceptance Authority in writing that the platform is ready for acceptance review.</w:t>
      </w:r>
    </w:p>
    <w:p>
      <w:pPr>
        <w:pStyle w:val="ListParagraph"/>
        <w:numPr>
          <w:ilvl w:val="0"/>
          <w:numId w:val="13"/>
        </w:numPr>
        <w:spacing w:after="40" w:before="40"/>
      </w:pPr>
      <w:r>
        <w:rPr>
          <w:rFonts w:ascii="Arial" w:cs="Arial" w:eastAsia="Arial" w:hAnsi="Arial"/>
          <w:b/>
          <w:bCs/>
          <w:color w:val="27AE60"/>
          <w:sz w:val="19"/>
          <w:szCs w:val="19"/>
        </w:rPr>
        <w:t xml:space="preserve">T Rock has 5 business days from notification to review the platform against the checklist above and submit any acceptance issues in writing.</w:t>
      </w:r>
    </w:p>
    <w:p>
      <w:pPr>
        <w:pStyle w:val="ListParagraph"/>
        <w:numPr>
          <w:ilvl w:val="0"/>
          <w:numId w:val="13"/>
        </w:numPr>
        <w:spacing w:after="40" w:before="40"/>
      </w:pPr>
      <w:r>
        <w:rPr>
          <w:rFonts w:ascii="Arial" w:cs="Arial" w:eastAsia="Arial" w:hAnsi="Arial"/>
          <w:b/>
          <w:bCs/>
          <w:color w:val="27AE60"/>
          <w:sz w:val="19"/>
          <w:szCs w:val="19"/>
        </w:rPr>
        <w:t xml:space="preserve">Acceptance issues must reference a specific checklist item and describe the deficiency. Cosmetic preferences, design opinions, and new feature requests do not qualify as acceptance issues.</w:t>
      </w:r>
    </w:p>
    <w:p>
      <w:pPr>
        <w:pStyle w:val="ListParagraph"/>
        <w:numPr>
          <w:ilvl w:val="0"/>
          <w:numId w:val="13"/>
        </w:numPr>
        <w:spacing w:after="40" w:before="40"/>
      </w:pPr>
      <w:r>
        <w:rPr>
          <w:rFonts w:ascii="Arial" w:cs="Arial" w:eastAsia="Arial" w:hAnsi="Arial"/>
          <w:b/>
          <w:bCs/>
          <w:color w:val="27AE60"/>
          <w:sz w:val="19"/>
          <w:szCs w:val="19"/>
        </w:rPr>
        <w:t xml:space="preserve">BuildKit Labs will resolve all valid acceptance issues within 1 business day of receipt.</w:t>
      </w:r>
    </w:p>
    <w:p>
      <w:pPr>
        <w:pStyle w:val="ListParagraph"/>
        <w:numPr>
          <w:ilvl w:val="0"/>
          <w:numId w:val="13"/>
        </w:numPr>
        <w:spacing w:after="40" w:before="40"/>
      </w:pPr>
      <w:r>
        <w:rPr>
          <w:rFonts w:ascii="Arial" w:cs="Arial" w:eastAsia="Arial" w:hAnsi="Arial"/>
          <w:b/>
          <w:bCs/>
          <w:color w:val="27AE60"/>
          <w:sz w:val="19"/>
          <w:szCs w:val="19"/>
        </w:rPr>
        <w:t xml:space="preserve">If no acceptance issues are submitted within the 5-business-day review window, the deliverables are deemed accepted.</w:t>
      </w:r>
    </w:p>
    <w:p>
      <w:pPr>
        <w:pStyle w:val="ListParagraph"/>
        <w:numPr>
          <w:ilvl w:val="0"/>
          <w:numId w:val="13"/>
        </w:numPr>
        <w:spacing w:after="40" w:before="40"/>
      </w:pPr>
      <w:r>
        <w:rPr>
          <w:rFonts w:ascii="Arial" w:cs="Arial" w:eastAsia="Arial" w:hAnsi="Arial"/>
          <w:b/>
          <w:bCs/>
          <w:color w:val="27AE60"/>
          <w:sz w:val="19"/>
          <w:szCs w:val="19"/>
        </w:rPr>
        <w:t xml:space="preserve">Acceptance triggers the go-live milestone and the second payment installment.</w:t>
      </w:r>
    </w:p>
    <w:p>
      <w:pPr>
        <w:pBdr>
          <w:bottom w:val="single" w:color="2E75B6" w:sz="4" w:space="4"/>
        </w:pBdr>
        <w:spacing w:after="160" w:before="360"/>
      </w:pPr>
      <w:r>
        <w:rPr>
          <w:rFonts w:ascii="Arial" w:cs="Arial" w:eastAsia="Arial" w:hAnsi="Arial"/>
          <w:b/>
          <w:bCs/>
          <w:color w:val="2E75B6"/>
          <w:sz w:val="24"/>
          <w:szCs w:val="24"/>
        </w:rPr>
        <w:t xml:space="preserve">What’s Not Included (Phase 2)</w:t>
      </w:r>
    </w:p>
    <w:p>
      <w:pPr>
        <w:spacing w:after="80" w:before="80"/>
      </w:pPr>
      <w:r>
        <w:rPr>
          <w:rFonts w:ascii="Arial" w:cs="Arial" w:eastAsia="Arial" w:hAnsi="Arial"/>
          <w:i w:val="false"/>
          <w:iCs w:val="false"/>
          <w:color w:val="374151"/>
          <w:sz w:val="19"/>
          <w:szCs w:val="19"/>
        </w:rPr>
        <w:t xml:space="preserve">The following features were discussed in the discovery meeting and are explicitly deferred to a separate Phase 2 engagement:</w:t>
      </w:r>
    </w:p>
    <w:p>
      <w:pPr>
        <w:pStyle w:val="ListParagraph"/>
        <w:numPr>
          <w:ilvl w:val="0"/>
          <w:numId w:val="14"/>
        </w:numPr>
        <w:spacing w:after="40" w:before="40"/>
      </w:pPr>
      <w:r>
        <w:rPr>
          <w:rFonts w:ascii="Arial" w:cs="Arial" w:eastAsia="Arial" w:hAnsi="Arial"/>
          <w:color w:val="374151"/>
          <w:sz w:val="19"/>
          <w:szCs w:val="19"/>
        </w:rPr>
        <w:t xml:space="preserve">AI-powered business card scanning</w:t>
      </w:r>
    </w:p>
    <w:p>
      <w:pPr>
        <w:pStyle w:val="ListParagraph"/>
        <w:numPr>
          <w:ilvl w:val="0"/>
          <w:numId w:val="14"/>
        </w:numPr>
        <w:spacing w:after="40" w:before="40"/>
      </w:pPr>
      <w:r>
        <w:rPr>
          <w:rFonts w:ascii="Arial" w:cs="Arial" w:eastAsia="Arial" w:hAnsi="Arial"/>
          <w:color w:val="374151"/>
          <w:sz w:val="19"/>
          <w:szCs w:val="19"/>
        </w:rPr>
        <w:t xml:space="preserve">AI industry news feed and automatic lead generation</w:t>
      </w:r>
    </w:p>
    <w:p>
      <w:pPr>
        <w:pStyle w:val="ListParagraph"/>
        <w:numPr>
          <w:ilvl w:val="0"/>
          <w:numId w:val="14"/>
        </w:numPr>
        <w:spacing w:after="40" w:before="40"/>
      </w:pPr>
      <w:r>
        <w:rPr>
          <w:rFonts w:ascii="Arial" w:cs="Arial" w:eastAsia="Arial" w:hAnsi="Arial"/>
          <w:color w:val="374151"/>
          <w:sz w:val="19"/>
          <w:szCs w:val="19"/>
        </w:rPr>
        <w:t xml:space="preserve">Large loss monitoring for existing client properties</w:t>
      </w:r>
    </w:p>
    <w:p>
      <w:pPr>
        <w:pStyle w:val="ListParagraph"/>
        <w:numPr>
          <w:ilvl w:val="0"/>
          <w:numId w:val="14"/>
        </w:numPr>
        <w:spacing w:after="40" w:before="40"/>
      </w:pPr>
      <w:r>
        <w:rPr>
          <w:rFonts w:ascii="Arial" w:cs="Arial" w:eastAsia="Arial" w:hAnsi="Arial"/>
          <w:color w:val="374151"/>
          <w:sz w:val="19"/>
          <w:szCs w:val="19"/>
        </w:rPr>
        <w:t xml:space="preserve">AI data discrepancy detection (CRM vs. Procore vs. spreadsheets)</w:t>
      </w:r>
    </w:p>
    <w:p>
      <w:pPr>
        <w:pStyle w:val="ListParagraph"/>
        <w:numPr>
          <w:ilvl w:val="0"/>
          <w:numId w:val="14"/>
        </w:numPr>
        <w:spacing w:after="40" w:before="40"/>
      </w:pPr>
      <w:r>
        <w:rPr>
          <w:rFonts w:ascii="Arial" w:cs="Arial" w:eastAsia="Arial" w:hAnsi="Arial"/>
          <w:color w:val="374151"/>
          <w:sz w:val="19"/>
          <w:szCs w:val="19"/>
        </w:rPr>
        <w:t xml:space="preserve">Performance anomaly detection</w:t>
      </w:r>
    </w:p>
    <w:p>
      <w:pPr>
        <w:pStyle w:val="ListParagraph"/>
        <w:numPr>
          <w:ilvl w:val="0"/>
          <w:numId w:val="14"/>
        </w:numPr>
        <w:spacing w:after="40" w:before="40"/>
      </w:pPr>
      <w:r>
        <w:rPr>
          <w:rFonts w:ascii="Arial" w:cs="Arial" w:eastAsia="Arial" w:hAnsi="Arial"/>
          <w:color w:val="374151"/>
          <w:sz w:val="19"/>
          <w:szCs w:val="19"/>
        </w:rPr>
        <w:t xml:space="preserve">Relationship/influence mapping with connection value scoring</w:t>
      </w:r>
    </w:p>
    <w:p>
      <w:pPr>
        <w:pStyle w:val="ListParagraph"/>
        <w:numPr>
          <w:ilvl w:val="0"/>
          <w:numId w:val="14"/>
        </w:numPr>
        <w:spacing w:after="40" w:before="40"/>
      </w:pPr>
      <w:r>
        <w:rPr>
          <w:rFonts w:ascii="Arial" w:cs="Arial" w:eastAsia="Arial" w:hAnsi="Arial"/>
          <w:color w:val="374151"/>
          <w:sz w:val="19"/>
          <w:szCs w:val="19"/>
        </w:rPr>
        <w:t xml:space="preserve">Phone call recording integration</w:t>
      </w:r>
    </w:p>
    <w:p>
      <w:pPr>
        <w:spacing w:after="80" w:before="80"/>
      </w:pPr>
      <w:r>
        <w:rPr>
          <w:rFonts w:ascii="Arial" w:cs="Arial" w:eastAsia="Arial" w:hAnsi="Arial"/>
          <w:i w:val="false"/>
          <w:iCs w:val="false"/>
          <w:color w:val="374151"/>
          <w:sz w:val="19"/>
          <w:szCs w:val="19"/>
        </w:rPr>
        <w:t xml:space="preserve">Phase 2 will be scoped and priced after Phase 1 is live and the team has had time to prioritize based on real usage.</w:t>
      </w:r>
    </w:p>
    <w:p>
      <w:r>
        <w:br w:type="page"/>
      </w:r>
    </w:p>
    <w:p>
      <w:pPr>
        <w:pBdr>
          <w:bottom w:val="single" w:color="2E75B6" w:sz="4" w:space="4"/>
        </w:pBdr>
        <w:spacing w:after="160" w:before="360"/>
      </w:pPr>
      <w:r>
        <w:rPr>
          <w:rFonts w:ascii="Arial" w:cs="Arial" w:eastAsia="Arial" w:hAnsi="Arial"/>
          <w:b/>
          <w:bCs/>
          <w:color w:val="2E75B6"/>
          <w:sz w:val="24"/>
          <w:szCs w:val="24"/>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4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SOW Signed + Deposit</w:t>
            </w:r>
          </w:p>
        </w:tc>
        <w:tc>
          <w:tcPr>
            <w:tcW w:type="dxa" w:w="4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Scope confirmed, SOW executed, first payment received</w:t>
            </w:r>
          </w:p>
        </w:tc>
        <w:tc>
          <w:tcPr>
            <w:tcW w:type="dxa" w:w="2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This week</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7AE60"/>
                <w:sz w:val="19"/>
                <w:szCs w:val="19"/>
              </w:rPr>
              <w:t xml:space="preserve">On-Site Build Phase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7AE60"/>
                <w:sz w:val="19"/>
                <w:szCs w:val="19"/>
              </w:rPr>
              <w:t xml:space="preserve">BuildKit Labs on-site at T Rock office. Full platform development, integrations, and real-time feedback.</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7AE60"/>
                <w:sz w:val="19"/>
                <w:szCs w:val="19"/>
              </w:rPr>
              <w:t xml:space="preserve">April 15 – May 15</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Sales Team Testing</w:t>
            </w:r>
          </w:p>
        </w:tc>
        <w:tc>
          <w:tcPr>
            <w:tcW w:type="dxa" w:w="4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2–3 reps test the live platform, provide feedback, bugs resolved</w:t>
            </w:r>
          </w:p>
        </w:tc>
        <w:tc>
          <w:tcPr>
            <w:tcW w:type="dxa" w:w="2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Early May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Data Migration</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HubSpot data migrated, validated with team, and finalized</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Early May</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Acceptance Review</w:t>
            </w:r>
          </w:p>
        </w:tc>
        <w:tc>
          <w:tcPr>
            <w:tcW w:type="dxa" w:w="4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T Rock’s Acceptance Authority reviews against checklist. 5 business days to submit issues.</w:t>
            </w:r>
          </w:p>
        </w:tc>
        <w:tc>
          <w:tcPr>
            <w:tcW w:type="dxa" w:w="2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May 15 – May 22</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Go-Live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Full team trained and live on the platform</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By May 15, 2026</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strike/>
                <w:color w:val="C0392B"/>
                <w:sz w:val="19"/>
                <w:szCs w:val="19"/>
              </w:rPr>
              <w:t xml:space="preserve">Post-Launch Support (1 week)</w:t>
            </w:r>
            <w:r>
              <w:rPr>
                <w:rFonts w:ascii="Arial" w:cs="Arial" w:eastAsia="Arial" w:hAnsi="Arial"/>
                <w:b/>
                <w:bCs/>
                <w:color w:val="27AE60"/>
                <w:sz w:val="19"/>
                <w:szCs w:val="19"/>
              </w:rPr>
              <w:t xml:space="preserve"> Post-Launch On-Site Support</w:t>
            </w:r>
          </w:p>
        </w:tc>
        <w:tc>
          <w:tcPr>
            <w:tcW w:type="dxa" w:w="4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strike/>
                <w:color w:val="C0392B"/>
                <w:sz w:val="19"/>
                <w:szCs w:val="19"/>
              </w:rPr>
              <w:t xml:space="preserve">One week of on-site support (3 hours/day)</w:t>
            </w:r>
            <w:r>
              <w:rPr>
                <w:rFonts w:ascii="Arial" w:cs="Arial" w:eastAsia="Arial" w:hAnsi="Arial"/>
                <w:b/>
                <w:bCs/>
                <w:color w:val="27AE60"/>
                <w:sz w:val="19"/>
                <w:szCs w:val="19"/>
              </w:rPr>
              <w:t xml:space="preserve"> 10 hrs/week on-site for 30 days post go-live, then remote support for remaining 60 days</w:t>
            </w:r>
          </w:p>
        </w:tc>
        <w:tc>
          <w:tcPr>
            <w:tcW w:type="dxa" w:w="2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strike/>
                <w:color w:val="C0392B"/>
                <w:sz w:val="19"/>
                <w:szCs w:val="19"/>
              </w:rPr>
              <w:t xml:space="preserve">May 15–22</w:t>
            </w:r>
            <w:r>
              <w:rPr>
                <w:rFonts w:ascii="Arial" w:cs="Arial" w:eastAsia="Arial" w:hAnsi="Arial"/>
                <w:b/>
                <w:bCs/>
                <w:color w:val="27AE60"/>
                <w:sz w:val="19"/>
                <w:szCs w:val="19"/>
              </w:rPr>
              <w:t xml:space="preserve"> May 15 – Aug 13</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HubSpot Non-Renewal</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CRM is live. HubSpot contract expires. No renewal needed.</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May 15, 2026</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Second Payment</w:t>
            </w:r>
          </w:p>
        </w:tc>
        <w:tc>
          <w:tcPr>
            <w:tcW w:type="dxa" w:w="4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Due upon acceptance and go-live</w:t>
            </w:r>
          </w:p>
        </w:tc>
        <w:tc>
          <w:tcPr>
            <w:tcW w:type="dxa" w:w="2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Upon go-live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7AE60"/>
                <w:sz w:val="19"/>
                <w:szCs w:val="19"/>
              </w:rPr>
              <w:t xml:space="preserve">Final Payment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strike/>
                <w:color w:val="C0392B"/>
                <w:sz w:val="19"/>
                <w:szCs w:val="19"/>
              </w:rPr>
              <w:t xml:space="preserve">Remaining 50% due upon go-live</w:t>
            </w:r>
            <w:r>
              <w:rPr>
                <w:rFonts w:ascii="Arial" w:cs="Arial" w:eastAsia="Arial" w:hAnsi="Arial"/>
                <w:b/>
                <w:bCs/>
                <w:color w:val="27AE60"/>
                <w:sz w:val="19"/>
                <w:szCs w:val="19"/>
              </w:rPr>
              <w:t xml:space="preserve"> Final third due 30 days post go-live. IP transfers upon receipt.</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7AE60"/>
                <w:sz w:val="19"/>
                <w:szCs w:val="19"/>
              </w:rPr>
              <w:t xml:space="preserve">30 days post go-live</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Warranty End</w:t>
            </w:r>
          </w:p>
        </w:tc>
        <w:tc>
          <w:tcPr>
            <w:tcW w:type="dxa" w:w="4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90-day warranty period concludes</w:t>
            </w:r>
          </w:p>
        </w:tc>
        <w:tc>
          <w:tcPr>
            <w:tcW w:type="dxa" w:w="2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Aug 13, 2026</w:t>
            </w:r>
          </w:p>
        </w:tc>
      </w:tr>
    </w:tbl>
    <w:p>
      <w:r>
        <w:br w:type="page"/>
      </w:r>
    </w:p>
    <w:p>
      <w:pPr>
        <w:pBdr>
          <w:bottom w:val="single" w:color="2E75B6" w:sz="4" w:space="4"/>
        </w:pBdr>
        <w:spacing w:after="160" w:before="360"/>
      </w:pPr>
      <w:r>
        <w:rPr>
          <w:rFonts w:ascii="Arial" w:cs="Arial" w:eastAsia="Arial" w:hAnsi="Arial"/>
          <w:b/>
          <w:bCs/>
          <w:color w:val="2E75B6"/>
          <w:sz w:val="24"/>
          <w:szCs w:val="24"/>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Amount</w:t>
            </w:r>
          </w:p>
        </w:tc>
      </w:tr>
      <w:tr>
        <w:tc>
          <w:tcPr>
            <w:tcW w:type="dxa" w:w="6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374151"/>
                <w:sz w:val="19"/>
                <w:szCs w:val="19"/>
              </w:rPr>
              <w:t xml:space="preserve">Phase 1: Custom CRM Platform — complete build, integrations, data migration, training, and post-launch support</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right"/>
            </w:pPr>
            <w:r>
              <w:rPr>
                <w:rFonts w:ascii="Arial" w:cs="Arial" w:eastAsia="Arial" w:hAnsi="Arial"/>
                <w:strike/>
                <w:color w:val="C0392B"/>
                <w:sz w:val="19"/>
                <w:szCs w:val="19"/>
              </w:rPr>
              <w:t xml:space="preserve">$45,000</w:t>
            </w:r>
            <w:r>
              <w:rPr>
                <w:rFonts w:ascii="Arial" w:cs="Arial" w:eastAsia="Arial" w:hAnsi="Arial"/>
                <w:b/>
                <w:bCs/>
                <w:color w:val="27AE60"/>
                <w:sz w:val="19"/>
                <w:szCs w:val="19"/>
              </w:rPr>
              <w:t xml:space="preserve"> $37,750</w:t>
            </w:r>
          </w:p>
        </w:tc>
      </w:tr>
      <w:tr>
        <w:tc>
          <w:tcPr>
            <w:tcW w:type="dxa" w:w="60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1B2A4A"/>
                <w:sz w:val="21"/>
                <w:szCs w:val="21"/>
              </w:rPr>
              <w:t xml:space="preserve">Total Project Investment</w:t>
            </w:r>
          </w:p>
        </w:tc>
        <w:tc>
          <w:tcPr>
            <w:tcW w:type="dxa" w:w="33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right"/>
            </w:pPr>
            <w:r>
              <w:rPr>
                <w:rFonts w:ascii="Arial" w:cs="Arial" w:eastAsia="Arial" w:hAnsi="Arial"/>
                <w:b/>
                <w:bCs/>
                <w:color w:val="27AE60"/>
                <w:sz w:val="21"/>
                <w:szCs w:val="21"/>
              </w:rPr>
              <w:t xml:space="preserve">$37,750</w:t>
            </w:r>
          </w:p>
        </w:tc>
      </w:tr>
    </w:tbl>
    <w:p>
      <w:pPr>
        <w:spacing w:after="80" w:before="120"/>
      </w:pPr>
      <w:r>
        <w:rPr>
          <w:rFonts w:ascii="Arial" w:cs="Arial" w:eastAsia="Arial" w:hAnsi="Arial"/>
          <w:b/>
          <w:bCs/>
          <w:i/>
          <w:iCs/>
          <w:color w:val="27AE60"/>
          <w:sz w:val="19"/>
          <w:szCs w:val="19"/>
        </w:rPr>
        <w:t xml:space="preserve">Revised pricing reflects both parties meeting in the middle.</w:t>
      </w:r>
    </w:p>
    <w:p>
      <w:pPr>
        <w:spacing w:after="80" w:before="200"/>
      </w:pPr>
      <w:r>
        <w:rPr>
          <w:rFonts w:ascii="Arial" w:cs="Arial" w:eastAsia="Arial" w:hAnsi="Arial"/>
          <w:b/>
          <w:bCs/>
          <w:color w:val="1B2A4A"/>
          <w:sz w:val="21"/>
          <w:szCs w:val="21"/>
        </w:rPr>
        <w:t xml:space="preserv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1800"/>
        <w:gridCol w:w="1800"/>
      </w:tblGrid>
      <w:tr>
        <w:tc>
          <w:tcPr>
            <w:tcW w:type="dxa" w:w="4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1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Split</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Old</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New</w:t>
            </w:r>
          </w:p>
        </w:tc>
      </w:tr>
      <w:tr>
        <w:tc>
          <w:tcPr>
            <w:tcW w:type="dxa" w:w="42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Payment 1 — SOW execution (tied to work performed)</w:t>
            </w:r>
          </w:p>
        </w:tc>
        <w:tc>
          <w:tcPr>
            <w:tcW w:type="dxa" w:w="1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center"/>
            </w:pPr>
            <w:r>
              <w:rPr>
                <w:rFonts w:ascii="Arial" w:cs="Arial" w:eastAsia="Arial" w:hAnsi="Arial"/>
                <w:strike/>
                <w:color w:val="C0392B"/>
                <w:sz w:val="19"/>
                <w:szCs w:val="19"/>
              </w:rPr>
              <w:t xml:space="preserve">50%</w:t>
            </w:r>
            <w:r>
              <w:rPr>
                <w:rFonts w:ascii="Arial" w:cs="Arial" w:eastAsia="Arial" w:hAnsi="Arial"/>
                <w:b/>
                <w:bCs/>
                <w:color w:val="27AE60"/>
                <w:sz w:val="19"/>
                <w:szCs w:val="19"/>
              </w:rPr>
              <w:t xml:space="preserve"> 33%</w:t>
            </w:r>
          </w:p>
        </w:tc>
        <w:tc>
          <w:tcPr>
            <w:tcW w:type="dxa" w:w="1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right"/>
            </w:pPr>
            <w:r>
              <w:rPr>
                <w:rFonts w:ascii="Arial" w:cs="Arial" w:eastAsia="Arial" w:hAnsi="Arial"/>
                <w:strike/>
                <w:color w:val="C0392B"/>
                <w:sz w:val="19"/>
                <w:szCs w:val="19"/>
              </w:rPr>
              <w:t xml:space="preserve">$22,500</w:t>
            </w:r>
          </w:p>
        </w:tc>
        <w:tc>
          <w:tcPr>
            <w:tcW w:type="dxa" w:w="1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right"/>
            </w:pPr>
            <w:r>
              <w:rPr>
                <w:rFonts w:ascii="Arial" w:cs="Arial" w:eastAsia="Arial" w:hAnsi="Arial"/>
                <w:b/>
                <w:bCs/>
                <w:color w:val="27AE60"/>
                <w:sz w:val="19"/>
                <w:szCs w:val="19"/>
              </w:rPr>
              <w:t xml:space="preserve">$12,500</w:t>
            </w:r>
          </w:p>
        </w:tc>
      </w:tr>
      <w:tr>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7AE60"/>
                <w:sz w:val="19"/>
                <w:szCs w:val="19"/>
              </w:rPr>
              <w:t xml:space="preserve">Payment 2 — Upon acceptance and go-live</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rFonts w:ascii="Arial" w:cs="Arial" w:eastAsia="Arial" w:hAnsi="Arial"/>
                <w:strike/>
                <w:color w:val="C0392B"/>
                <w:sz w:val="19"/>
                <w:szCs w:val="19"/>
              </w:rPr>
              <w:t xml:space="preserve">50%</w:t>
            </w:r>
            <w:r>
              <w:rPr>
                <w:rFonts w:ascii="Arial" w:cs="Arial" w:eastAsia="Arial" w:hAnsi="Arial"/>
                <w:b/>
                <w:bCs/>
                <w:color w:val="27AE60"/>
                <w:sz w:val="19"/>
                <w:szCs w:val="19"/>
              </w:rPr>
              <w:t xml:space="preserve"> 33%</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right"/>
            </w:pPr>
            <w:r>
              <w:rPr>
                <w:rFonts w:ascii="Arial" w:cs="Arial" w:eastAsia="Arial" w:hAnsi="Arial"/>
                <w:strike/>
                <w:color w:val="C0392B"/>
                <w:sz w:val="19"/>
                <w:szCs w:val="19"/>
              </w:rPr>
              <w:t xml:space="preserve">$22,500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right"/>
            </w:pPr>
            <w:r>
              <w:rPr>
                <w:rFonts w:ascii="Arial" w:cs="Arial" w:eastAsia="Arial" w:hAnsi="Arial"/>
                <w:b/>
                <w:bCs/>
                <w:color w:val="27AE60"/>
                <w:sz w:val="19"/>
                <w:szCs w:val="19"/>
              </w:rPr>
              <w:t xml:space="preserve">$12,500</w:t>
            </w:r>
          </w:p>
        </w:tc>
      </w:tr>
      <w:tr>
        <w:tc>
          <w:tcPr>
            <w:tcW w:type="dxa" w:w="42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left"/>
            </w:pPr>
            <w:r>
              <w:rPr>
                <w:rFonts w:ascii="Arial" w:cs="Arial" w:eastAsia="Arial" w:hAnsi="Arial"/>
                <w:b/>
                <w:bCs/>
                <w:color w:val="27AE60"/>
                <w:sz w:val="19"/>
                <w:szCs w:val="19"/>
              </w:rPr>
              <w:t xml:space="preserve">Payment 3 — 30 days post go-live (stability period)</w:t>
            </w:r>
          </w:p>
        </w:tc>
        <w:tc>
          <w:tcPr>
            <w:tcW w:type="dxa" w:w="156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center"/>
            </w:pPr>
            <w:r>
              <w:rPr>
                <w:rFonts w:ascii="Arial" w:cs="Arial" w:eastAsia="Arial" w:hAnsi="Arial"/>
                <w:b/>
                <w:bCs/>
                <w:color w:val="27AE60"/>
                <w:sz w:val="19"/>
                <w:szCs w:val="19"/>
              </w:rPr>
              <w:t xml:space="preserve">34%</w:t>
            </w:r>
          </w:p>
        </w:tc>
        <w:tc>
          <w:tcPr>
            <w:tcW w:type="dxa" w:w="1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right"/>
            </w:pPr>
            <w:r>
              <w:rPr>
                <w:rFonts w:ascii="Arial" w:cs="Arial" w:eastAsia="Arial" w:hAnsi="Arial"/>
                <w:color w:val="888888"/>
                <w:sz w:val="19"/>
                <w:szCs w:val="19"/>
              </w:rPr>
              <w:t xml:space="preserve">—</w:t>
            </w:r>
          </w:p>
        </w:tc>
        <w:tc>
          <w:tcPr>
            <w:tcW w:type="dxa" w:w="1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tcPr>
          <w:p>
            <w:pPr>
              <w:jc w:val="right"/>
            </w:pPr>
            <w:r>
              <w:rPr>
                <w:rFonts w:ascii="Arial" w:cs="Arial" w:eastAsia="Arial" w:hAnsi="Arial"/>
                <w:b/>
                <w:bCs/>
                <w:color w:val="27AE60"/>
                <w:sz w:val="19"/>
                <w:szCs w:val="19"/>
              </w:rPr>
              <w:t xml:space="preserve">$12,750</w:t>
            </w:r>
          </w:p>
        </w:tc>
      </w:tr>
    </w:tbl>
    <w:p>
      <w:pPr>
        <w:spacing w:after="80" w:before="160"/>
      </w:pPr>
      <w:r>
        <w:rPr>
          <w:rFonts w:ascii="Arial" w:cs="Arial" w:eastAsia="Arial" w:hAnsi="Arial"/>
          <w:i w:val="false"/>
          <w:iCs w:val="false"/>
          <w:color w:val="374151"/>
          <w:sz w:val="19"/>
          <w:szCs w:val="19"/>
        </w:rPr>
        <w:t xml:space="preserve">This is a one-time project fee. There are no recurring subscription fees, retainers, or ongoing platform charges from BuildKit Labs.</w:t>
      </w:r>
    </w:p>
    <w:p>
      <w:pPr>
        <w:spacing w:after="80" w:before="80"/>
      </w:pPr>
      <w:r>
        <w:rPr>
          <w:rFonts w:ascii="Arial" w:cs="Arial" w:eastAsia="Arial" w:hAnsi="Arial"/>
          <w:i w:val="false"/>
          <w:iCs w:val="false"/>
          <w:color w:val="374151"/>
          <w:sz w:val="19"/>
          <w:szCs w:val="19"/>
        </w:rPr>
        <w:t xml:space="preserve">T Rock is responsible for third-party infrastructure costs. Hosting (Railway): ~$20–$50/month. Photo and file storage (Cloudflare R2): $0.015 per GB/month with zero egress fees — 100 GB of photos costs $1.50/month. Email delivery (system notifications): $0–$20/month. Estimated total: $30–$85/month.</w:t>
      </w:r>
    </w:p>
    <w:p>
      <w:pPr>
        <w:pBdr>
          <w:bottom w:val="single" w:color="2E75B6" w:sz="4" w:space="4"/>
        </w:pBdr>
        <w:spacing w:after="160" w:before="360"/>
      </w:pPr>
      <w:r>
        <w:rPr>
          <w:rFonts w:ascii="Arial" w:cs="Arial" w:eastAsia="Arial" w:hAnsi="Arial"/>
          <w:b/>
          <w:bCs/>
          <w:color w:val="2E75B6"/>
          <w:sz w:val="24"/>
          <w:szCs w:val="24"/>
        </w:rPr>
        <w:t xml:space="preserve">Cancellation &amp; Deposit</w:t>
      </w:r>
    </w:p>
    <w:p>
      <w:pPr>
        <w:spacing w:after="80" w:before="80"/>
      </w:pPr>
      <w:r>
        <w:rPr>
          <w:rFonts w:ascii="Arial" w:cs="Arial" w:eastAsia="Arial" w:hAnsi="Arial"/>
          <w:strike/>
          <w:color w:val="C0392B"/>
          <w:sz w:val="19"/>
          <w:szCs w:val="19"/>
        </w:rPr>
        <w:t xml:space="preserve">Non-refundable deposit. The $22,500 deposit is non-refundable once paid. If the project is canceled by T Rock after deposit, all work completed to date will be delivered, but the deposit is not returned.</w:t>
      </w:r>
      <w:r>
        <w:rPr>
          <w:rFonts w:ascii="Arial" w:cs="Arial" w:eastAsia="Arial" w:hAnsi="Arial"/>
          <w:b/>
          <w:bCs/>
          <w:color w:val="27AE60"/>
          <w:sz w:val="19"/>
          <w:szCs w:val="19"/>
        </w:rPr>
        <w:t xml:space="preserve"> </w:t>
      </w:r>
    </w:p>
    <w:p>
      <w:pPr>
        <w:spacing w:after="80" w:before="120"/>
      </w:pPr>
      <w:r>
        <w:rPr>
          <w:rFonts w:ascii="Arial" w:cs="Arial" w:eastAsia="Arial" w:hAnsi="Arial"/>
          <w:b/>
          <w:bCs/>
          <w:color w:val="27AE60"/>
          <w:sz w:val="19"/>
          <w:szCs w:val="19"/>
        </w:rPr>
        <w:t xml:space="preserve">Deposit tied to work performed. If the project is canceled by T Rock after the first payment, BuildKit Labs will deliver all work completed to date. The deposit is earned against the following milestones:</w:t>
      </w:r>
    </w:p>
    <w:p>
      <w:pPr>
        <w:pStyle w:val="ListParagraph"/>
        <w:numPr>
          <w:ilvl w:val="0"/>
          <w:numId w:val="15"/>
        </w:numPr>
        <w:spacing w:after="40" w:before="40"/>
      </w:pPr>
      <w:r>
        <w:rPr>
          <w:rFonts w:ascii="Arial" w:cs="Arial" w:eastAsia="Arial" w:hAnsi="Arial"/>
          <w:b/>
          <w:bCs/>
          <w:color w:val="27AE60"/>
          <w:sz w:val="19"/>
          <w:szCs w:val="19"/>
        </w:rPr>
        <w:t xml:space="preserve">25% — Project architecture, database schema, and development environment setup complete</w:t>
      </w:r>
    </w:p>
    <w:p>
      <w:pPr>
        <w:pStyle w:val="ListParagraph"/>
        <w:numPr>
          <w:ilvl w:val="0"/>
          <w:numId w:val="15"/>
        </w:numPr>
        <w:spacing w:after="40" w:before="40"/>
      </w:pPr>
      <w:r>
        <w:rPr>
          <w:rFonts w:ascii="Arial" w:cs="Arial" w:eastAsia="Arial" w:hAnsi="Arial"/>
          <w:b/>
          <w:bCs/>
          <w:color w:val="27AE60"/>
          <w:sz w:val="19"/>
          <w:szCs w:val="19"/>
        </w:rPr>
        <w:t xml:space="preserve">50% — Core pipeline, contacts, and reporting modules functional in staging</w:t>
      </w:r>
    </w:p>
    <w:p>
      <w:pPr>
        <w:pStyle w:val="ListParagraph"/>
        <w:numPr>
          <w:ilvl w:val="0"/>
          <w:numId w:val="15"/>
        </w:numPr>
        <w:spacing w:after="40" w:before="40"/>
      </w:pPr>
      <w:r>
        <w:rPr>
          <w:rFonts w:ascii="Arial" w:cs="Arial" w:eastAsia="Arial" w:hAnsi="Arial"/>
          <w:b/>
          <w:bCs/>
          <w:color w:val="27AE60"/>
          <w:sz w:val="19"/>
          <w:szCs w:val="19"/>
        </w:rPr>
        <w:t xml:space="preserve">75% — Procore integration, email integration, and photo management functional in staging</w:t>
      </w:r>
    </w:p>
    <w:p>
      <w:pPr>
        <w:pStyle w:val="ListParagraph"/>
        <w:numPr>
          <w:ilvl w:val="0"/>
          <w:numId w:val="15"/>
        </w:numPr>
        <w:spacing w:after="40" w:before="40"/>
      </w:pPr>
      <w:r>
        <w:rPr>
          <w:rFonts w:ascii="Arial" w:cs="Arial" w:eastAsia="Arial" w:hAnsi="Arial"/>
          <w:b/>
          <w:bCs/>
          <w:color w:val="27AE60"/>
          <w:sz w:val="19"/>
          <w:szCs w:val="19"/>
        </w:rPr>
        <w:t xml:space="preserve">100% — All 10 deliverables functional in staging, ready for acceptance review</w:t>
      </w:r>
    </w:p>
    <w:p>
      <w:pPr>
        <w:spacing w:after="80" w:before="80"/>
      </w:pPr>
      <w:r>
        <w:rPr>
          <w:rFonts w:ascii="Arial" w:cs="Arial" w:eastAsia="Arial" w:hAnsi="Arial"/>
          <w:b/>
          <w:bCs/>
          <w:color w:val="27AE60"/>
          <w:sz w:val="19"/>
          <w:szCs w:val="19"/>
        </w:rPr>
        <w:t xml:space="preserve">If cancellation occurs mid-milestone, BuildKit Labs retains the deposit proportional to the last completed milestone above. Any amount beyond the last completed milestone is refunded within 15 business days.</w:t>
      </w:r>
    </w:p>
    <w:p>
      <w:pPr>
        <w:pBdr>
          <w:bottom w:val="single" w:color="2E75B6" w:sz="4" w:space="4"/>
        </w:pBdr>
        <w:spacing w:after="160" w:before="360"/>
      </w:pPr>
      <w:r>
        <w:rPr>
          <w:rFonts w:ascii="Arial" w:cs="Arial" w:eastAsia="Arial" w:hAnsi="Arial"/>
          <w:b/>
          <w:bCs/>
          <w:color w:val="2E75B6"/>
          <w:sz w:val="24"/>
          <w:szCs w:val="24"/>
        </w:rPr>
        <w:t xml:space="preserve">What T Rock Provides</w:t>
      </w:r>
    </w:p>
    <w:p>
      <w:pPr>
        <w:pStyle w:val="ListParagraph"/>
        <w:numPr>
          <w:ilvl w:val="0"/>
          <w:numId w:val="16"/>
        </w:numPr>
        <w:spacing w:after="40" w:before="40"/>
      </w:pPr>
      <w:r>
        <w:rPr>
          <w:rFonts w:ascii="Arial" w:cs="Arial" w:eastAsia="Arial" w:hAnsi="Arial"/>
          <w:color w:val="374151"/>
          <w:sz w:val="19"/>
          <w:szCs w:val="19"/>
        </w:rPr>
        <w:t xml:space="preserve">Microsoft 365 admin access — register an Azure AD app and grant Graph API permissions for email integration</w:t>
      </w:r>
    </w:p>
    <w:p>
      <w:pPr>
        <w:pStyle w:val="ListParagraph"/>
        <w:numPr>
          <w:ilvl w:val="0"/>
          <w:numId w:val="16"/>
        </w:numPr>
        <w:spacing w:after="40" w:before="40"/>
      </w:pPr>
      <w:r>
        <w:rPr>
          <w:rFonts w:ascii="Arial" w:cs="Arial" w:eastAsia="Arial" w:hAnsi="Arial"/>
          <w:color w:val="374151"/>
          <w:sz w:val="19"/>
          <w:szCs w:val="19"/>
        </w:rPr>
        <w:t xml:space="preserve">Procore API authorization for the new platform (existing credentials or new app registration)</w:t>
      </w:r>
    </w:p>
    <w:p>
      <w:pPr>
        <w:pStyle w:val="ListParagraph"/>
        <w:numPr>
          <w:ilvl w:val="0"/>
          <w:numId w:val="16"/>
        </w:numPr>
        <w:spacing w:after="40" w:before="40"/>
      </w:pPr>
      <w:r>
        <w:rPr>
          <w:rFonts w:ascii="Arial" w:cs="Arial" w:eastAsia="Arial" w:hAnsi="Arial"/>
          <w:color w:val="374151"/>
          <w:sz w:val="19"/>
          <w:szCs w:val="19"/>
        </w:rPr>
        <w:t xml:space="preserve">HubSpot data export — full deal, contact, and activity data for migration</w:t>
      </w:r>
    </w:p>
    <w:p>
      <w:pPr>
        <w:pStyle w:val="ListParagraph"/>
        <w:numPr>
          <w:ilvl w:val="0"/>
          <w:numId w:val="16"/>
        </w:numPr>
        <w:spacing w:after="40" w:before="40"/>
      </w:pPr>
      <w:r>
        <w:rPr>
          <w:rFonts w:ascii="Arial" w:cs="Arial" w:eastAsia="Arial" w:hAnsi="Arial"/>
          <w:color w:val="374151"/>
          <w:sz w:val="19"/>
          <w:szCs w:val="19"/>
        </w:rPr>
        <w:t xml:space="preserve">Sales team participation in data cleanup prior to migration</w:t>
      </w:r>
    </w:p>
    <w:p>
      <w:pPr>
        <w:pStyle w:val="ListParagraph"/>
        <w:numPr>
          <w:ilvl w:val="0"/>
          <w:numId w:val="16"/>
        </w:numPr>
        <w:spacing w:after="40" w:before="40"/>
      </w:pPr>
      <w:r>
        <w:rPr>
          <w:rFonts w:ascii="Arial" w:cs="Arial" w:eastAsia="Arial" w:hAnsi="Arial"/>
          <w:color w:val="374151"/>
          <w:sz w:val="19"/>
          <w:szCs w:val="19"/>
        </w:rPr>
        <w:t xml:space="preserve">Availability for testing, feedback, and training during the launch window</w:t>
      </w:r>
    </w:p>
    <w:p>
      <w:pPr>
        <w:pStyle w:val="ListParagraph"/>
        <w:numPr>
          <w:ilvl w:val="0"/>
          <w:numId w:val="16"/>
        </w:numPr>
        <w:spacing w:after="40" w:before="40"/>
      </w:pPr>
      <w:r>
        <w:rPr>
          <w:rFonts w:ascii="Arial" w:cs="Arial" w:eastAsia="Arial" w:hAnsi="Arial"/>
          <w:color w:val="374151"/>
          <w:sz w:val="19"/>
          <w:szCs w:val="19"/>
        </w:rPr>
        <w:t xml:space="preserve">Timely decision-making to maintain the project timeline</w:t>
      </w:r>
    </w:p>
    <w:p>
      <w:pPr>
        <w:pStyle w:val="ListParagraph"/>
        <w:numPr>
          <w:ilvl w:val="0"/>
          <w:numId w:val="16"/>
        </w:numPr>
        <w:spacing w:after="40" w:before="40"/>
      </w:pPr>
      <w:r>
        <w:rPr>
          <w:rFonts w:ascii="Arial" w:cs="Arial" w:eastAsia="Arial" w:hAnsi="Arial"/>
          <w:b/>
          <w:bCs/>
          <w:color w:val="27AE60"/>
          <w:sz w:val="19"/>
          <w:szCs w:val="19"/>
        </w:rPr>
        <w:t xml:space="preserve">Designation of one Acceptance Authority — a named individual authorized to sign off on deliverables, approve acceptance, and authorize go-live on behalf of T Rock</w:t>
      </w:r>
    </w:p>
    <w:p>
      <w:pPr>
        <w:pStyle w:val="ListParagraph"/>
        <w:numPr>
          <w:ilvl w:val="0"/>
          <w:numId w:val="16"/>
        </w:numPr>
        <w:spacing w:after="40" w:before="40"/>
      </w:pPr>
      <w:r>
        <w:rPr>
          <w:rFonts w:ascii="Arial" w:cs="Arial" w:eastAsia="Arial" w:hAnsi="Arial"/>
          <w:b/>
          <w:bCs/>
          <w:color w:val="27AE60"/>
          <w:sz w:val="19"/>
          <w:szCs w:val="19"/>
        </w:rPr>
        <w:t xml:space="preserve">A desk and monitor at T Rock’s office for BuildKit Labs during the on-site build phase (April 15 – May 15)</w:t>
      </w:r>
    </w:p>
    <w:p>
      <w:pPr>
        <w:pStyle w:val="ListParagraph"/>
        <w:numPr>
          <w:ilvl w:val="0"/>
          <w:numId w:val="16"/>
        </w:numPr>
        <w:spacing w:after="40" w:before="40"/>
      </w:pPr>
      <w:r>
        <w:rPr>
          <w:rFonts w:ascii="Arial" w:cs="Arial" w:eastAsia="Arial" w:hAnsi="Arial"/>
          <w:b/>
          <w:bCs/>
          <w:color w:val="27AE60"/>
          <w:sz w:val="19"/>
          <w:szCs w:val="19"/>
        </w:rPr>
        <w:t xml:space="preserve">10 minutes per CRM user on Monday, Wednesday, and Friday for check-ins during the build and launch window</w:t>
      </w:r>
    </w:p>
    <w:p>
      <w:pPr>
        <w:pBdr>
          <w:bottom w:val="single" w:color="2E75B6" w:sz="4" w:space="4"/>
        </w:pBdr>
        <w:spacing w:after="160" w:before="360"/>
      </w:pPr>
      <w:r>
        <w:rPr>
          <w:rFonts w:ascii="Arial" w:cs="Arial" w:eastAsia="Arial" w:hAnsi="Arial"/>
          <w:b/>
          <w:bCs/>
          <w:color w:val="2E75B6"/>
          <w:sz w:val="24"/>
          <w:szCs w:val="24"/>
        </w:rPr>
        <w:t xml:space="preserve">Intellectual Property</w:t>
      </w:r>
    </w:p>
    <w:p>
      <w:pPr>
        <w:spacing w:after="80" w:before="80"/>
      </w:pPr>
      <w:r>
        <w:rPr>
          <w:rFonts w:ascii="Arial" w:cs="Arial" w:eastAsia="Arial" w:hAnsi="Arial"/>
          <w:strike/>
          <w:color w:val="C0392B"/>
          <w:sz w:val="19"/>
          <w:szCs w:val="19"/>
        </w:rPr>
        <w:t xml:space="preserve">Upon receipt of final payment, all intellectual property rights transfer fully and irrevocably to T Rock Construction.</w:t>
      </w:r>
      <w:r>
        <w:rPr>
          <w:rFonts w:ascii="Arial" w:cs="Arial" w:eastAsia="Arial" w:hAnsi="Arial"/>
          <w:b/>
          <w:bCs/>
          <w:color w:val="27AE60"/>
          <w:sz w:val="19"/>
          <w:szCs w:val="19"/>
        </w:rPr>
        <w:t xml:space="preserve"> Upon receipt of final payment (Payment 3, 30 days post go-live), all intellectual property rights — including source code, database schemas, documentation, and design assets — transfer fully and irrevocably to T Rock Construction. During the period between go-live and final payment, T Rock has a full, unrestricted license to use the platform in production. BuildKit Labs retains title as security until final payment clears.</w:t>
      </w:r>
    </w:p>
    <w:p>
      <w:pPr>
        <w:spacing w:after="80" w:before="80"/>
      </w:pPr>
      <w:r>
        <w:rPr>
          <w:rFonts w:ascii="Arial" w:cs="Arial" w:eastAsia="Arial" w:hAnsi="Arial"/>
          <w:i w:val="false"/>
          <w:iCs w:val="false"/>
          <w:color w:val="374151"/>
          <w:sz w:val="19"/>
          <w:szCs w:val="19"/>
        </w:rPr>
        <w:t xml:space="preserve">T Rock may modify, extend, or hire any developer to work on the platform without restriction after IP transfer. BuildKit Labs retains no ownership, license, or usage rights to any deliverables after final payment.</w:t>
      </w:r>
    </w:p>
    <w:p>
      <w:r>
        <w:br w:type="page"/>
      </w:r>
    </w:p>
    <w:p>
      <w:pPr>
        <w:pBdr>
          <w:bottom w:val="single" w:color="2E75B6" w:sz="4" w:space="4"/>
        </w:pBdr>
        <w:spacing w:after="160" w:before="360"/>
      </w:pPr>
      <w:r>
        <w:rPr>
          <w:rFonts w:ascii="Arial" w:cs="Arial" w:eastAsia="Arial" w:hAnsi="Arial"/>
          <w:b/>
          <w:bCs/>
          <w:color w:val="2E75B6"/>
          <w:sz w:val="24"/>
          <w:szCs w:val="24"/>
        </w:rPr>
        <w:t xml:space="preserve">Terms</w:t>
      </w:r>
    </w:p>
    <w:p>
      <w:pPr>
        <w:spacing w:after="80" w:before="160"/>
      </w:pPr>
      <w:r>
        <w:rPr>
          <w:rFonts w:ascii="Arial" w:cs="Arial" w:eastAsia="Arial" w:hAnsi="Arial"/>
          <w:b/>
          <w:bCs/>
          <w:color w:val="1B2A4A"/>
          <w:sz w:val="19"/>
          <w:szCs w:val="19"/>
        </w:rPr>
        <w:t xml:space="preserve">Scope Lock</w:t>
      </w:r>
    </w:p>
    <w:p>
      <w:pPr>
        <w:spacing w:after="80" w:before="80"/>
      </w:pPr>
      <w:r>
        <w:rPr>
          <w:rFonts w:ascii="Arial" w:cs="Arial" w:eastAsia="Arial" w:hAnsi="Arial"/>
          <w:i w:val="false"/>
          <w:iCs w:val="false"/>
          <w:color w:val="374151"/>
          <w:sz w:val="19"/>
          <w:szCs w:val="19"/>
        </w:rPr>
        <w:t xml:space="preserve">Any feature or functionality not explicitly listed in this document is out of scope for Phase 1. Change requests, feature additions, and enhancements raised during the build will be logged and addressed in Phase 2 as a separate engagement.</w:t>
      </w:r>
    </w:p>
    <w:p>
      <w:pPr>
        <w:spacing w:after="80" w:before="160"/>
      </w:pPr>
      <w:r>
        <w:rPr>
          <w:rFonts w:ascii="Arial" w:cs="Arial" w:eastAsia="Arial" w:hAnsi="Arial"/>
          <w:b/>
          <w:bCs/>
          <w:color w:val="27AE60"/>
          <w:sz w:val="19"/>
          <w:szCs w:val="19"/>
        </w:rPr>
        <w:t xml:space="preserve">On-Site Presence</w:t>
      </w:r>
    </w:p>
    <w:p>
      <w:pPr>
        <w:spacing w:after="80" w:before="80"/>
      </w:pPr>
      <w:r>
        <w:rPr>
          <w:rFonts w:ascii="Arial" w:cs="Arial" w:eastAsia="Arial" w:hAnsi="Arial"/>
          <w:b/>
          <w:bCs/>
          <w:color w:val="27AE60"/>
          <w:sz w:val="19"/>
          <w:szCs w:val="19"/>
        </w:rPr>
        <w:t xml:space="preserve">BuildKit Labs will work on-site at T Rock’s office from April 15 through May 15, 2026 during the build phase. After go-live, BuildKit Labs will provide 10 hours/week of on-site support for 30 days. For the remaining 60 days of the warranty period, support transitions to remote.</w:t>
      </w:r>
    </w:p>
    <w:p>
      <w:pPr>
        <w:spacing w:after="80" w:before="160"/>
      </w:pPr>
      <w:r>
        <w:rPr>
          <w:rFonts w:ascii="Arial" w:cs="Arial" w:eastAsia="Arial" w:hAnsi="Arial"/>
          <w:b/>
          <w:bCs/>
          <w:color w:val="1B2A4A"/>
          <w:sz w:val="19"/>
          <w:szCs w:val="19"/>
        </w:rPr>
        <w:t xml:space="preserve">Delay Clause</w:t>
      </w:r>
    </w:p>
    <w:p>
      <w:pPr>
        <w:spacing w:after="80" w:before="80"/>
      </w:pPr>
      <w:r>
        <w:rPr>
          <w:rFonts w:ascii="Arial" w:cs="Arial" w:eastAsia="Arial" w:hAnsi="Arial"/>
          <w:i w:val="false"/>
          <w:iCs w:val="false"/>
          <w:color w:val="374151"/>
          <w:sz w:val="19"/>
          <w:szCs w:val="19"/>
        </w:rPr>
        <w:t xml:space="preserve">The May 15 go-live date assumes deposit is received this week and all items under “What T Rock Provides” are delivered promptly. Delays in providing API access, data exports, admin credentials, or decision-making will shift the go-live date by the equivalent number of business days. BuildKit Labs is not responsible for timeline slippage caused by late delivery of required access or materials.</w:t>
      </w:r>
    </w:p>
    <w:p>
      <w:pPr>
        <w:spacing w:after="80" w:before="160"/>
      </w:pPr>
      <w:r>
        <w:rPr>
          <w:rFonts w:ascii="Arial" w:cs="Arial" w:eastAsia="Arial" w:hAnsi="Arial"/>
          <w:b/>
          <w:bCs/>
          <w:color w:val="1B2A4A"/>
          <w:sz w:val="19"/>
          <w:szCs w:val="19"/>
        </w:rPr>
        <w:t xml:space="preserve">Warranty</w:t>
      </w:r>
    </w:p>
    <w:p>
      <w:pPr>
        <w:spacing w:after="80" w:before="80"/>
      </w:pPr>
      <w:r>
        <w:rPr>
          <w:rFonts w:ascii="Arial" w:cs="Arial" w:eastAsia="Arial" w:hAnsi="Arial"/>
          <w:strike/>
          <w:color w:val="C0392B"/>
          <w:sz w:val="19"/>
          <w:szCs w:val="19"/>
        </w:rPr>
        <w:t xml:space="preserve">30-day warranty. For 30 days following go-live, Adnaan Iqbal will fix critical bugs (system down, data loss, integration failure) at no additional charge.</w:t>
      </w:r>
      <w:r>
        <w:rPr>
          <w:rFonts w:ascii="Arial" w:cs="Arial" w:eastAsia="Arial" w:hAnsi="Arial"/>
          <w:b/>
          <w:bCs/>
          <w:color w:val="27AE60"/>
          <w:sz w:val="19"/>
          <w:szCs w:val="19"/>
        </w:rPr>
        <w:t xml:space="preserve"> 90-day warranty. For 90 days following go-live, BuildKit Labs will fix any defect in the delivered scope that prevents normal use of the platform. This includes: system downtime, data loss or corruption, integration failures (Procore sync, Microsoft 365 email), broken functionality in any of the 10 deliverable sections, and any regression introduced by a bug fix. There is no hour cap on warranty support — if a delivered feature stops working, it gets fixed regardless of how long it takes.</w:t>
      </w:r>
    </w:p>
    <w:p>
      <w:pPr>
        <w:spacing w:after="80" w:before="80"/>
      </w:pPr>
      <w:r>
        <w:rPr>
          <w:rFonts w:ascii="Arial" w:cs="Arial" w:eastAsia="Arial" w:hAnsi="Arial"/>
          <w:b/>
          <w:bCs/>
          <w:color w:val="27AE60"/>
          <w:sz w:val="19"/>
          <w:szCs w:val="19"/>
        </w:rPr>
        <w:t xml:space="preserve">The warranty does not cover: new features, design preferences, cosmetic changes, or functionality not listed in the Phase 1 deliverables.</w:t>
      </w:r>
    </w:p>
    <w:p>
      <w:pPr>
        <w:spacing w:after="80" w:before="160"/>
      </w:pPr>
      <w:r>
        <w:rPr>
          <w:rFonts w:ascii="Arial" w:cs="Arial" w:eastAsia="Arial" w:hAnsi="Arial"/>
          <w:b/>
          <w:bCs/>
          <w:color w:val="27AE60"/>
          <w:sz w:val="19"/>
          <w:szCs w:val="19"/>
        </w:rPr>
        <w:t xml:space="preserve">SLA — Response Times</w:t>
      </w:r>
    </w:p>
    <w:p>
      <w:pPr>
        <w:spacing w:after="80" w:before="80"/>
      </w:pPr>
      <w:r>
        <w:rPr>
          <w:rFonts w:ascii="Arial" w:cs="Arial" w:eastAsia="Arial" w:hAnsi="Arial"/>
          <w:b/>
          <w:bCs/>
          <w:color w:val="27AE60"/>
          <w:sz w:val="19"/>
          <w:szCs w:val="19"/>
        </w:rPr>
        <w:t xml:space="preserve">During the 90-day warranty period, BuildKit Labs commits to the following response times (business hours, Monday–Friday, 9:00 AM – 5:00 PM CT):</w:t>
      </w:r>
    </w:p>
    <w:p>
      <w:pPr>
        <w:pStyle w:val="ListParagraph"/>
        <w:numPr>
          <w:ilvl w:val="0"/>
          <w:numId w:val="17"/>
        </w:numPr>
        <w:spacing w:after="40" w:before="40"/>
      </w:pPr>
      <w:r>
        <w:rPr>
          <w:rFonts w:ascii="Arial" w:cs="Arial" w:eastAsia="Arial" w:hAnsi="Arial"/>
          <w:b/>
          <w:bCs/>
          <w:color w:val="27AE60"/>
          <w:sz w:val="19"/>
          <w:szCs w:val="19"/>
        </w:rPr>
        <w:t xml:space="preserve">Critical issues (system down, data loss, integration failure): 24-hour response</w:t>
      </w:r>
    </w:p>
    <w:p>
      <w:pPr>
        <w:pStyle w:val="ListParagraph"/>
        <w:numPr>
          <w:ilvl w:val="0"/>
          <w:numId w:val="17"/>
        </w:numPr>
        <w:spacing w:after="40" w:before="40"/>
      </w:pPr>
      <w:r>
        <w:rPr>
          <w:rFonts w:ascii="Arial" w:cs="Arial" w:eastAsia="Arial" w:hAnsi="Arial"/>
          <w:b/>
          <w:bCs/>
          <w:color w:val="27AE60"/>
          <w:sz w:val="19"/>
          <w:szCs w:val="19"/>
        </w:rPr>
        <w:t xml:space="preserve">Non-critical issues (UI bugs, minor functionality issues): 48-hour response</w:t>
      </w:r>
    </w:p>
    <w:p>
      <w:pPr>
        <w:spacing w:after="80" w:before="80"/>
      </w:pPr>
      <w:r>
        <w:rPr>
          <w:rFonts w:ascii="Arial" w:cs="Arial" w:eastAsia="Arial" w:hAnsi="Arial"/>
          <w:b/>
          <w:bCs/>
          <w:color w:val="27AE60"/>
          <w:sz w:val="19"/>
          <w:szCs w:val="19"/>
        </w:rPr>
        <w:t xml:space="preserve">Response time is acknowledgment and triage, not guaranteed resolution. Some issues require longer investigation, but T Rock will never be waiting to hear back.</w:t>
      </w:r>
    </w:p>
    <w:p>
      <w:pPr>
        <w:spacing w:after="80" w:before="160"/>
      </w:pPr>
      <w:r>
        <w:rPr>
          <w:rFonts w:ascii="Arial" w:cs="Arial" w:eastAsia="Arial" w:hAnsi="Arial"/>
          <w:b/>
          <w:bCs/>
          <w:color w:val="27AE60"/>
          <w:sz w:val="19"/>
          <w:szCs w:val="19"/>
        </w:rPr>
        <w:t xml:space="preserve">API &amp; Data Access</w:t>
      </w:r>
    </w:p>
    <w:p>
      <w:pPr>
        <w:spacing w:after="80" w:before="80"/>
      </w:pPr>
      <w:r>
        <w:rPr>
          <w:rFonts w:ascii="Arial" w:cs="Arial" w:eastAsia="Arial" w:hAnsi="Arial"/>
          <w:b/>
          <w:bCs/>
          <w:color w:val="27AE60"/>
          <w:sz w:val="19"/>
          <w:szCs w:val="19"/>
        </w:rPr>
        <w:t xml:space="preserve">T Rock will have full API access and direct database access to the CRM platform at all times. T Rock’s data is T Rock’s property regardless of payment status.</w:t>
      </w:r>
    </w:p>
    <w:p>
      <w:pPr>
        <w:spacing w:after="80" w:before="160"/>
      </w:pPr>
      <w:r>
        <w:rPr>
          <w:rFonts w:ascii="Arial" w:cs="Arial" w:eastAsia="Arial" w:hAnsi="Arial"/>
          <w:b/>
          <w:bCs/>
          <w:color w:val="1B2A4A"/>
          <w:sz w:val="19"/>
          <w:szCs w:val="19"/>
        </w:rPr>
        <w:t xml:space="preserve">Unlimited Users</w:t>
      </w:r>
    </w:p>
    <w:p>
      <w:pPr>
        <w:spacing w:after="80" w:before="80"/>
      </w:pPr>
      <w:r>
        <w:rPr>
          <w:rFonts w:ascii="Arial" w:cs="Arial" w:eastAsia="Arial" w:hAnsi="Arial"/>
          <w:i w:val="false"/>
          <w:iCs w:val="false"/>
          <w:color w:val="374151"/>
          <w:sz w:val="19"/>
          <w:szCs w:val="19"/>
        </w:rPr>
        <w:t xml:space="preserve">The platform supports unlimited users at no additional per-seat cost. Add sales reps, directors, and admins as needed.</w:t>
      </w:r>
    </w:p>
    <w:p>
      <w:pPr>
        <w:spacing w:after="80" w:before="160"/>
      </w:pPr>
      <w:r>
        <w:rPr>
          <w:rFonts w:ascii="Arial" w:cs="Arial" w:eastAsia="Arial" w:hAnsi="Arial"/>
          <w:b/>
          <w:bCs/>
          <w:color w:val="1B2A4A"/>
          <w:sz w:val="19"/>
          <w:szCs w:val="19"/>
        </w:rPr>
        <w:t xml:space="preserve">Documentation</w:t>
      </w:r>
    </w:p>
    <w:p>
      <w:pPr>
        <w:spacing w:after="80" w:before="80"/>
      </w:pPr>
      <w:r>
        <w:rPr>
          <w:rFonts w:ascii="Arial" w:cs="Arial" w:eastAsia="Arial" w:hAnsi="Arial"/>
          <w:i w:val="false"/>
          <w:iCs w:val="false"/>
          <w:color w:val="374151"/>
          <w:sz w:val="19"/>
          <w:szCs w:val="19"/>
        </w:rPr>
        <w:t xml:space="preserve">BuildKit Labs will deliver a user guide, admin guide, and technical documentation (API reference, data model, architecture overview) alongside the platform so the team can reference how-to instructions independently after the engagement ends.</w:t>
      </w:r>
    </w:p>
    <w:p>
      <w:pPr>
        <w:pBdr>
          <w:bottom w:val="single" w:color="2E75B6" w:sz="4" w:space="4"/>
        </w:pBdr>
        <w:spacing w:after="160" w:before="360"/>
      </w:pPr>
      <w:r>
        <w:rPr>
          <w:rFonts w:ascii="Arial" w:cs="Arial" w:eastAsia="Arial" w:hAnsi="Arial"/>
          <w:b/>
          <w:bCs/>
          <w:color w:val="2E75B6"/>
          <w:sz w:val="24"/>
          <w:szCs w:val="24"/>
        </w:rPr>
        <w:t xml:space="preserve">Agreement</w:t>
      </w:r>
    </w:p>
    <w:p>
      <w:pPr>
        <w:spacing w:after="80" w:before="80"/>
      </w:pPr>
      <w:r>
        <w:rPr>
          <w:rFonts w:ascii="Arial" w:cs="Arial" w:eastAsia="Arial" w:hAnsi="Arial"/>
          <w:i w:val="false"/>
          <w:iCs w:val="false"/>
          <w:color w:val="374151"/>
          <w:sz w:val="19"/>
          <w:szCs w:val="19"/>
        </w:rPr>
        <w:t xml:space="preserve">By signing below, both parties agree to the scope, timeline, pricing, and terms outlined in this document.</w:t>
      </w:r>
    </w:p>
    <w:p>
      <w:pPr>
        <w:spacing w:after="40" w:before="200"/>
      </w:pPr>
      <w:r>
        <w:rPr>
          <w:rFonts w:ascii="Arial" w:cs="Arial" w:eastAsia="Arial" w:hAnsi="Arial"/>
          <w:b/>
          <w:bCs/>
          <w:color w:val="1B2A4A"/>
          <w:sz w:val="20"/>
          <w:szCs w:val="20"/>
        </w:rPr>
        <w:t xml:space="preserve">T Rock Construction</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Signature</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Printed Name</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Title</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Date</w:t>
      </w:r>
    </w:p>
    <w:p>
      <w:pPr>
        <w:spacing w:before="120"/>
      </w:pPr>
    </w:p>
    <w:p>
      <w:pPr>
        <w:spacing w:after="40" w:before="200"/>
      </w:pPr>
      <w:r>
        <w:rPr>
          <w:rFonts w:ascii="Arial" w:cs="Arial" w:eastAsia="Arial" w:hAnsi="Arial"/>
          <w:b/>
          <w:bCs/>
          <w:color w:val="1B2A4A"/>
          <w:sz w:val="20"/>
          <w:szCs w:val="20"/>
        </w:rPr>
        <w:t xml:space="preserve">BuildKit Labs</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Signature</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Printed Name</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Title</w:t>
      </w:r>
    </w:p>
    <w:p>
      <w:pPr>
        <w:pBdr>
          <w:bottom w:val="single" w:color="D0D5DD" w:sz="1" w:space="1"/>
        </w:pBdr>
        <w:spacing w:after="0" w:before="200"/>
      </w:pPr>
      <w:r>
        <w:rPr>
          <w:rFonts w:ascii="Arial" w:cs="Arial" w:eastAsia="Arial" w:hAnsi="Arial"/>
          <w:sz w:val="20"/>
          <w:szCs w:val="20"/>
        </w:rPr>
        <w:t xml:space="preserve"> </w:t>
      </w:r>
    </w:p>
    <w:p>
      <w:pPr>
        <w:spacing w:after="40" w:before="20"/>
      </w:pPr>
      <w:r>
        <w:rPr>
          <w:rFonts w:ascii="Arial" w:cs="Arial" w:eastAsia="Arial" w:hAnsi="Arial"/>
          <w:color w:val="888888"/>
          <w:sz w:val="16"/>
          <w:szCs w:val="16"/>
        </w:rPr>
        <w:t xml:space="preserve">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C0392B"/>
        <w:sz w:val="16"/>
        <w:szCs w:val="16"/>
      </w:rPr>
      <w:t xml:space="preserve">REDLINE — T ROCK CONSTRUCTION × BUILDKIT LABS — Phase 1 SOW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2026-04-03T05:08:28.192Z</dcterms:created>
  <dcterms:modified xsi:type="dcterms:W3CDTF">2026-04-03T05:08:28.193Z</dcterms:modified>
</cp:coreProperties>
</file>

<file path=docProps/custom.xml><?xml version="1.0" encoding="utf-8"?>
<Properties xmlns="http://schemas.openxmlformats.org/officeDocument/2006/custom-properties" xmlns:vt="http://schemas.openxmlformats.org/officeDocument/2006/docPropsVTypes"/>
</file>