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v3m2ewvzzjii" w:id="0"/>
      <w:bookmarkEnd w:id="0"/>
      <w:r w:rsidDel="00000000" w:rsidR="00000000" w:rsidRPr="00000000">
        <w:rPr>
          <w:rtl w:val="0"/>
        </w:rPr>
        <w:t xml:space="preserve">Clawdbot y la Ilusión de la Privacidad: Informe de Riesgos Normativos bajo el RGPD</w:t>
      </w:r>
    </w:p>
    <w:p w:rsidR="00000000" w:rsidDel="00000000" w:rsidP="00000000" w:rsidRDefault="00000000" w:rsidRPr="00000000" w14:paraId="00000002">
      <w:pPr>
        <w:pStyle w:val="Heading5"/>
        <w:rPr/>
      </w:pPr>
      <w:bookmarkStart w:colFirst="0" w:colLast="0" w:name="_osljg5i4bqd3" w:id="1"/>
      <w:bookmarkEnd w:id="1"/>
      <w:r w:rsidDel="00000000" w:rsidR="00000000" w:rsidRPr="00000000">
        <w:rPr>
          <w:rtl w:val="0"/>
        </w:rPr>
        <w:t xml:space="preserve">Resumen Ejecutivo</w:t>
      </w:r>
    </w:p>
    <w:p w:rsidR="00000000" w:rsidDel="00000000" w:rsidP="00000000" w:rsidRDefault="00000000" w:rsidRPr="00000000" w14:paraId="00000003">
      <w:pPr>
        <w:rPr/>
      </w:pPr>
      <w:r w:rsidDel="00000000" w:rsidR="00000000" w:rsidRPr="00000000">
        <w:rPr>
          <w:rtl w:val="0"/>
        </w:rPr>
        <w:t xml:space="preserve">Este informe analiza la herramienta de inteligencia artificial (IA) autoalojada Clawdbot, concluyendo que sus promesas de marketing sobre privacidad y soberanía de datos son fundamentalmente engañosas. A pesar de ser un agente que se instala localmente, su arquitectura operativa depende intrínsecamente de la conexión a Modelos de Lenguaje Grandes (LLM) de terceros basados en la nube, como los de Anthropic. Esta dependencia crea una contradicción crítica: los datos del usuario, lejos de permanecer bajo su control total, son externalizados a proveedores externos para su procesamiento.El análisis revela que este modelo operativo impone de facto al usuario de Clawdbot el rol y las abrumadoras responsabilidades de un "Responsable del Tratamiento" de datos bajo el Reglamento General de Protección de Datos (RGPD), a menudo sin su conocimiento. Esta situación expone a individuos y organizaciones a riesgos significativos de incumplimiento, incluyendo:</w:t>
      </w:r>
    </w:p>
    <w:p w:rsidR="00000000" w:rsidDel="00000000" w:rsidP="00000000" w:rsidRDefault="00000000" w:rsidRPr="00000000" w14:paraId="00000004">
      <w:pPr>
        <w:numPr>
          <w:ilvl w:val="0"/>
          <w:numId w:val="4"/>
        </w:numPr>
        <w:ind w:left="720" w:hanging="360"/>
        <w:rPr>
          <w:u w:val="none"/>
        </w:rPr>
      </w:pPr>
      <w:r w:rsidDel="00000000" w:rsidR="00000000" w:rsidRPr="00000000">
        <w:rPr>
          <w:b w:val="1"/>
          <w:bCs w:val="1"/>
          <w:rtl w:val="0"/>
        </w:rPr>
        <w:t xml:space="preserve">Vulneración de la Transparencia:</w:t>
      </w:r>
      <w:r w:rsidDel="00000000" w:rsidR="00000000" w:rsidRPr="00000000">
        <w:rPr>
          <w:rtl w:val="0"/>
        </w:rPr>
        <w:t xml:space="preserve">  El marketing oculta el flujo real de datos, impidiendo el consentimiento informado.</w:t>
      </w:r>
    </w:p>
    <w:p w:rsidR="00000000" w:rsidDel="00000000" w:rsidP="00000000" w:rsidRDefault="00000000" w:rsidRPr="00000000" w14:paraId="00000005">
      <w:pPr>
        <w:numPr>
          <w:ilvl w:val="0"/>
          <w:numId w:val="4"/>
        </w:numPr>
        <w:ind w:left="720" w:hanging="360"/>
        <w:rPr>
          <w:u w:val="none"/>
        </w:rPr>
      </w:pPr>
      <w:r w:rsidDel="00000000" w:rsidR="00000000" w:rsidRPr="00000000">
        <w:rPr>
          <w:b w:val="1"/>
          <w:bCs w:val="1"/>
          <w:rtl w:val="0"/>
        </w:rPr>
        <w:t xml:space="preserve">Transferencias Internacionales Ilícitas:</w:t>
      </w:r>
      <w:r w:rsidDel="00000000" w:rsidR="00000000" w:rsidRPr="00000000">
        <w:rPr>
          <w:rtl w:val="0"/>
        </w:rPr>
        <w:t xml:space="preserve">  Los usuarios carecen de medios para validar los mecanismos de transferencia de datos a países fuera del Espacio Económico Europeo.</w:t>
      </w:r>
    </w:p>
    <w:p w:rsidR="00000000" w:rsidDel="00000000" w:rsidP="00000000" w:rsidRDefault="00000000" w:rsidRPr="00000000" w14:paraId="00000006">
      <w:pPr>
        <w:numPr>
          <w:ilvl w:val="0"/>
          <w:numId w:val="4"/>
        </w:numPr>
        <w:ind w:left="720" w:hanging="360"/>
        <w:rPr>
          <w:u w:val="none"/>
        </w:rPr>
      </w:pPr>
      <w:r w:rsidDel="00000000" w:rsidR="00000000" w:rsidRPr="00000000">
        <w:rPr>
          <w:b w:val="1"/>
          <w:bCs w:val="1"/>
          <w:rtl w:val="0"/>
        </w:rPr>
        <w:t xml:space="preserve">Carencia de Base Jurídica:</w:t>
      </w:r>
      <w:r w:rsidDel="00000000" w:rsidR="00000000" w:rsidRPr="00000000">
        <w:rPr>
          <w:rtl w:val="0"/>
        </w:rPr>
        <w:t xml:space="preserve">  Se autoriza un tratamiento secundario de datos por parte de terceros (ej. revisiones de seguridad) sin una base legal adecuada.</w:t>
      </w:r>
    </w:p>
    <w:p w:rsidR="00000000" w:rsidDel="00000000" w:rsidP="00000000" w:rsidRDefault="00000000" w:rsidRPr="00000000" w14:paraId="00000007">
      <w:pPr>
        <w:numPr>
          <w:ilvl w:val="0"/>
          <w:numId w:val="4"/>
        </w:numPr>
        <w:ind w:left="720" w:hanging="360"/>
        <w:rPr>
          <w:u w:val="none"/>
        </w:rPr>
      </w:pPr>
      <w:r w:rsidDel="00000000" w:rsidR="00000000" w:rsidRPr="00000000">
        <w:rPr>
          <w:b w:val="1"/>
          <w:bCs w:val="1"/>
          <w:rtl w:val="0"/>
        </w:rPr>
        <w:t xml:space="preserve">Obstaculización de los Derechos:</w:t>
      </w:r>
      <w:r w:rsidDel="00000000" w:rsidR="00000000" w:rsidRPr="00000000">
        <w:rPr>
          <w:rtl w:val="0"/>
        </w:rPr>
        <w:t xml:space="preserve">  La arquitectura distribuida complica la gestión de solicitudes de acceso o supresión de datos por parte de los interesados.</w:t>
      </w:r>
    </w:p>
    <w:p w:rsidR="00000000" w:rsidDel="00000000" w:rsidP="00000000" w:rsidRDefault="00000000" w:rsidRPr="00000000" w14:paraId="00000008">
      <w:pPr>
        <w:numPr>
          <w:ilvl w:val="0"/>
          <w:numId w:val="4"/>
        </w:numPr>
        <w:ind w:left="720" w:hanging="360"/>
        <w:rPr>
          <w:u w:val="none"/>
        </w:rPr>
      </w:pPr>
      <w:r w:rsidDel="00000000" w:rsidR="00000000" w:rsidRPr="00000000">
        <w:rPr>
          <w:b w:val="1"/>
          <w:bCs w:val="1"/>
          <w:rtl w:val="0"/>
        </w:rPr>
        <w:t xml:space="preserve">Riesgos de Seguridad:</w:t>
      </w:r>
      <w:r w:rsidDel="00000000" w:rsidR="00000000" w:rsidRPr="00000000">
        <w:rPr>
          <w:rtl w:val="0"/>
        </w:rPr>
        <w:t xml:space="preserve">  La capacidad del agente para acceder a sistemas locales mientras está conectado a la nube amplía drásticamente la superficie de ataque.En última instancia, Clawdbot traslada una carga desproporcionada de cumplimiento legal a usuarios atraídos por una falsa sensación de seguridad, situándolos en una posición de vulnerabilidad normativa y corresponsabilidad con gigantes tecnológicos.</w:t>
      </w:r>
    </w:p>
    <w:p w:rsidR="00000000" w:rsidDel="00000000" w:rsidP="00000000" w:rsidRDefault="00000000" w:rsidRPr="00000000" w14:paraId="00000009">
      <w:pPr>
        <w:pStyle w:val="Heading5"/>
        <w:rPr/>
      </w:pPr>
      <w:bookmarkStart w:colFirst="0" w:colLast="0" w:name="_yosymnl14f5" w:id="2"/>
      <w:bookmarkEnd w:id="2"/>
      <w:r w:rsidDel="00000000" w:rsidR="00000000" w:rsidRPr="00000000">
        <w:rPr>
          <w:rtl w:val="0"/>
        </w:rPr>
        <w:t xml:space="preserve">1. Disonancia Crítica: Arquitectura Técnica vs. Marketing de Privacidad</w:t>
      </w:r>
    </w:p>
    <w:p w:rsidR="00000000" w:rsidDel="00000000" w:rsidP="00000000" w:rsidRDefault="00000000" w:rsidRPr="00000000" w14:paraId="0000000A">
      <w:pPr>
        <w:rPr/>
      </w:pPr>
      <w:r w:rsidDel="00000000" w:rsidR="00000000" w:rsidRPr="00000000">
        <w:rPr>
          <w:rtl w:val="0"/>
        </w:rPr>
        <w:t xml:space="preserve">Un análisis de la arquitectura de Clawdbot revela una contradicción fundamental entre su propuesta de valor centrada en la privacidad y su funcionamiento real.</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Definición de Clawdbot:</w:t>
      </w:r>
      <w:r w:rsidDel="00000000" w:rsidR="00000000" w:rsidRPr="00000000">
        <w:rPr>
          <w:rtl w:val="0"/>
        </w:rPr>
        <w:t xml:space="preserve">  No es un LLM autónomo, sino un  </w:t>
      </w:r>
      <w:r w:rsidDel="00000000" w:rsidR="00000000" w:rsidRPr="00000000">
        <w:rPr>
          <w:b w:val="1"/>
          <w:bCs w:val="1"/>
          <w:rtl w:val="0"/>
        </w:rPr>
        <w:t xml:space="preserve">agente orquestador</w:t>
      </w:r>
      <w:r w:rsidDel="00000000" w:rsidR="00000000" w:rsidRPr="00000000">
        <w:rPr>
          <w:rtl w:val="0"/>
        </w:rPr>
        <w:t xml:space="preserve">  de código abierto y autoalojado. Su función principal es actuar como un intermediario inteligente que conecta aplicaciones y ejecuta tareas complejas, pero depende "100% de aquello a lo que lo conectes para la inferencia".</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Paradigma de IA Agentiva:</w:t>
      </w:r>
      <w:r w:rsidDel="00000000" w:rsidR="00000000" w:rsidRPr="00000000">
        <w:rPr>
          <w:rtl w:val="0"/>
        </w:rPr>
        <w:t xml:space="preserve">  Su diseño se alinea con la "IA Agentiva" y la "Orquestación de Modelos" analizada por el Comité Europeo de Protección de Datos (CEPD), donde un sistema autónomo combina un LLM con módulos de percepción, razonamiento y acción.</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Flujo de Datos Inherente:</w:t>
      </w:r>
      <w:r w:rsidDel="00000000" w:rsidR="00000000" w:rsidRPr="00000000">
        <w:rPr>
          <w:rtl w:val="0"/>
        </w:rPr>
        <w:t xml:space="preserve">  Como orquestador, su diseño implica inherentemente que los flujos de datos trascienden la máquina local del usuario al conectar componentes locales con servicios externos en la nube.</w:t>
      </w:r>
    </w:p>
    <w:p w:rsidR="00000000" w:rsidDel="00000000" w:rsidP="00000000" w:rsidRDefault="00000000" w:rsidRPr="00000000" w14:paraId="0000000E">
      <w:pPr>
        <w:pStyle w:val="Heading6"/>
        <w:rPr/>
      </w:pPr>
      <w:bookmarkStart w:colFirst="0" w:colLast="0" w:name="_gu4mzi7s5ic7" w:id="3"/>
      <w:bookmarkEnd w:id="3"/>
      <w:r w:rsidDel="00000000" w:rsidR="00000000" w:rsidRPr="00000000">
        <w:rPr>
          <w:rtl w:val="0"/>
        </w:rPr>
        <w:t xml:space="preserve">Capacidades Clave de Clawdbot</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Integración con Mensajería:</w:t>
      </w:r>
      <w:r w:rsidDel="00000000" w:rsidR="00000000" w:rsidRPr="00000000">
        <w:rPr>
          <w:rtl w:val="0"/>
        </w:rPr>
        <w:t xml:space="preserve">  Se conecta con plataformas como WhatsApp, Telegram y Discord.</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Automatización de Tareas:</w:t>
      </w:r>
      <w:r w:rsidDel="00000000" w:rsidR="00000000" w:rsidRPr="00000000">
        <w:rPr>
          <w:rtl w:val="0"/>
        </w:rPr>
        <w:t xml:space="preserve">  Funciona como un agente automático para tareas complejas.</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Gestión de "Memoria" y "Habilidades":</w:t>
      </w:r>
      <w:r w:rsidDel="00000000" w:rsidR="00000000" w:rsidRPr="00000000">
        <w:rPr>
          <w:rtl w:val="0"/>
        </w:rPr>
        <w:t xml:space="preserve">  Permite controlar el contexto y las capacidades del agente.</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Acceso al Sistema Local:</w:t>
      </w:r>
      <w:r w:rsidDel="00000000" w:rsidR="00000000" w:rsidRPr="00000000">
        <w:rPr>
          <w:rtl w:val="0"/>
        </w:rPr>
        <w:t xml:space="preserve">  Puede acceder al sistema de archivos del usuario, una característica que los asistentes en la nube no ofrecen.La crítica central, articulada por el usuario de Reddit swwright, desmantela la narrativa de privacidad:"Si conectas Clawdbot a OpenAI o Anthropic/Claude o cualquier otra IA alojada en la nube como sugieres, tus datos siguen yendo a la nube, punto."Esta realidad técnica entra en conflicto directo con las afirmaciones de marketing de "control total sobre tus datos". Aunque el componente de orquestación es local, la inferencia y el procesamiento del lenguaje, el núcleo de su función, se externalizan a terceros. El verdadero valor de Clawdbot no es la privacidad, sino su capacidad como agente automático compatible con diversos LLMs. Esta disonancia tiene consecuencias legales ineludibles para el usuario bajo el RGPD.</w:t>
      </w:r>
    </w:p>
    <w:p w:rsidR="00000000" w:rsidDel="00000000" w:rsidP="00000000" w:rsidRDefault="00000000" w:rsidRPr="00000000" w14:paraId="00000013">
      <w:pPr>
        <w:pStyle w:val="Heading5"/>
        <w:rPr/>
      </w:pPr>
      <w:bookmarkStart w:colFirst="0" w:colLast="0" w:name="_nzqc80nmpzbo" w:id="4"/>
      <w:bookmarkEnd w:id="4"/>
      <w:r w:rsidDel="00000000" w:rsidR="00000000" w:rsidRPr="00000000">
        <w:rPr>
          <w:rtl w:val="0"/>
        </w:rPr>
        <w:t xml:space="preserve">2. La Imposición del Rol de Responsable del Tratamiento bajo el RGPD</w:t>
      </w:r>
    </w:p>
    <w:p w:rsidR="00000000" w:rsidDel="00000000" w:rsidP="00000000" w:rsidRDefault="00000000" w:rsidRPr="00000000" w14:paraId="00000014">
      <w:pPr>
        <w:rPr/>
      </w:pPr>
      <w:r w:rsidDel="00000000" w:rsidR="00000000" w:rsidRPr="00000000">
        <w:rPr>
          <w:rtl w:val="0"/>
        </w:rPr>
        <w:t xml:space="preserve">La configuración operativa de Clawdbot, al conectar el agente local a un proveedor de LLM en la nube, sitúa al usuario directamente en el rol de  </w:t>
      </w:r>
      <w:r w:rsidDel="00000000" w:rsidR="00000000" w:rsidRPr="00000000">
        <w:rPr>
          <w:b w:val="1"/>
          <w:bCs w:val="1"/>
          <w:rtl w:val="0"/>
        </w:rPr>
        <w:t xml:space="preserve">Responsable del Tratamiento</w:t>
      </w:r>
      <w:r w:rsidDel="00000000" w:rsidR="00000000" w:rsidRPr="00000000">
        <w:rPr>
          <w:rtl w:val="0"/>
        </w:rPr>
        <w:t xml:space="preserve">  de datos, según lo define el RGPD.</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Definición del Rol:</w:t>
      </w:r>
      <w:r w:rsidDel="00000000" w:rsidR="00000000" w:rsidRPr="00000000">
        <w:rPr>
          <w:rtl w:val="0"/>
        </w:rPr>
        <w:t xml:space="preserve">  Cualquier individuo u organización que utilice Clawdbot para fines que excedan una actividad puramente personal (ej. gestionar comunicaciones de un negocio) determina los "fines" (atender a un cliente) y los "medios" (usando Clawdbot con la API de Anthropic) del tratamiento de datos. Esto lo convierte,  </w:t>
      </w:r>
      <w:r w:rsidDel="00000000" w:rsidR="00000000" w:rsidRPr="00000000">
        <w:rPr>
          <w:i w:val="1"/>
          <w:iCs w:val="1"/>
          <w:rtl w:val="0"/>
        </w:rPr>
        <w:t xml:space="preserve">de iure</w:t>
      </w:r>
      <w:r w:rsidDel="00000000" w:rsidR="00000000" w:rsidRPr="00000000">
        <w:rPr>
          <w:rtl w:val="0"/>
        </w:rPr>
        <w:t xml:space="preserve"> , en el Responsable.</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Modelo de Corresponsabilidad:</w:t>
      </w:r>
      <w:r w:rsidDel="00000000" w:rsidR="00000000" w:rsidRPr="00000000">
        <w:rPr>
          <w:rtl w:val="0"/>
        </w:rPr>
        <w:t xml:space="preserve">  La relación no es de simple Responsable-Encargado. Proveedores como Anthropic se reservan el derecho de usar los datos para sus propios fines (ej. revisiones de "Trust &amp; Safety"), actuando también como Responsable. Esto crea una  </w:t>
      </w:r>
      <w:r w:rsidDel="00000000" w:rsidR="00000000" w:rsidRPr="00000000">
        <w:rPr>
          <w:b w:val="1"/>
          <w:bCs w:val="1"/>
          <w:rtl w:val="0"/>
        </w:rPr>
        <w:t xml:space="preserve">corresponsabilidad de facto</w:t>
      </w:r>
      <w:r w:rsidDel="00000000" w:rsidR="00000000" w:rsidRPr="00000000">
        <w:rPr>
          <w:rtl w:val="0"/>
        </w:rPr>
        <w:t xml:space="preserve">  o una situación de responsables independientes, donde el usuario de Clawdbot y el proveedor del LLM comparten la responsabilidad legal, una complejidad que el marketing ignora.La siguiente tabla contrasta las responsabilidades que recaen sobre el usuario y el proveedor.| Usuario de Clawdbot (Responsable) | Proveedor de LLM (Encargado/Corresponsable) || ------ | ------ || </w:t>
      </w:r>
      <w:r w:rsidDel="00000000" w:rsidR="00000000" w:rsidRPr="00000000">
        <w:rPr>
          <w:b w:val="1"/>
          <w:bCs w:val="1"/>
          <w:rtl w:val="0"/>
        </w:rPr>
        <w:t xml:space="preserve">Garantizar una Base Jurídica:</w:t>
      </w:r>
      <w:r w:rsidDel="00000000" w:rsidR="00000000" w:rsidRPr="00000000">
        <w:rPr>
          <w:rtl w:val="0"/>
        </w:rPr>
        <w:t xml:space="preserve">  Debe identificar y documentar una base legal válida (ej. consentimiento, interés legítimo) para todo el tratamiento. | </w:t>
      </w:r>
      <w:r w:rsidDel="00000000" w:rsidR="00000000" w:rsidRPr="00000000">
        <w:rPr>
          <w:b w:val="1"/>
          <w:bCs w:val="1"/>
          <w:rtl w:val="0"/>
        </w:rPr>
        <w:t xml:space="preserve">Procesamiento bajo Instrucción:</w:t>
      </w:r>
      <w:r w:rsidDel="00000000" w:rsidR="00000000" w:rsidRPr="00000000">
        <w:rPr>
          <w:rtl w:val="0"/>
        </w:rPr>
        <w:t xml:space="preserve">  Procesa los datos siguiendo las instrucciones del Responsable, pero con matices significativos. || </w:t>
      </w:r>
      <w:r w:rsidDel="00000000" w:rsidR="00000000" w:rsidRPr="00000000">
        <w:rPr>
          <w:b w:val="1"/>
          <w:bCs w:val="1"/>
          <w:rtl w:val="0"/>
        </w:rPr>
        <w:t xml:space="preserve">Cumplir con la Transparencia:</w:t>
      </w:r>
      <w:r w:rsidDel="00000000" w:rsidR="00000000" w:rsidRPr="00000000">
        <w:rPr>
          <w:rtl w:val="0"/>
        </w:rPr>
        <w:t xml:space="preserve">  Tiene la obligación de informar a los interesados (ej. sus clientes) sobre el tratamiento y todos los actores involucrados. | </w:t>
      </w:r>
      <w:r w:rsidDel="00000000" w:rsidR="00000000" w:rsidRPr="00000000">
        <w:rPr>
          <w:b w:val="1"/>
          <w:bCs w:val="1"/>
          <w:rtl w:val="0"/>
        </w:rPr>
        <w:t xml:space="preserve">Seguridad de la Infraestructura:</w:t>
      </w:r>
      <w:r w:rsidDel="00000000" w:rsidR="00000000" w:rsidRPr="00000000">
        <w:rPr>
          <w:rtl w:val="0"/>
        </w:rPr>
        <w:t xml:space="preserve">  Es responsable de implementar medidas de seguridad técnica para proteger los datos en sus sistemas. || </w:t>
      </w:r>
      <w:r w:rsidDel="00000000" w:rsidR="00000000" w:rsidRPr="00000000">
        <w:rPr>
          <w:b w:val="1"/>
          <w:bCs w:val="1"/>
          <w:rtl w:val="0"/>
        </w:rPr>
        <w:t xml:space="preserve">Asegurar los Datos:</w:t>
      </w:r>
      <w:r w:rsidDel="00000000" w:rsidR="00000000" w:rsidRPr="00000000">
        <w:rPr>
          <w:rtl w:val="0"/>
        </w:rPr>
        <w:t xml:space="preserve">  Debe implementar medidas técnicas y organizativas para proteger los datos, tanto en su sistema local como durante el tránsito. | </w:t>
      </w:r>
      <w:r w:rsidDel="00000000" w:rsidR="00000000" w:rsidRPr="00000000">
        <w:rPr>
          <w:b w:val="1"/>
          <w:bCs w:val="1"/>
          <w:rtl w:val="0"/>
        </w:rPr>
        <w:t xml:space="preserve">Actúa como Responsable para fines propios:</w:t>
      </w:r>
      <w:r w:rsidDel="00000000" w:rsidR="00000000" w:rsidRPr="00000000">
        <w:rPr>
          <w:rtl w:val="0"/>
        </w:rPr>
        <w:t xml:space="preserve">  Al utilizar datos para revisión de seguridad, asume el rol de Responsable, creando una corresponsabilidad de facto. || </w:t>
      </w:r>
      <w:r w:rsidDel="00000000" w:rsidR="00000000" w:rsidRPr="00000000">
        <w:rPr>
          <w:b w:val="1"/>
          <w:bCs w:val="1"/>
          <w:rtl w:val="0"/>
        </w:rPr>
        <w:t xml:space="preserve">Gestionar Transferencias Internacionales:</w:t>
      </w:r>
      <w:r w:rsidDel="00000000" w:rsidR="00000000" w:rsidRPr="00000000">
        <w:rPr>
          <w:rtl w:val="0"/>
        </w:rPr>
        <w:t xml:space="preserve">  Es su responsabilidad garantizar que cualquier transferencia de datos fuera del EEE cumple con el RGPD. | </w:t>
      </w:r>
      <w:r w:rsidDel="00000000" w:rsidR="00000000" w:rsidRPr="00000000">
        <w:rPr>
          <w:b w:val="1"/>
          <w:bCs w:val="1"/>
          <w:rtl w:val="0"/>
        </w:rPr>
        <w:t xml:space="preserve">Facilitar el Cumplimiento:</w:t>
      </w:r>
      <w:r w:rsidDel="00000000" w:rsidR="00000000" w:rsidRPr="00000000">
        <w:rPr>
          <w:rtl w:val="0"/>
        </w:rPr>
        <w:t xml:space="preserve">  Debe ayudar al Responsable a cumplir sus obligaciones, aunque su rol dual complica la delimitación de responsabilidades. || </w:t>
      </w:r>
      <w:r w:rsidDel="00000000" w:rsidR="00000000" w:rsidRPr="00000000">
        <w:rPr>
          <w:b w:val="1"/>
          <w:bCs w:val="1"/>
          <w:rtl w:val="0"/>
        </w:rPr>
        <w:t xml:space="preserve">Facilitar los Derechos de los Interesados:</w:t>
      </w:r>
      <w:r w:rsidDel="00000000" w:rsidR="00000000" w:rsidRPr="00000000">
        <w:rPr>
          <w:rtl w:val="0"/>
        </w:rPr>
        <w:t xml:space="preserve">  Debe establecer procedimientos para atender las solicitudes de acceso, rectificación o supresión de datos. |  |</w:t>
      </w:r>
    </w:p>
    <w:p w:rsidR="00000000" w:rsidDel="00000000" w:rsidP="00000000" w:rsidRDefault="00000000" w:rsidRPr="00000000" w14:paraId="00000017">
      <w:pPr>
        <w:rPr/>
      </w:pPr>
      <w:r w:rsidDel="00000000" w:rsidR="00000000" w:rsidRPr="00000000">
        <w:rPr>
          <w:rtl w:val="0"/>
        </w:rPr>
        <w:t xml:space="preserve">La simplicidad aparente de Clawdbot enmascara una carga de cumplimiento normativo que recae enteramente sobre un usuario que, a menudo sin saberlo, asume riesgos legales sustanciales.</w:t>
      </w:r>
    </w:p>
    <w:p w:rsidR="00000000" w:rsidDel="00000000" w:rsidP="00000000" w:rsidRDefault="00000000" w:rsidRPr="00000000" w14:paraId="00000018">
      <w:pPr>
        <w:pStyle w:val="Heading5"/>
        <w:rPr/>
      </w:pPr>
      <w:bookmarkStart w:colFirst="0" w:colLast="0" w:name="_7f27oy53e7p0" w:id="5"/>
      <w:bookmarkEnd w:id="5"/>
      <w:r w:rsidDel="00000000" w:rsidR="00000000" w:rsidRPr="00000000">
        <w:rPr>
          <w:rtl w:val="0"/>
        </w:rPr>
        <w:t xml:space="preserve">3. Análisis Detallado de los Riesgos de Incumplimiento del RGPD</w:t>
      </w:r>
    </w:p>
    <w:p w:rsidR="00000000" w:rsidDel="00000000" w:rsidP="00000000" w:rsidRDefault="00000000" w:rsidRPr="00000000" w14:paraId="00000019">
      <w:pPr>
        <w:rPr/>
      </w:pPr>
      <w:r w:rsidDel="00000000" w:rsidR="00000000" w:rsidRPr="00000000">
        <w:rPr>
          <w:rtl w:val="0"/>
        </w:rPr>
        <w:t xml:space="preserve">La asunción del rol de Responsable del Tratamiento desencadena una serie de incumplimientos específicos del RGPD derivados de la arquitectura operativa de Clawdbot.</w:t>
      </w:r>
    </w:p>
    <w:p w:rsidR="00000000" w:rsidDel="00000000" w:rsidP="00000000" w:rsidRDefault="00000000" w:rsidRPr="00000000" w14:paraId="0000001A">
      <w:pPr>
        <w:pStyle w:val="Heading6"/>
        <w:rPr/>
      </w:pPr>
      <w:bookmarkStart w:colFirst="0" w:colLast="0" w:name="_wq9a0lhwhpan" w:id="6"/>
      <w:bookmarkEnd w:id="6"/>
      <w:r w:rsidDel="00000000" w:rsidR="00000000" w:rsidRPr="00000000">
        <w:rPr>
          <w:rtl w:val="0"/>
        </w:rPr>
        <w:t xml:space="preserve">3.1. Vulneración de los Principios de Transparencia y Lealtad (Art. 5.1.a)</w:t>
      </w:r>
    </w:p>
    <w:p w:rsidR="00000000" w:rsidDel="00000000" w:rsidP="00000000" w:rsidRDefault="00000000" w:rsidRPr="00000000" w14:paraId="0000001B">
      <w:pPr>
        <w:rPr/>
      </w:pPr>
      <w:r w:rsidDel="00000000" w:rsidR="00000000" w:rsidRPr="00000000">
        <w:rPr>
          <w:rtl w:val="0"/>
        </w:rPr>
        <w:t xml:space="preserve">El marketing de Clawdbot, al prometer "privacidad" y "control total", contradice el flujo real de datos hacia proveedores en la nube. Esta falta de transparencia impide que el usuario final (ej. una persona interactuando vía WhatsApp) otorgue un consentimiento informado y válido, pues desconoce que sus conversaciones son enviadas y analizadas por una empresa externa.</w:t>
      </w:r>
    </w:p>
    <w:p w:rsidR="00000000" w:rsidDel="00000000" w:rsidP="00000000" w:rsidRDefault="00000000" w:rsidRPr="00000000" w14:paraId="0000001C">
      <w:pPr>
        <w:pStyle w:val="Heading6"/>
        <w:rPr/>
      </w:pPr>
      <w:bookmarkStart w:colFirst="0" w:colLast="0" w:name="_mxq543olmdtb" w:id="7"/>
      <w:bookmarkEnd w:id="7"/>
      <w:r w:rsidDel="00000000" w:rsidR="00000000" w:rsidRPr="00000000">
        <w:rPr>
          <w:rtl w:val="0"/>
        </w:rPr>
        <w:t xml:space="preserve">3.2. Transferencias Internacionales de Datos Ilícitas (Capítulo V)</w:t>
      </w:r>
    </w:p>
    <w:p w:rsidR="00000000" w:rsidDel="00000000" w:rsidP="00000000" w:rsidRDefault="00000000" w:rsidRPr="00000000" w14:paraId="0000001D">
      <w:pPr>
        <w:rPr/>
      </w:pPr>
      <w:r w:rsidDel="00000000" w:rsidR="00000000" w:rsidRPr="00000000">
        <w:rPr>
          <w:rtl w:val="0"/>
        </w:rPr>
        <w:t xml:space="preserve">Proveedores como Anthropic procesan datos globalmente, incluyendo en EE. UU., utilizando mecanismos como las Cláusulas Contractuales Tipo (SCCs). La narrativa de "autoalojado" de Clawdbot oculta la obligación del usuario (el Responsable) de garantizar la validez de estas transferencias. El usuario medio carece de los recursos para auditar estos mecanismos, incurriendo en un incumplimiento directo del Capítulo V del RGPD.</w:t>
      </w:r>
    </w:p>
    <w:p w:rsidR="00000000" w:rsidDel="00000000" w:rsidP="00000000" w:rsidRDefault="00000000" w:rsidRPr="00000000" w14:paraId="0000001E">
      <w:pPr>
        <w:pStyle w:val="Heading6"/>
        <w:rPr/>
      </w:pPr>
      <w:bookmarkStart w:colFirst="0" w:colLast="0" w:name="_7z8td4nxp6zm" w:id="8"/>
      <w:bookmarkEnd w:id="8"/>
      <w:r w:rsidDel="00000000" w:rsidR="00000000" w:rsidRPr="00000000">
        <w:rPr>
          <w:rtl w:val="0"/>
        </w:rPr>
        <w:t xml:space="preserve">3.3. Carencia de Base Jurídica Legítima y Limitación de la Finalidad (Art. 5.1.b y Art. 6)</w:t>
      </w:r>
    </w:p>
    <w:p w:rsidR="00000000" w:rsidDel="00000000" w:rsidP="00000000" w:rsidRDefault="00000000" w:rsidRPr="00000000" w14:paraId="0000001F">
      <w:pPr>
        <w:rPr/>
      </w:pPr>
      <w:r w:rsidDel="00000000" w:rsidR="00000000" w:rsidRPr="00000000">
        <w:rPr>
          <w:rtl w:val="0"/>
        </w:rPr>
        <w:t xml:space="preserve">La práctica de proveedores como Anthropic de acceder a datos de conversaciones para revisiones de "Confianza y Seguridad" constituye un propósito secundario, ajeno a la finalidad original del tratamiento (ej. atender una consulta de un cliente). Esto vulnera el principio de limitación de la finalidad. El usuario de Clawdbot (el Responsable) carece de una base jurídica válida bajo el Artículo 6 del RGPD para autorizar este tratamiento secundario por parte de un tercero.</w:t>
      </w:r>
    </w:p>
    <w:p w:rsidR="00000000" w:rsidDel="00000000" w:rsidP="00000000" w:rsidRDefault="00000000" w:rsidRPr="00000000" w14:paraId="00000020">
      <w:pPr>
        <w:pStyle w:val="Heading6"/>
        <w:rPr/>
      </w:pPr>
      <w:bookmarkStart w:colFirst="0" w:colLast="0" w:name="_eea20efc62hv" w:id="9"/>
      <w:bookmarkEnd w:id="9"/>
      <w:r w:rsidDel="00000000" w:rsidR="00000000" w:rsidRPr="00000000">
        <w:rPr>
          <w:rtl w:val="0"/>
        </w:rPr>
        <w:t xml:space="preserve">3.4. Obstaculización del Ejercicio de los Derechos de los Interesados (Art. 12-22)</w:t>
      </w:r>
    </w:p>
    <w:p w:rsidR="00000000" w:rsidDel="00000000" w:rsidP="00000000" w:rsidRDefault="00000000" w:rsidRPr="00000000" w14:paraId="00000021">
      <w:pPr>
        <w:rPr/>
      </w:pPr>
      <w:r w:rsidDel="00000000" w:rsidR="00000000" w:rsidRPr="00000000">
        <w:rPr>
          <w:rtl w:val="0"/>
        </w:rPr>
        <w:t xml:space="preserve">La arquitectura distribuida, con datos almacenados tanto en la "memoria" local de Clawdbot como en los sistemas del proveedor de LLM, crea barreras operativas para el ejercicio de los derechos de acceso o supresión. El Responsable tiene dificultades para garantizar la supresión completa de los datos, lo que vulnera su obligación de facilitar el ejercicio de estos derechos de forma clara y accesible (Artículo 12 del RGPD).</w:t>
      </w:r>
    </w:p>
    <w:p w:rsidR="00000000" w:rsidDel="00000000" w:rsidP="00000000" w:rsidRDefault="00000000" w:rsidRPr="00000000" w14:paraId="00000022">
      <w:pPr>
        <w:pStyle w:val="Heading6"/>
        <w:rPr/>
      </w:pPr>
      <w:bookmarkStart w:colFirst="0" w:colLast="0" w:name="_vetcdrywzlc5" w:id="10"/>
      <w:bookmarkEnd w:id="10"/>
      <w:r w:rsidDel="00000000" w:rsidR="00000000" w:rsidRPr="00000000">
        <w:rPr>
          <w:rtl w:val="0"/>
        </w:rPr>
        <w:t xml:space="preserve">3.5. Riesgos para la Seguridad del Tratamiento (Art. 32): El Agente como Vector de Amenaza</w:t>
      </w:r>
    </w:p>
    <w:p w:rsidR="00000000" w:rsidDel="00000000" w:rsidP="00000000" w:rsidRDefault="00000000" w:rsidRPr="00000000" w14:paraId="00000023">
      <w:pPr>
        <w:rPr/>
      </w:pPr>
      <w:r w:rsidDel="00000000" w:rsidR="00000000" w:rsidRPr="00000000">
        <w:rPr>
          <w:rtl w:val="0"/>
        </w:rPr>
        <w:t xml:space="preserve">La capacidad de Clawdbot para acceder al sistema de archivos local mientras está conectado a un servicio externo en la nube crea una superficie de ataque significativamente ampliada. Una vulnerabilidad en el agente podría ser explotada para comprometer todo el sistema anfitrión, actuando como un puente entre la nube y los datos locales sensibles. Esta configuración introduce un grave riesgo que contraviene la obligación del Responsable de garantizar un nivel de seguridad adecuado (Artículo 32 del RGPD).</w:t>
      </w:r>
    </w:p>
    <w:p w:rsidR="00000000" w:rsidDel="00000000" w:rsidP="00000000" w:rsidRDefault="00000000" w:rsidRPr="00000000" w14:paraId="00000024">
      <w:pPr>
        <w:pStyle w:val="Heading5"/>
        <w:rPr/>
      </w:pPr>
      <w:bookmarkStart w:colFirst="0" w:colLast="0" w:name="_gmhc9btiy5ip" w:id="11"/>
      <w:bookmarkEnd w:id="11"/>
      <w:r w:rsidDel="00000000" w:rsidR="00000000" w:rsidRPr="00000000">
        <w:rPr>
          <w:rtl w:val="0"/>
        </w:rPr>
        <w:t xml:space="preserve">4. Ecosistema Normativo Ampliado: Implicaciones de la Ley de IA y los Derechos de Autor</w:t>
      </w:r>
    </w:p>
    <w:p w:rsidR="00000000" w:rsidDel="00000000" w:rsidP="00000000" w:rsidRDefault="00000000" w:rsidRPr="00000000" w14:paraId="00000025">
      <w:pPr>
        <w:rPr/>
      </w:pPr>
      <w:r w:rsidDel="00000000" w:rsidR="00000000" w:rsidRPr="00000000">
        <w:rPr>
          <w:rtl w:val="0"/>
        </w:rPr>
        <w:t xml:space="preserve">Los riesgos del RGPD se enmarcan en un panorama regulatorio europeo más amplio, creando un  </w:t>
      </w:r>
      <w:r w:rsidDel="00000000" w:rsidR="00000000" w:rsidRPr="00000000">
        <w:rPr>
          <w:b w:val="1"/>
          <w:bCs w:val="1"/>
          <w:rtl w:val="0"/>
        </w:rPr>
        <w:t xml:space="preserve">riesgo crítico en la cadena de suministro</w:t>
      </w:r>
      <w:r w:rsidDel="00000000" w:rsidR="00000000" w:rsidRPr="00000000">
        <w:rPr>
          <w:rtl w:val="0"/>
        </w:rPr>
        <w:t xml:space="preserve">  para el usuario de Clawdbot, quien hereda el riesgo de cumplimiento del proveedor del LLM sin medios de verificación.</w:t>
      </w:r>
    </w:p>
    <w:p w:rsidR="00000000" w:rsidDel="00000000" w:rsidP="00000000" w:rsidRDefault="00000000" w:rsidRPr="00000000" w14:paraId="00000026">
      <w:pPr>
        <w:numPr>
          <w:ilvl w:val="0"/>
          <w:numId w:val="5"/>
        </w:numPr>
        <w:ind w:left="720" w:hanging="360"/>
        <w:rPr>
          <w:u w:val="none"/>
        </w:rPr>
      </w:pPr>
      <w:r w:rsidDel="00000000" w:rsidR="00000000" w:rsidRPr="00000000">
        <w:rPr>
          <w:b w:val="1"/>
          <w:bCs w:val="1"/>
          <w:rtl w:val="0"/>
        </w:rPr>
        <w:t xml:space="preserve">Ley de IA (Reglamento (UE) 2024/1689):</w:t>
      </w:r>
      <w:r w:rsidDel="00000000" w:rsidR="00000000" w:rsidRPr="00000000">
        <w:rPr>
          <w:rtl w:val="0"/>
        </w:rPr>
        <w:t xml:space="preserve">  El artículo 53.1.d exige a los proveedores de modelos de IA de propósito general "elaborar un resumen detallado del contenido utilizado para el entrenamiento".</w:t>
      </w:r>
    </w:p>
    <w:p w:rsidR="00000000" w:rsidDel="00000000" w:rsidP="00000000" w:rsidRDefault="00000000" w:rsidRPr="00000000" w14:paraId="00000027">
      <w:pPr>
        <w:numPr>
          <w:ilvl w:val="0"/>
          <w:numId w:val="5"/>
        </w:numPr>
        <w:ind w:left="720" w:hanging="360"/>
        <w:rPr>
          <w:u w:val="none"/>
        </w:rPr>
      </w:pPr>
      <w:r w:rsidDel="00000000" w:rsidR="00000000" w:rsidRPr="00000000">
        <w:rPr>
          <w:b w:val="1"/>
          <w:bCs w:val="1"/>
          <w:rtl w:val="0"/>
        </w:rPr>
        <w:t xml:space="preserve">Directiva sobre Derechos de Autor ((UE) 2019/790):</w:t>
      </w:r>
      <w:r w:rsidDel="00000000" w:rsidR="00000000" w:rsidRPr="00000000">
        <w:rPr>
          <w:rtl w:val="0"/>
        </w:rPr>
        <w:t xml:space="preserve">  Establece un marco para la minería de textos y datos (TDM) y un derecho de exclusión ( </w:t>
      </w:r>
      <w:r w:rsidDel="00000000" w:rsidR="00000000" w:rsidRPr="00000000">
        <w:rPr>
          <w:i w:val="1"/>
          <w:iCs w:val="1"/>
          <w:rtl w:val="0"/>
        </w:rPr>
        <w:t xml:space="preserve">opt-out</w:t>
      </w:r>
      <w:r w:rsidDel="00000000" w:rsidR="00000000" w:rsidRPr="00000000">
        <w:rPr>
          <w:rtl w:val="0"/>
        </w:rPr>
        <w:t xml:space="preserve"> ) para los titulares de derechos.El usuario de Clawdbot opera en un ecosistema opaco, sin visibilidad ni control sobre si el modelo subyacente fue entrenado con datos obtenidos legalmente o si se respetaron los derechos de autor, añadiendo una capa adicional de vulnerabilidad legal.</w:t>
      </w:r>
    </w:p>
    <w:p w:rsidR="00000000" w:rsidDel="00000000" w:rsidP="00000000" w:rsidRDefault="00000000" w:rsidRPr="00000000" w14:paraId="00000028">
      <w:pPr>
        <w:pStyle w:val="Heading5"/>
        <w:rPr/>
      </w:pPr>
      <w:bookmarkStart w:colFirst="0" w:colLast="0" w:name="_t9i83o534nxr" w:id="12"/>
      <w:bookmarkEnd w:id="12"/>
      <w:r w:rsidDel="00000000" w:rsidR="00000000" w:rsidRPr="00000000">
        <w:rPr>
          <w:rtl w:val="0"/>
        </w:rPr>
        <w:t xml:space="preserve">5. Conclusión: Más Allá de la Ilusión del Control</w:t>
      </w:r>
    </w:p>
    <w:p w:rsidR="00000000" w:rsidDel="00000000" w:rsidP="00000000" w:rsidRDefault="00000000" w:rsidRPr="00000000" w14:paraId="00000029">
      <w:pPr>
        <w:rPr/>
      </w:pPr>
      <w:r w:rsidDel="00000000" w:rsidR="00000000" w:rsidRPr="00000000">
        <w:rPr>
          <w:rtl w:val="0"/>
        </w:rPr>
        <w:t xml:space="preserve">El análisis demuestra que la promesa de privacidad y soberanía de datos de Clawdbot es una ilusión. Su arquitectura operativa externaliza los datos del usuario a terceros, contradiciendo sus afirmaciones de marketing y creando graves riesgos legales.Herramientas como Clawdbot, al ofuscar el flujo real de datos, trasladan una carga desproporcionada de responsabilidad legal a usuarios que, en su mayoría, no están equipados para gestionarla. Atrae a quienes buscan proteger sus datos, solo para colocarlos inadvertidamente en una situación de incumplimiento normativo complejo.La advertencia final es clara: los usuarios y organizaciones que adopten agentes de IA autoalojados deben realizar una diligencia debida que vaya más allá de las afirmaciones superficiales de marketing. Es imperativo mapear los flujos de datos, comprender las obligaciones como Responsables del Tratamiento y evaluar críticamente las prácticas de cualquier proveedor de LLM para evitar los graves riesgos que se esconden tras la atractiva pero frágil ilusión del control.</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