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25E6B" w:rsidR="00E77182" w:rsidP="00E77182" w:rsidRDefault="00E77182" w14:paraId="6CB92747" w14:textId="77777777">
      <w:pPr>
        <w:pStyle w:val="Heading1"/>
        <w:rPr>
          <w:rFonts w:ascii="IBM Plex Sans" w:hAnsi="IBM Plex Sans"/>
        </w:rPr>
      </w:pPr>
      <w:r w:rsidRPr="00E25E6B">
        <w:rPr>
          <w:rFonts w:ascii="IBM Plex Sans" w:hAnsi="IBM Plex Sans"/>
          <w:b/>
          <w:bCs/>
        </w:rPr>
        <w:t>Research Summary:</w:t>
      </w:r>
      <w:r w:rsidRPr="00E25E6B">
        <w:rPr>
          <w:rFonts w:ascii="IBM Plex Sans" w:hAnsi="IBM Plex Sans"/>
        </w:rPr>
        <w:t xml:space="preserve"> </w:t>
      </w:r>
      <w:r w:rsidRPr="00E25E6B" w:rsidR="0026783F">
        <w:rPr>
          <w:rFonts w:ascii="IBM Plex Sans" w:hAnsi="IBM Plex Sans"/>
        </w:rPr>
        <w:t>Security</w:t>
      </w:r>
    </w:p>
    <w:p w:rsidRPr="00E25E6B" w:rsidR="00005D71" w:rsidP="00005D71" w:rsidRDefault="00005D71" w14:paraId="3D60B455" w14:textId="77777777">
      <w:pPr>
        <w:pStyle w:val="Normal1"/>
        <w:rPr>
          <w:rStyle w:val="Normal1Char"/>
          <w:sz w:val="20"/>
          <w:szCs w:val="20"/>
        </w:rPr>
      </w:pPr>
      <w:r w:rsidRPr="00E25E6B">
        <w:rPr>
          <w:sz w:val="20"/>
          <w:szCs w:val="20"/>
        </w:rPr>
        <w:t xml:space="preserve">UX Research Team | </w:t>
      </w:r>
      <w:r>
        <w:rPr>
          <w:sz w:val="20"/>
          <w:szCs w:val="20"/>
        </w:rPr>
        <w:t>February 23 – March 6</w:t>
      </w:r>
      <w:r w:rsidRPr="00E25E6B">
        <w:rPr>
          <w:sz w:val="20"/>
          <w:szCs w:val="20"/>
        </w:rPr>
        <w:t>, 2026</w:t>
      </w:r>
    </w:p>
    <w:p w:rsidR="00E25E6B" w:rsidP="00E25E6B" w:rsidRDefault="00306FCE" w14:paraId="4E42C004" w14:textId="6A8FF2E6">
      <w:pPr>
        <w:pStyle w:val="Normal1"/>
        <w:rPr>
          <w:sz w:val="20"/>
          <w:szCs w:val="20"/>
        </w:rPr>
      </w:pPr>
      <w:r w:rsidRPr="479400A5" w:rsidR="00306FCE">
        <w:rPr>
          <w:sz w:val="20"/>
          <w:szCs w:val="20"/>
        </w:rPr>
        <w:t xml:space="preserve">Key stakeholders: </w:t>
      </w:r>
      <w:r w:rsidRPr="479400A5" w:rsidR="00036319">
        <w:rPr>
          <w:sz w:val="20"/>
          <w:szCs w:val="20"/>
        </w:rPr>
        <w:t xml:space="preserve">Troy Fluegge, </w:t>
      </w:r>
      <w:r w:rsidRPr="479400A5" w:rsidR="006C7ED7">
        <w:rPr>
          <w:sz w:val="20"/>
          <w:szCs w:val="20"/>
        </w:rPr>
        <w:t>Emily Leahy, Hans Kao, Gabi Viana, Emma Luo, Maddie Horvath</w:t>
      </w:r>
    </w:p>
    <w:p w:rsidRPr="00E25E6B" w:rsidR="00E77182" w:rsidP="00E77182" w:rsidRDefault="00E77182" w14:paraId="43BF33BA" w14:textId="77777777">
      <w:pPr>
        <w:pStyle w:val="Heading2"/>
        <w:rPr>
          <w:rFonts w:ascii="IBM Plex Sans" w:hAnsi="IBM Plex Sans"/>
        </w:rPr>
      </w:pPr>
      <w:r w:rsidRPr="00E25E6B">
        <w:rPr>
          <w:rFonts w:ascii="IBM Plex Sans" w:hAnsi="IBM Plex Sans"/>
        </w:rPr>
        <w:t>Context</w:t>
      </w:r>
    </w:p>
    <w:p w:rsidRPr="00F308A8" w:rsidR="00E0315E" w:rsidP="00F308A8" w:rsidRDefault="00E0315E" w14:paraId="666ED3AF" w14:textId="4E2FD72A">
      <w:pPr>
        <w:pStyle w:val="Normal1"/>
        <w:rPr>
          <w:sz w:val="20"/>
          <w:szCs w:val="20"/>
        </w:rPr>
      </w:pPr>
      <w:r w:rsidRPr="479400A5" w:rsidR="00E0315E">
        <w:rPr>
          <w:sz w:val="20"/>
          <w:szCs w:val="20"/>
        </w:rPr>
        <w:t xml:space="preserve">This summary synthesizes discovery from three </w:t>
      </w:r>
      <w:r w:rsidRPr="479400A5" w:rsidR="00F308A8">
        <w:rPr>
          <w:sz w:val="20"/>
          <w:szCs w:val="20"/>
        </w:rPr>
        <w:t>role</w:t>
      </w:r>
      <w:r w:rsidRPr="479400A5" w:rsidR="28F823EF">
        <w:rPr>
          <w:sz w:val="20"/>
          <w:szCs w:val="20"/>
        </w:rPr>
        <w:t>-</w:t>
      </w:r>
      <w:r w:rsidRPr="479400A5" w:rsidR="00F308A8">
        <w:rPr>
          <w:sz w:val="20"/>
          <w:szCs w:val="20"/>
        </w:rPr>
        <w:t xml:space="preserve">based </w:t>
      </w:r>
      <w:r w:rsidRPr="479400A5" w:rsidR="00E0315E">
        <w:rPr>
          <w:sz w:val="20"/>
          <w:szCs w:val="20"/>
        </w:rPr>
        <w:t xml:space="preserve">Slack studies (Application Developers, Platform Engineers, </w:t>
      </w:r>
      <w:r w:rsidRPr="479400A5" w:rsidR="00E0315E">
        <w:rPr>
          <w:sz w:val="20"/>
          <w:szCs w:val="20"/>
        </w:rPr>
        <w:t>CloudOps</w:t>
      </w:r>
      <w:r w:rsidRPr="479400A5" w:rsidR="00E0315E">
        <w:rPr>
          <w:sz w:val="20"/>
          <w:szCs w:val="20"/>
        </w:rPr>
        <w:t xml:space="preserve"> Managers) and </w:t>
      </w:r>
      <w:r w:rsidRPr="479400A5" w:rsidR="00E0315E">
        <w:rPr>
          <w:sz w:val="20"/>
          <w:szCs w:val="20"/>
        </w:rPr>
        <w:t>small</w:t>
      </w:r>
      <w:r w:rsidRPr="479400A5" w:rsidR="5F104B25">
        <w:rPr>
          <w:sz w:val="20"/>
          <w:szCs w:val="20"/>
        </w:rPr>
        <w:t xml:space="preserve"> </w:t>
      </w:r>
      <w:r w:rsidRPr="479400A5" w:rsidR="00E0315E">
        <w:rPr>
          <w:sz w:val="20"/>
          <w:szCs w:val="20"/>
        </w:rPr>
        <w:t>group</w:t>
      </w:r>
      <w:r w:rsidRPr="479400A5" w:rsidR="00E0315E">
        <w:rPr>
          <w:sz w:val="20"/>
          <w:szCs w:val="20"/>
        </w:rPr>
        <w:t xml:space="preserve"> sessions in the Feb 23–Mar 6, </w:t>
      </w:r>
      <w:r w:rsidRPr="479400A5" w:rsidR="00E0315E">
        <w:rPr>
          <w:sz w:val="20"/>
          <w:szCs w:val="20"/>
        </w:rPr>
        <w:t>2026</w:t>
      </w:r>
      <w:r w:rsidRPr="479400A5" w:rsidR="00E0315E">
        <w:rPr>
          <w:sz w:val="20"/>
          <w:szCs w:val="20"/>
        </w:rPr>
        <w:t xml:space="preserve"> </w:t>
      </w:r>
      <w:r w:rsidRPr="479400A5" w:rsidR="00F308A8">
        <w:rPr>
          <w:sz w:val="20"/>
          <w:szCs w:val="20"/>
        </w:rPr>
        <w:t>Research S</w:t>
      </w:r>
      <w:r w:rsidRPr="479400A5" w:rsidR="00E0315E">
        <w:rPr>
          <w:sz w:val="20"/>
          <w:szCs w:val="20"/>
        </w:rPr>
        <w:t>print.</w:t>
      </w:r>
    </w:p>
    <w:p w:rsidRPr="00F308A8" w:rsidR="00F308A8" w:rsidP="00F308A8" w:rsidRDefault="00F308A8" w14:paraId="18B381F1" w14:textId="409F1D6C">
      <w:pPr>
        <w:pStyle w:val="Normal1"/>
        <w:rPr>
          <w:sz w:val="20"/>
          <w:szCs w:val="20"/>
        </w:rPr>
      </w:pPr>
      <w:r>
        <w:rPr>
          <w:sz w:val="20"/>
          <w:szCs w:val="20"/>
        </w:rPr>
        <w:t>Research Participants</w:t>
      </w:r>
      <w:r w:rsidR="005E174D">
        <w:rPr>
          <w:sz w:val="20"/>
          <w:szCs w:val="20"/>
        </w:rPr>
        <w:t xml:space="preserve"> included a mix of</w:t>
      </w:r>
      <w:r w:rsidRPr="005E174D" w:rsidR="005E174D">
        <w:rPr>
          <w:sz w:val="20"/>
          <w:szCs w:val="20"/>
        </w:rPr>
        <w:t xml:space="preserve"> </w:t>
      </w:r>
      <w:r w:rsidR="005E174D">
        <w:rPr>
          <w:sz w:val="20"/>
          <w:szCs w:val="20"/>
        </w:rPr>
        <w:t>current, previous, and non-customers</w:t>
      </w:r>
      <w:r>
        <w:rPr>
          <w:sz w:val="20"/>
          <w:szCs w:val="20"/>
        </w:rPr>
        <w:t xml:space="preserve">: 11 Application Developers, 8 Platform Engineers, 11 </w:t>
      </w:r>
      <w:proofErr w:type="spellStart"/>
      <w:r>
        <w:rPr>
          <w:sz w:val="20"/>
          <w:szCs w:val="20"/>
        </w:rPr>
        <w:t>CloudOps</w:t>
      </w:r>
      <w:proofErr w:type="spellEnd"/>
      <w:r>
        <w:rPr>
          <w:sz w:val="20"/>
          <w:szCs w:val="20"/>
        </w:rPr>
        <w:t xml:space="preserve"> Managers</w:t>
      </w:r>
      <w:r w:rsidR="005E174D">
        <w:rPr>
          <w:sz w:val="20"/>
          <w:szCs w:val="20"/>
        </w:rPr>
        <w:t>.</w:t>
      </w:r>
    </w:p>
    <w:p w:rsidR="00E77182" w:rsidP="00E77182" w:rsidRDefault="00E77182" w14:paraId="6A54D720" w14:textId="77777777">
      <w:pPr>
        <w:pStyle w:val="Heading2"/>
        <w:rPr>
          <w:rFonts w:ascii="IBM Plex Sans" w:hAnsi="IBM Plex Sans"/>
        </w:rPr>
      </w:pPr>
      <w:r w:rsidRPr="00E25E6B">
        <w:rPr>
          <w:rFonts w:ascii="IBM Plex Sans" w:hAnsi="IBM Plex Sans"/>
        </w:rPr>
        <w:t>Top takeaways</w:t>
      </w:r>
    </w:p>
    <w:p w:rsidRPr="00A81339" w:rsidR="00A81339" w:rsidP="00A81339" w:rsidRDefault="00A81339" w14:paraId="774B3A0D" w14:textId="47207E95">
      <w:pPr>
        <w:pStyle w:val="Normal1"/>
        <w:rPr>
          <w:sz w:val="20"/>
          <w:szCs w:val="20"/>
        </w:rPr>
      </w:pPr>
      <w:r w:rsidRPr="479400A5" w:rsidR="00A81339">
        <w:rPr>
          <w:sz w:val="20"/>
          <w:szCs w:val="20"/>
        </w:rPr>
        <w:t xml:space="preserve">Security programs start with </w:t>
      </w:r>
      <w:r w:rsidRPr="479400A5" w:rsidR="00A81339">
        <w:rPr>
          <w:b w:val="1"/>
          <w:bCs w:val="1"/>
          <w:sz w:val="20"/>
          <w:szCs w:val="20"/>
        </w:rPr>
        <w:t>identity</w:t>
      </w:r>
      <w:r w:rsidRPr="479400A5" w:rsidR="058A7A43">
        <w:rPr>
          <w:b w:val="1"/>
          <w:bCs w:val="1"/>
          <w:sz w:val="20"/>
          <w:szCs w:val="20"/>
        </w:rPr>
        <w:t>-</w:t>
      </w:r>
      <w:r w:rsidRPr="479400A5" w:rsidR="00A81339">
        <w:rPr>
          <w:b w:val="1"/>
          <w:bCs w:val="1"/>
          <w:sz w:val="20"/>
          <w:szCs w:val="20"/>
        </w:rPr>
        <w:t>first guardrails</w:t>
      </w:r>
      <w:r w:rsidRPr="479400A5" w:rsidR="00A81339">
        <w:rPr>
          <w:sz w:val="20"/>
          <w:szCs w:val="20"/>
        </w:rPr>
        <w:t xml:space="preserve"> (Entra ID/AWS IAM, least</w:t>
      </w:r>
      <w:r w:rsidRPr="479400A5" w:rsidR="504C6710">
        <w:rPr>
          <w:sz w:val="20"/>
          <w:szCs w:val="20"/>
        </w:rPr>
        <w:t>-</w:t>
      </w:r>
      <w:r w:rsidRPr="479400A5" w:rsidR="00A81339">
        <w:rPr>
          <w:sz w:val="20"/>
          <w:szCs w:val="20"/>
        </w:rPr>
        <w:t xml:space="preserve">privilege, privileged access) and scale with </w:t>
      </w:r>
      <w:r w:rsidRPr="479400A5" w:rsidR="00A81339">
        <w:rPr>
          <w:b w:val="1"/>
          <w:bCs w:val="1"/>
          <w:sz w:val="20"/>
          <w:szCs w:val="20"/>
        </w:rPr>
        <w:t>policy</w:t>
      </w:r>
      <w:r w:rsidRPr="479400A5" w:rsidR="46B05DE9">
        <w:rPr>
          <w:b w:val="1"/>
          <w:bCs w:val="1"/>
          <w:sz w:val="20"/>
          <w:szCs w:val="20"/>
        </w:rPr>
        <w:t>-</w:t>
      </w:r>
      <w:r w:rsidRPr="479400A5" w:rsidR="00A81339">
        <w:rPr>
          <w:b w:val="1"/>
          <w:bCs w:val="1"/>
          <w:sz w:val="20"/>
          <w:szCs w:val="20"/>
        </w:rPr>
        <w:t>as</w:t>
      </w:r>
      <w:r w:rsidRPr="479400A5" w:rsidR="46B05DE9">
        <w:rPr>
          <w:b w:val="1"/>
          <w:bCs w:val="1"/>
          <w:sz w:val="20"/>
          <w:szCs w:val="20"/>
        </w:rPr>
        <w:t>-</w:t>
      </w:r>
      <w:r w:rsidRPr="479400A5" w:rsidR="00A81339">
        <w:rPr>
          <w:b w:val="1"/>
          <w:bCs w:val="1"/>
          <w:sz w:val="20"/>
          <w:szCs w:val="20"/>
        </w:rPr>
        <w:t>code</w:t>
      </w:r>
      <w:r w:rsidRPr="479400A5" w:rsidR="00A81339">
        <w:rPr>
          <w:sz w:val="20"/>
          <w:szCs w:val="20"/>
        </w:rPr>
        <w:t xml:space="preserve"> in pipelines. The top takeaways focus on closing ownership gaps (tagging at creation, CMDB links) and easing the </w:t>
      </w:r>
      <w:r w:rsidRPr="479400A5" w:rsidR="00A81339">
        <w:rPr>
          <w:b w:val="1"/>
          <w:bCs w:val="1"/>
          <w:sz w:val="20"/>
          <w:szCs w:val="20"/>
        </w:rPr>
        <w:t>“locked door vs. hurdle”</w:t>
      </w:r>
      <w:r w:rsidRPr="479400A5" w:rsidR="00A81339">
        <w:rPr>
          <w:sz w:val="20"/>
          <w:szCs w:val="20"/>
        </w:rPr>
        <w:t xml:space="preserve"> tension through </w:t>
      </w:r>
      <w:r w:rsidRPr="479400A5" w:rsidR="00A81339">
        <w:rPr>
          <w:sz w:val="20"/>
          <w:szCs w:val="20"/>
        </w:rPr>
        <w:t>paved</w:t>
      </w:r>
      <w:r w:rsidRPr="479400A5" w:rsidR="1662A79E">
        <w:rPr>
          <w:sz w:val="20"/>
          <w:szCs w:val="20"/>
        </w:rPr>
        <w:t>-</w:t>
      </w:r>
      <w:r w:rsidRPr="479400A5" w:rsidR="00A81339">
        <w:rPr>
          <w:sz w:val="20"/>
          <w:szCs w:val="20"/>
        </w:rPr>
        <w:t>road</w:t>
      </w:r>
      <w:r w:rsidRPr="479400A5" w:rsidR="00A81339">
        <w:rPr>
          <w:sz w:val="20"/>
          <w:szCs w:val="20"/>
        </w:rPr>
        <w:t xml:space="preserve"> templates that keep velocity and posture aligned.</w:t>
      </w:r>
    </w:p>
    <w:p w:rsidRPr="00E25E6B" w:rsidR="00E0315E" w:rsidP="00E0315E" w:rsidRDefault="00E0315E" w14:paraId="56B33A3E" w14:textId="1EEDEFDE">
      <w:pPr>
        <w:pStyle w:val="NormalWeb"/>
        <w:numPr>
          <w:ilvl w:val="0"/>
          <w:numId w:val="12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479400A5" w:rsidR="00E0315E">
        <w:rPr>
          <w:rStyle w:val="Strong"/>
          <w:rFonts w:ascii="IBM Plex Sans" w:hAnsi="IBM Plex Sans" w:cs="Segoe UI"/>
          <w:sz w:val="21"/>
          <w:szCs w:val="21"/>
        </w:rPr>
        <w:t>Identity</w:t>
      </w:r>
      <w:r w:rsidRPr="479400A5" w:rsidR="040B7748">
        <w:rPr>
          <w:rStyle w:val="Strong"/>
          <w:rFonts w:ascii="IBM Plex Sans" w:hAnsi="IBM Plex Sans" w:cs="Segoe UI"/>
          <w:sz w:val="21"/>
          <w:szCs w:val="21"/>
        </w:rPr>
        <w:t>-</w:t>
      </w:r>
      <w:r w:rsidRPr="479400A5" w:rsidR="00E0315E">
        <w:rPr>
          <w:rStyle w:val="Strong"/>
          <w:rFonts w:ascii="IBM Plex Sans" w:hAnsi="IBM Plex Sans" w:cs="Segoe UI"/>
          <w:sz w:val="21"/>
          <w:szCs w:val="21"/>
        </w:rPr>
        <w:t>first guardrails</w:t>
      </w:r>
      <w:r>
        <w:br/>
      </w:r>
      <w:r w:rsidRPr="479400A5" w:rsidR="00E0315E">
        <w:rPr>
          <w:rFonts w:ascii="IBM Plex Sans" w:hAnsi="IBM Plex Sans" w:cs="Segoe UI"/>
          <w:sz w:val="21"/>
          <w:szCs w:val="21"/>
        </w:rPr>
        <w:t>Security foundations rely on centralized identity (Entra ID/Azure AD, AWS IAM), least</w:t>
      </w:r>
      <w:r w:rsidRPr="479400A5" w:rsidR="7DCE2BD4">
        <w:rPr>
          <w:rFonts w:ascii="IBM Plex Sans" w:hAnsi="IBM Plex Sans" w:cs="Segoe UI"/>
          <w:sz w:val="21"/>
          <w:szCs w:val="21"/>
        </w:rPr>
        <w:t>-</w:t>
      </w:r>
      <w:r w:rsidRPr="479400A5" w:rsidR="00E0315E">
        <w:rPr>
          <w:rFonts w:ascii="IBM Plex Sans" w:hAnsi="IBM Plex Sans" w:cs="Segoe UI"/>
          <w:sz w:val="21"/>
          <w:szCs w:val="21"/>
        </w:rPr>
        <w:t xml:space="preserve">privilege </w:t>
      </w:r>
      <w:r>
        <w:fldChar w:fldCharType="begin"/>
      </w:r>
      <w:r>
        <w:instrText xml:space="preserve">HYPERLINK  \l "_Top_takeaways"</w:instrText>
      </w:r>
      <w:r>
        <w:fldChar w:fldCharType="separate"/>
      </w:r>
      <w:r w:rsidRPr="479400A5" w:rsidR="00E0315E">
        <w:rPr>
          <w:rStyle w:val="Hyperlink"/>
          <w:rFonts w:ascii="IBM Plex Sans" w:hAnsi="IBM Plex Sans" w:cs="Segoe UI"/>
          <w:sz w:val="21"/>
          <w:szCs w:val="21"/>
        </w:rPr>
        <w:t>RBAC</w:t>
      </w:r>
      <w:r>
        <w:fldChar w:fldCharType="end"/>
      </w:r>
      <w:r w:rsidRPr="479400A5" w:rsidR="00E0315E">
        <w:rPr>
          <w:rFonts w:ascii="IBM Plex Sans" w:hAnsi="IBM Plex Sans" w:cs="Segoe UI"/>
          <w:sz w:val="21"/>
          <w:szCs w:val="21"/>
        </w:rPr>
        <w:t xml:space="preserve">, and </w:t>
      </w:r>
      <w:r w:rsidRPr="479400A5" w:rsidR="00E0315E">
        <w:rPr>
          <w:rFonts w:ascii="IBM Plex Sans" w:hAnsi="IBM Plex Sans" w:cs="Segoe UI"/>
          <w:sz w:val="21"/>
          <w:szCs w:val="21"/>
        </w:rPr>
        <w:t>privileged</w:t>
      </w:r>
      <w:r w:rsidRPr="479400A5" w:rsidR="429729CF">
        <w:rPr>
          <w:rFonts w:ascii="IBM Plex Sans" w:hAnsi="IBM Plex Sans" w:cs="Segoe UI"/>
          <w:sz w:val="21"/>
          <w:szCs w:val="21"/>
        </w:rPr>
        <w:t>-</w:t>
      </w:r>
      <w:r w:rsidRPr="479400A5" w:rsidR="00E0315E">
        <w:rPr>
          <w:rFonts w:ascii="IBM Plex Sans" w:hAnsi="IBM Plex Sans" w:cs="Segoe UI"/>
          <w:sz w:val="21"/>
          <w:szCs w:val="21"/>
        </w:rPr>
        <w:t>access</w:t>
      </w:r>
      <w:r w:rsidRPr="479400A5" w:rsidR="00E0315E">
        <w:rPr>
          <w:rFonts w:ascii="IBM Plex Sans" w:hAnsi="IBM Plex Sans" w:cs="Segoe UI"/>
          <w:sz w:val="21"/>
          <w:szCs w:val="21"/>
        </w:rPr>
        <w:t xml:space="preserve"> brokers; preventive guardrails are wired into org</w:t>
      </w:r>
      <w:r w:rsidRPr="479400A5" w:rsidR="00077E01">
        <w:rPr>
          <w:rFonts w:ascii="IBM Plex Sans" w:hAnsi="IBM Plex Sans" w:cs="Segoe UI"/>
          <w:sz w:val="21"/>
          <w:szCs w:val="21"/>
        </w:rPr>
        <w:t>anizational</w:t>
      </w:r>
      <w:r w:rsidRPr="479400A5" w:rsidR="00E0315E">
        <w:rPr>
          <w:rFonts w:ascii="IBM Plex Sans" w:hAnsi="IBM Plex Sans" w:cs="Segoe UI"/>
          <w:sz w:val="21"/>
          <w:szCs w:val="21"/>
        </w:rPr>
        <w:t xml:space="preserve"> controls and pipelines. </w:t>
      </w:r>
    </w:p>
    <w:p w:rsidRPr="00E25E6B" w:rsidR="00E0315E" w:rsidP="00E0315E" w:rsidRDefault="00E0315E" w14:paraId="34CE2FB2" w14:textId="47471FA2">
      <w:pPr>
        <w:pStyle w:val="NormalWeb"/>
        <w:numPr>
          <w:ilvl w:val="0"/>
          <w:numId w:val="12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00E25E6B">
        <w:rPr>
          <w:rStyle w:val="Strong"/>
          <w:rFonts w:ascii="IBM Plex Sans" w:hAnsi="IBM Plex Sans" w:cs="Segoe UI"/>
          <w:sz w:val="21"/>
          <w:szCs w:val="21"/>
        </w:rPr>
        <w:t>Incidents &amp; regulation drive posture change</w:t>
      </w:r>
      <w:r w:rsidRPr="00E25E6B">
        <w:rPr>
          <w:rFonts w:ascii="IBM Plex Sans" w:hAnsi="IBM Plex Sans" w:cs="Segoe UI"/>
          <w:sz w:val="21"/>
          <w:szCs w:val="21"/>
        </w:rPr>
        <w:br/>
      </w:r>
      <w:r w:rsidRPr="00E25E6B">
        <w:rPr>
          <w:rFonts w:ascii="IBM Plex Sans" w:hAnsi="IBM Plex Sans" w:cs="Segoe UI"/>
          <w:sz w:val="21"/>
          <w:szCs w:val="21"/>
        </w:rPr>
        <w:t>Zero</w:t>
      </w:r>
      <w:r w:rsidRPr="00E25E6B">
        <w:rPr>
          <w:rFonts w:ascii="IBM Plex Sans" w:hAnsi="IBM Plex Sans" w:cs="Segoe UI"/>
          <w:sz w:val="21"/>
          <w:szCs w:val="21"/>
        </w:rPr>
        <w:noBreakHyphen/>
        <w:t>trust resets, stricter asset tracking, and leadership attention commonly follow real incidents and in regulated contexts.</w:t>
      </w:r>
    </w:p>
    <w:p w:rsidRPr="00E25E6B" w:rsidR="00E0315E" w:rsidP="00E0315E" w:rsidRDefault="00E0315E" w14:paraId="65088AF7" w14:textId="3F4D8907">
      <w:pPr>
        <w:pStyle w:val="NormalWeb"/>
        <w:numPr>
          <w:ilvl w:val="0"/>
          <w:numId w:val="12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00E25E6B">
        <w:rPr>
          <w:rStyle w:val="Strong"/>
          <w:rFonts w:ascii="IBM Plex Sans" w:hAnsi="IBM Plex Sans" w:cs="Segoe UI"/>
          <w:sz w:val="21"/>
          <w:szCs w:val="21"/>
        </w:rPr>
        <w:t>Layered tools, scattered visibility</w:t>
      </w:r>
      <w:r w:rsidRPr="00E25E6B">
        <w:rPr>
          <w:rFonts w:ascii="IBM Plex Sans" w:hAnsi="IBM Plex Sans" w:cs="Segoe UI"/>
          <w:sz w:val="21"/>
          <w:szCs w:val="21"/>
        </w:rPr>
        <w:br/>
      </w:r>
      <w:r w:rsidRPr="00E25E6B">
        <w:rPr>
          <w:rFonts w:ascii="IBM Plex Sans" w:hAnsi="IBM Plex Sans" w:cs="Segoe UI"/>
          <w:sz w:val="21"/>
          <w:szCs w:val="21"/>
        </w:rPr>
        <w:t xml:space="preserve">Stacks combine </w:t>
      </w:r>
      <w:hyperlink w:tooltip="Endpoint Detection and Response" w:history="1" w:anchor="_Top_takeaways">
        <w:r w:rsidRPr="0028297E">
          <w:rPr>
            <w:rStyle w:val="Hyperlink"/>
            <w:rFonts w:ascii="IBM Plex Sans" w:hAnsi="IBM Plex Sans" w:cs="Segoe UI"/>
            <w:sz w:val="21"/>
            <w:szCs w:val="21"/>
          </w:rPr>
          <w:t>EDR</w:t>
        </w:r>
      </w:hyperlink>
      <w:r w:rsidRPr="00E25E6B">
        <w:rPr>
          <w:rFonts w:ascii="IBM Plex Sans" w:hAnsi="IBM Plex Sans" w:cs="Segoe UI"/>
          <w:sz w:val="21"/>
          <w:szCs w:val="21"/>
        </w:rPr>
        <w:t>/</w:t>
      </w:r>
      <w:hyperlink w:tooltip="Extended Detection and Response" w:history="1" w:anchor="_Top_takeaways">
        <w:r w:rsidRPr="0028297E">
          <w:rPr>
            <w:rStyle w:val="Hyperlink"/>
            <w:rFonts w:ascii="IBM Plex Sans" w:hAnsi="IBM Plex Sans" w:cs="Segoe UI"/>
            <w:sz w:val="21"/>
            <w:szCs w:val="21"/>
          </w:rPr>
          <w:t>XDR</w:t>
        </w:r>
      </w:hyperlink>
      <w:r w:rsidRPr="00E25E6B">
        <w:rPr>
          <w:rFonts w:ascii="IBM Plex Sans" w:hAnsi="IBM Plex Sans" w:cs="Segoe UI"/>
          <w:sz w:val="21"/>
          <w:szCs w:val="21"/>
        </w:rPr>
        <w:t xml:space="preserve">, </w:t>
      </w:r>
      <w:hyperlink w:tooltip="Security Information and Event Management" w:history="1" w:anchor="_Top_takeaways">
        <w:r w:rsidRPr="0028297E">
          <w:rPr>
            <w:rStyle w:val="Hyperlink"/>
            <w:rFonts w:ascii="IBM Plex Sans" w:hAnsi="IBM Plex Sans" w:cs="Segoe UI"/>
            <w:sz w:val="21"/>
            <w:szCs w:val="21"/>
          </w:rPr>
          <w:t>SIEM</w:t>
        </w:r>
      </w:hyperlink>
      <w:r w:rsidRPr="00E25E6B">
        <w:rPr>
          <w:rFonts w:ascii="IBM Plex Sans" w:hAnsi="IBM Plex Sans" w:cs="Segoe UI"/>
          <w:sz w:val="21"/>
          <w:szCs w:val="21"/>
        </w:rPr>
        <w:t>/</w:t>
      </w:r>
      <w:hyperlink w:tooltip="Security Orchestration, Automation, and Response" w:history="1" w:anchor="_Top_takeaways">
        <w:r w:rsidRPr="0028297E">
          <w:rPr>
            <w:rStyle w:val="Hyperlink"/>
            <w:rFonts w:ascii="IBM Plex Sans" w:hAnsi="IBM Plex Sans" w:cs="Segoe UI"/>
            <w:sz w:val="21"/>
            <w:szCs w:val="21"/>
          </w:rPr>
          <w:t>SOAR</w:t>
        </w:r>
      </w:hyperlink>
      <w:r w:rsidRPr="00E25E6B">
        <w:rPr>
          <w:rFonts w:ascii="IBM Plex Sans" w:hAnsi="IBM Plex Sans" w:cs="Segoe UI"/>
          <w:sz w:val="21"/>
          <w:szCs w:val="21"/>
        </w:rPr>
        <w:t xml:space="preserve">, </w:t>
      </w:r>
      <w:hyperlink w:tooltip="Static Application Security Testing" w:history="1" w:anchor="_Top_takeaways">
        <w:r w:rsidRPr="0028297E">
          <w:rPr>
            <w:rStyle w:val="Hyperlink"/>
            <w:rFonts w:ascii="IBM Plex Sans" w:hAnsi="IBM Plex Sans" w:cs="Segoe UI"/>
            <w:sz w:val="21"/>
            <w:szCs w:val="21"/>
          </w:rPr>
          <w:t>SAST</w:t>
        </w:r>
      </w:hyperlink>
      <w:r w:rsidRPr="00E25E6B">
        <w:rPr>
          <w:rFonts w:ascii="IBM Plex Sans" w:hAnsi="IBM Plex Sans" w:cs="Segoe UI"/>
          <w:sz w:val="21"/>
          <w:szCs w:val="21"/>
        </w:rPr>
        <w:t>/</w:t>
      </w:r>
      <w:hyperlink w:tooltip="Software Composition Analysis" w:history="1" w:anchor="_Top_takeaways">
        <w:r w:rsidRPr="0028297E">
          <w:rPr>
            <w:rStyle w:val="Hyperlink"/>
            <w:rFonts w:ascii="IBM Plex Sans" w:hAnsi="IBM Plex Sans" w:cs="Segoe UI"/>
            <w:sz w:val="21"/>
            <w:szCs w:val="21"/>
          </w:rPr>
          <w:t>SCA</w:t>
        </w:r>
      </w:hyperlink>
      <w:r w:rsidRPr="00E25E6B">
        <w:rPr>
          <w:rFonts w:ascii="IBM Plex Sans" w:hAnsi="IBM Plex Sans" w:cs="Segoe UI"/>
          <w:sz w:val="21"/>
          <w:szCs w:val="21"/>
        </w:rPr>
        <w:t xml:space="preserve">, and </w:t>
      </w:r>
      <w:hyperlink w:tooltip="Cloud-Native Application Protection Platform" w:history="1" w:anchor="_Top_takeaways">
        <w:r w:rsidRPr="0028297E">
          <w:rPr>
            <w:rStyle w:val="Hyperlink"/>
            <w:rFonts w:ascii="IBM Plex Sans" w:hAnsi="IBM Plex Sans" w:cs="Segoe UI"/>
            <w:sz w:val="21"/>
            <w:szCs w:val="21"/>
          </w:rPr>
          <w:t>CNAPP</w:t>
        </w:r>
      </w:hyperlink>
      <w:r w:rsidRPr="00E25E6B">
        <w:rPr>
          <w:rFonts w:ascii="IBM Plex Sans" w:hAnsi="IBM Plex Sans" w:cs="Segoe UI"/>
          <w:sz w:val="21"/>
          <w:szCs w:val="21"/>
        </w:rPr>
        <w:t>; leaders cite integration gaps and version stagnation, increasing operational friction and audit burden.</w:t>
      </w:r>
    </w:p>
    <w:p w:rsidRPr="00E25E6B" w:rsidR="00E0315E" w:rsidP="00E0315E" w:rsidRDefault="00E0315E" w14:paraId="13C814A1" w14:textId="19A1C9C4">
      <w:pPr>
        <w:pStyle w:val="NormalWeb"/>
        <w:numPr>
          <w:ilvl w:val="0"/>
          <w:numId w:val="12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479400A5" w:rsidR="00E0315E">
        <w:rPr>
          <w:rStyle w:val="Strong"/>
          <w:rFonts w:ascii="IBM Plex Sans" w:hAnsi="IBM Plex Sans" w:cs="Segoe UI"/>
          <w:sz w:val="21"/>
          <w:szCs w:val="21"/>
        </w:rPr>
        <w:t>“Locked door vs. hurdle” role tension</w:t>
      </w:r>
      <w:r>
        <w:br/>
      </w:r>
      <w:r w:rsidRPr="479400A5" w:rsidR="00E0315E">
        <w:rPr>
          <w:rFonts w:ascii="IBM Plex Sans" w:hAnsi="IBM Plex Sans" w:cs="Segoe UI"/>
          <w:sz w:val="21"/>
          <w:szCs w:val="21"/>
        </w:rPr>
        <w:t xml:space="preserve">Platform Engineering views strict </w:t>
      </w:r>
      <w:r w:rsidRPr="479400A5" w:rsidR="00285DA3">
        <w:rPr>
          <w:rFonts w:ascii="IBM Plex Sans" w:hAnsi="IBM Plex Sans" w:cs="Segoe UI"/>
          <w:sz w:val="21"/>
          <w:szCs w:val="21"/>
        </w:rPr>
        <w:t>(</w:t>
      </w:r>
      <w:r>
        <w:fldChar w:fldCharType="begin"/>
      </w:r>
      <w:r>
        <w:instrText xml:space="preserve">HYPERLINK  \l "_Top_takeaways"</w:instrText>
      </w:r>
      <w:r>
        <w:fldChar w:fldCharType="separate"/>
      </w:r>
      <w:r w:rsidRPr="479400A5" w:rsidR="00E0315E">
        <w:rPr>
          <w:rStyle w:val="Hyperlink"/>
          <w:rFonts w:ascii="IBM Plex Sans" w:hAnsi="IBM Plex Sans" w:cs="Segoe UI"/>
          <w:sz w:val="21"/>
          <w:szCs w:val="21"/>
        </w:rPr>
        <w:t>IAM</w:t>
      </w:r>
      <w:r>
        <w:fldChar w:fldCharType="end"/>
      </w:r>
      <w:r w:rsidRPr="479400A5" w:rsidR="00285DA3">
        <w:rPr>
          <w:rFonts w:ascii="IBM Plex Sans" w:hAnsi="IBM Plex Sans" w:cs="Segoe UI"/>
          <w:sz w:val="21"/>
          <w:szCs w:val="21"/>
        </w:rPr>
        <w:t>)</w:t>
      </w:r>
      <w:r w:rsidRPr="479400A5" w:rsidR="00E0315E">
        <w:rPr>
          <w:rFonts w:ascii="IBM Plex Sans" w:hAnsi="IBM Plex Sans" w:cs="Segoe UI"/>
          <w:sz w:val="21"/>
          <w:szCs w:val="21"/>
        </w:rPr>
        <w:t xml:space="preserve"> and network boundaries as essential lateral</w:t>
      </w:r>
      <w:r w:rsidRPr="479400A5" w:rsidR="66F0C246">
        <w:rPr>
          <w:rFonts w:ascii="IBM Plex Sans" w:hAnsi="IBM Plex Sans" w:cs="Segoe UI"/>
          <w:sz w:val="21"/>
          <w:szCs w:val="21"/>
        </w:rPr>
        <w:t>-</w:t>
      </w:r>
      <w:r w:rsidRPr="479400A5" w:rsidR="00E0315E">
        <w:rPr>
          <w:rFonts w:ascii="IBM Plex Sans" w:hAnsi="IBM Plex Sans" w:cs="Segoe UI"/>
          <w:sz w:val="21"/>
          <w:szCs w:val="21"/>
        </w:rPr>
        <w:t xml:space="preserve">movement protection; Developers experience the same controls as hurdles that create “human middleware.” </w:t>
      </w:r>
      <w:r w:rsidRPr="479400A5" w:rsidR="00E0315E">
        <w:rPr>
          <w:rStyle w:val="Strong"/>
          <w:rFonts w:ascii="IBM Plex Sans" w:hAnsi="IBM Plex Sans" w:cs="Segoe UI"/>
          <w:sz w:val="21"/>
          <w:szCs w:val="21"/>
        </w:rPr>
        <w:t>Policy</w:t>
      </w:r>
      <w:r w:rsidRPr="479400A5" w:rsidR="6677F263">
        <w:rPr>
          <w:rStyle w:val="Strong"/>
          <w:rFonts w:ascii="IBM Plex Sans" w:hAnsi="IBM Plex Sans" w:cs="Segoe UI"/>
          <w:sz w:val="21"/>
          <w:szCs w:val="21"/>
        </w:rPr>
        <w:t>-</w:t>
      </w:r>
      <w:r w:rsidRPr="479400A5" w:rsidR="00E0315E">
        <w:rPr>
          <w:rStyle w:val="Strong"/>
          <w:rFonts w:ascii="IBM Plex Sans" w:hAnsi="IBM Plex Sans" w:cs="Segoe UI"/>
          <w:sz w:val="21"/>
          <w:szCs w:val="21"/>
        </w:rPr>
        <w:t>as</w:t>
      </w:r>
      <w:r w:rsidRPr="479400A5" w:rsidR="6677F263">
        <w:rPr>
          <w:rStyle w:val="Strong"/>
          <w:rFonts w:ascii="IBM Plex Sans" w:hAnsi="IBM Plex Sans" w:cs="Segoe UI"/>
          <w:sz w:val="21"/>
          <w:szCs w:val="21"/>
        </w:rPr>
        <w:t>-</w:t>
      </w:r>
      <w:r w:rsidRPr="479400A5" w:rsidR="00E0315E">
        <w:rPr>
          <w:rStyle w:val="Strong"/>
          <w:rFonts w:ascii="IBM Plex Sans" w:hAnsi="IBM Plex Sans" w:cs="Segoe UI"/>
          <w:sz w:val="21"/>
          <w:szCs w:val="21"/>
        </w:rPr>
        <w:t>code</w:t>
      </w:r>
      <w:r w:rsidRPr="479400A5" w:rsidR="00E0315E">
        <w:rPr>
          <w:rFonts w:ascii="IBM Plex Sans" w:hAnsi="IBM Plex Sans" w:cs="Segoe UI"/>
          <w:sz w:val="21"/>
          <w:szCs w:val="21"/>
        </w:rPr>
        <w:t xml:space="preserve"> becomes mandatory at scale to reconcile safety with flow.</w:t>
      </w:r>
    </w:p>
    <w:p w:rsidRPr="00E25E6B" w:rsidR="00E0315E" w:rsidP="00E0315E" w:rsidRDefault="00E0315E" w14:paraId="7DCC115E" w14:textId="0C96DEDA">
      <w:pPr>
        <w:pStyle w:val="NormalWeb"/>
        <w:numPr>
          <w:ilvl w:val="0"/>
          <w:numId w:val="12"/>
        </w:numPr>
        <w:spacing w:line="300" w:lineRule="atLeast"/>
        <w:rPr>
          <w:rFonts w:ascii="IBM Plex Sans" w:hAnsi="IBM Plex Sans" w:cs="Segoe UI"/>
          <w:sz w:val="21"/>
          <w:szCs w:val="21"/>
        </w:rPr>
      </w:pPr>
      <w:r w:rsidRPr="00E25E6B">
        <w:rPr>
          <w:rStyle w:val="Strong"/>
          <w:rFonts w:ascii="IBM Plex Sans" w:hAnsi="IBM Plex Sans" w:cs="Segoe UI"/>
          <w:sz w:val="21"/>
          <w:szCs w:val="21"/>
        </w:rPr>
        <w:t>Ownership gaps → “scream tests”</w:t>
      </w:r>
      <w:r w:rsidRPr="00E25E6B">
        <w:rPr>
          <w:rFonts w:ascii="IBM Plex Sans" w:hAnsi="IBM Plex Sans" w:cs="Segoe UI"/>
          <w:sz w:val="21"/>
          <w:szCs w:val="21"/>
        </w:rPr>
        <w:br/>
      </w:r>
      <w:r w:rsidRPr="00E25E6B">
        <w:rPr>
          <w:rFonts w:ascii="IBM Plex Sans" w:hAnsi="IBM Plex Sans" w:cs="Segoe UI"/>
          <w:sz w:val="21"/>
          <w:szCs w:val="21"/>
        </w:rPr>
        <w:t xml:space="preserve">Unknown owners and weak provenance cause teams to power off resources to infer usage; the fix is enforced </w:t>
      </w:r>
      <w:r w:rsidRPr="00E25E6B">
        <w:rPr>
          <w:rStyle w:val="Strong"/>
          <w:rFonts w:ascii="IBM Plex Sans" w:hAnsi="IBM Plex Sans" w:cs="Segoe UI"/>
          <w:sz w:val="21"/>
          <w:szCs w:val="21"/>
        </w:rPr>
        <w:t>tagging at creation</w:t>
      </w:r>
      <w:r w:rsidRPr="00E25E6B">
        <w:rPr>
          <w:rFonts w:ascii="IBM Plex Sans" w:hAnsi="IBM Plex Sans" w:cs="Segoe UI"/>
          <w:sz w:val="21"/>
          <w:szCs w:val="21"/>
        </w:rPr>
        <w:t xml:space="preserve"> and linking owners in </w:t>
      </w:r>
      <w:hyperlink w:tooltip="Configuration Management Database" w:history="1" w:anchor="_Top_takeaways">
        <w:r w:rsidRPr="0028297E">
          <w:rPr>
            <w:rStyle w:val="Hyperlink"/>
            <w:rFonts w:ascii="IBM Plex Sans" w:hAnsi="IBM Plex Sans" w:cs="Segoe UI"/>
            <w:sz w:val="21"/>
            <w:szCs w:val="21"/>
          </w:rPr>
          <w:t>CMDB</w:t>
        </w:r>
      </w:hyperlink>
      <w:r w:rsidRPr="00E25E6B">
        <w:rPr>
          <w:rFonts w:ascii="IBM Plex Sans" w:hAnsi="IBM Plex Sans" w:cs="Segoe UI"/>
          <w:sz w:val="21"/>
          <w:szCs w:val="21"/>
        </w:rPr>
        <w:t xml:space="preserve"> to </w:t>
      </w:r>
      <w:hyperlink w:tooltip="Security Information and Events Management" w:history="1" w:anchor="_Top_takeaways">
        <w:r w:rsidRPr="0028297E" w:rsidR="00285DA3">
          <w:rPr>
            <w:rStyle w:val="Hyperlink"/>
            <w:rFonts w:ascii="IBM Plex Sans" w:hAnsi="IBM Plex Sans" w:cs="Segoe UI"/>
            <w:sz w:val="21"/>
            <w:szCs w:val="21"/>
          </w:rPr>
          <w:t>SIEM</w:t>
        </w:r>
      </w:hyperlink>
      <w:r w:rsidR="0028297E">
        <w:rPr>
          <w:rFonts w:ascii="IBM Plex Sans" w:hAnsi="IBM Plex Sans" w:cs="Segoe UI"/>
          <w:sz w:val="21"/>
          <w:szCs w:val="21"/>
        </w:rPr>
        <w:t>/</w:t>
      </w:r>
      <w:hyperlink w:tooltip="IT Service Management" w:history="1" w:anchor="_Top_takeaways">
        <w:r w:rsidRPr="0028297E" w:rsidR="00285DA3">
          <w:rPr>
            <w:rStyle w:val="Hyperlink"/>
            <w:rFonts w:ascii="IBM Plex Sans" w:hAnsi="IBM Plex Sans" w:cs="Segoe UI"/>
            <w:sz w:val="21"/>
            <w:szCs w:val="21"/>
          </w:rPr>
          <w:t>ITSM</w:t>
        </w:r>
      </w:hyperlink>
      <w:r w:rsidRPr="00E25E6B">
        <w:rPr>
          <w:rFonts w:ascii="IBM Plex Sans" w:hAnsi="IBM Plex Sans" w:cs="Segoe UI"/>
          <w:sz w:val="21"/>
          <w:szCs w:val="21"/>
        </w:rPr>
        <w:t xml:space="preserve"> events.</w:t>
      </w:r>
    </w:p>
    <w:p w:rsidRPr="00E25E6B" w:rsidR="00D26EF1" w:rsidP="00D26EF1" w:rsidRDefault="00D26EF1" w14:paraId="081AAADC" w14:textId="77777777">
      <w:pPr>
        <w:pStyle w:val="Heading2"/>
        <w:rPr>
          <w:rFonts w:ascii="IBM Plex Sans" w:hAnsi="IBM Plex Sans"/>
        </w:rPr>
      </w:pPr>
      <w:r w:rsidRPr="00E25E6B">
        <w:rPr>
          <w:rFonts w:ascii="IBM Plex Sans" w:hAnsi="IBM Plex Sans"/>
        </w:rPr>
        <w:t>Opportunities</w:t>
      </w:r>
      <w:r>
        <w:rPr>
          <w:rFonts w:ascii="IBM Plex Sans" w:hAnsi="IBM Plex Sans"/>
        </w:rPr>
        <w:t xml:space="preserve"> – Let’s workshop together!</w:t>
      </w:r>
    </w:p>
    <w:p w:rsidR="00D26EF1" w:rsidRDefault="00D26EF1" w14:paraId="7F5D9DB6" w14:textId="3DA8D34A">
      <w:pPr>
        <w:rPr>
          <w:rFonts w:ascii="IBM Plex Sans" w:hAnsi="IBM Plex Sans" w:cstheme="majorHAnsi"/>
          <w:szCs w:val="20"/>
        </w:rPr>
      </w:pPr>
    </w:p>
    <w:sectPr w:rsidR="00D26EF1" w:rsidSect="00EE6E42"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4F27" w:rsidP="006A143A" w:rsidRDefault="005C4F27" w14:paraId="7C58FCEE" w14:textId="77777777">
      <w:r>
        <w:separator/>
      </w:r>
    </w:p>
  </w:endnote>
  <w:endnote w:type="continuationSeparator" w:id="0">
    <w:p w:rsidR="005C4F27" w:rsidP="006A143A" w:rsidRDefault="005C4F27" w14:paraId="09BB2EC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Sans">
    <w:panose1 w:val="020B0503050203000203"/>
    <w:charset w:val="00"/>
    <w:family w:val="swiss"/>
    <w:notTrueType/>
    <w:pitch w:val="variable"/>
    <w:sig w:usb0="A00002EF" w:usb1="5000203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75435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143A" w:rsidRDefault="006A143A" w14:paraId="60181783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A143A" w:rsidRDefault="006A143A" w14:paraId="174AE0B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4F27" w:rsidP="006A143A" w:rsidRDefault="005C4F27" w14:paraId="4C97881B" w14:textId="77777777">
      <w:r>
        <w:separator/>
      </w:r>
    </w:p>
  </w:footnote>
  <w:footnote w:type="continuationSeparator" w:id="0">
    <w:p w:rsidR="005C4F27" w:rsidP="006A143A" w:rsidRDefault="005C4F27" w14:paraId="6F26CE4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9D2"/>
    <w:multiLevelType w:val="hybridMultilevel"/>
    <w:tmpl w:val="DDAC8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35FE9"/>
    <w:multiLevelType w:val="hybridMultilevel"/>
    <w:tmpl w:val="82346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57BDF"/>
    <w:multiLevelType w:val="hybridMultilevel"/>
    <w:tmpl w:val="D4EA8B5C"/>
    <w:lvl w:ilvl="0" w:tplc="04090001">
      <w:start w:val="1"/>
      <w:numFmt w:val="bullet"/>
      <w:lvlText w:val=""/>
      <w:lvlJc w:val="left"/>
      <w:pPr>
        <w:ind w:left="76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hint="default" w:ascii="Wingdings" w:hAnsi="Wingdings"/>
      </w:rPr>
    </w:lvl>
  </w:abstractNum>
  <w:abstractNum w:abstractNumId="3" w15:restartNumberingAfterBreak="0">
    <w:nsid w:val="1D8D5702"/>
    <w:multiLevelType w:val="hybridMultilevel"/>
    <w:tmpl w:val="61A67B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AD71D3"/>
    <w:multiLevelType w:val="hybridMultilevel"/>
    <w:tmpl w:val="E3467F10"/>
    <w:lvl w:ilvl="0" w:tplc="3BAEFE2E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474481E"/>
    <w:multiLevelType w:val="hybridMultilevel"/>
    <w:tmpl w:val="BF1C4A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98B6A57"/>
    <w:multiLevelType w:val="hybridMultilevel"/>
    <w:tmpl w:val="B2C6C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35E15"/>
    <w:multiLevelType w:val="hybridMultilevel"/>
    <w:tmpl w:val="E988A2A4"/>
    <w:lvl w:ilvl="0" w:tplc="0B5070DA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1A36825"/>
    <w:multiLevelType w:val="hybridMultilevel"/>
    <w:tmpl w:val="6B88C5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F356C"/>
    <w:multiLevelType w:val="hybridMultilevel"/>
    <w:tmpl w:val="3ABE053E"/>
    <w:lvl w:ilvl="0" w:tplc="5FC0BE18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A7C6EFD"/>
    <w:multiLevelType w:val="hybridMultilevel"/>
    <w:tmpl w:val="6B88C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D70C23"/>
    <w:multiLevelType w:val="hybridMultilevel"/>
    <w:tmpl w:val="B8F2CD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791538"/>
    <w:multiLevelType w:val="hybridMultilevel"/>
    <w:tmpl w:val="5DE222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9C84E50"/>
    <w:multiLevelType w:val="hybridMultilevel"/>
    <w:tmpl w:val="241004F8"/>
    <w:lvl w:ilvl="0" w:tplc="90184CAE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0808888">
    <w:abstractNumId w:val="3"/>
  </w:num>
  <w:num w:numId="2" w16cid:durableId="572618966">
    <w:abstractNumId w:val="12"/>
  </w:num>
  <w:num w:numId="3" w16cid:durableId="317468158">
    <w:abstractNumId w:val="2"/>
  </w:num>
  <w:num w:numId="4" w16cid:durableId="111871724">
    <w:abstractNumId w:val="5"/>
  </w:num>
  <w:num w:numId="5" w16cid:durableId="1056470979">
    <w:abstractNumId w:val="13"/>
  </w:num>
  <w:num w:numId="6" w16cid:durableId="1965697873">
    <w:abstractNumId w:val="11"/>
  </w:num>
  <w:num w:numId="7" w16cid:durableId="711878202">
    <w:abstractNumId w:val="0"/>
  </w:num>
  <w:num w:numId="8" w16cid:durableId="2022852348">
    <w:abstractNumId w:val="10"/>
  </w:num>
  <w:num w:numId="9" w16cid:durableId="1037659493">
    <w:abstractNumId w:val="4"/>
  </w:num>
  <w:num w:numId="10" w16cid:durableId="398746907">
    <w:abstractNumId w:val="1"/>
  </w:num>
  <w:num w:numId="11" w16cid:durableId="1023557506">
    <w:abstractNumId w:val="9"/>
  </w:num>
  <w:num w:numId="12" w16cid:durableId="995111330">
    <w:abstractNumId w:val="6"/>
  </w:num>
  <w:num w:numId="13" w16cid:durableId="1581253067">
    <w:abstractNumId w:val="7"/>
  </w:num>
  <w:num w:numId="14" w16cid:durableId="33712621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8"/>
  <w:proofState w:spelling="clean" w:grammar="dirty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91D"/>
    <w:rsid w:val="00005D71"/>
    <w:rsid w:val="00036319"/>
    <w:rsid w:val="00077E01"/>
    <w:rsid w:val="00113860"/>
    <w:rsid w:val="00231903"/>
    <w:rsid w:val="0026783F"/>
    <w:rsid w:val="0028297E"/>
    <w:rsid w:val="00285DA3"/>
    <w:rsid w:val="00306FCE"/>
    <w:rsid w:val="003C6A63"/>
    <w:rsid w:val="003D0701"/>
    <w:rsid w:val="003D65A6"/>
    <w:rsid w:val="004B50ED"/>
    <w:rsid w:val="005300D3"/>
    <w:rsid w:val="005B7C5F"/>
    <w:rsid w:val="005C4F27"/>
    <w:rsid w:val="005E174D"/>
    <w:rsid w:val="00694109"/>
    <w:rsid w:val="006A143A"/>
    <w:rsid w:val="006C7ED7"/>
    <w:rsid w:val="00782770"/>
    <w:rsid w:val="007C6CBE"/>
    <w:rsid w:val="00820C0E"/>
    <w:rsid w:val="00821DAB"/>
    <w:rsid w:val="0083546B"/>
    <w:rsid w:val="00892322"/>
    <w:rsid w:val="008E7BC9"/>
    <w:rsid w:val="00991A8A"/>
    <w:rsid w:val="009D4CA6"/>
    <w:rsid w:val="009F5FE6"/>
    <w:rsid w:val="00A13F94"/>
    <w:rsid w:val="00A361EC"/>
    <w:rsid w:val="00A42310"/>
    <w:rsid w:val="00A81339"/>
    <w:rsid w:val="00A935DF"/>
    <w:rsid w:val="00AA588A"/>
    <w:rsid w:val="00BE766E"/>
    <w:rsid w:val="00C9608D"/>
    <w:rsid w:val="00D00CE0"/>
    <w:rsid w:val="00D1010D"/>
    <w:rsid w:val="00D26EF1"/>
    <w:rsid w:val="00D6504D"/>
    <w:rsid w:val="00D94891"/>
    <w:rsid w:val="00DE091D"/>
    <w:rsid w:val="00E0315E"/>
    <w:rsid w:val="00E25E6B"/>
    <w:rsid w:val="00E507E8"/>
    <w:rsid w:val="00E571E2"/>
    <w:rsid w:val="00E65B61"/>
    <w:rsid w:val="00E77182"/>
    <w:rsid w:val="00E83E18"/>
    <w:rsid w:val="00EE6E42"/>
    <w:rsid w:val="00F308A8"/>
    <w:rsid w:val="00F709DB"/>
    <w:rsid w:val="00FB2466"/>
    <w:rsid w:val="00FD0957"/>
    <w:rsid w:val="00FE77CD"/>
    <w:rsid w:val="040B7748"/>
    <w:rsid w:val="058A7A43"/>
    <w:rsid w:val="1662A79E"/>
    <w:rsid w:val="1CF0F702"/>
    <w:rsid w:val="28F823EF"/>
    <w:rsid w:val="429729CF"/>
    <w:rsid w:val="46B05DE9"/>
    <w:rsid w:val="479400A5"/>
    <w:rsid w:val="504C6710"/>
    <w:rsid w:val="5F104B25"/>
    <w:rsid w:val="6677F263"/>
    <w:rsid w:val="66F0C246"/>
    <w:rsid w:val="7DC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E20F"/>
  <w15:chartTrackingRefBased/>
  <w15:docId w15:val="{8BC56F75-4B60-3641-829E-EBFD55514F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81339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0ED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CE0"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D00CE0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4B50E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50ED"/>
    <w:rPr>
      <w:i/>
      <w:iCs/>
      <w:color w:val="404040" w:themeColor="text1" w:themeTint="BF"/>
    </w:rPr>
  </w:style>
  <w:style w:type="paragraph" w:styleId="Normal-summary" w:customStyle="1">
    <w:name w:val="Normal - summary"/>
    <w:basedOn w:val="Normal"/>
    <w:link w:val="Normal-summaryChar"/>
    <w:rsid w:val="004B50ED"/>
    <w:pPr>
      <w:spacing w:before="120"/>
    </w:pPr>
    <w:rPr>
      <w:rFonts w:ascii="Aptos" w:hAnsi="Aptos" w:eastAsiaTheme="minorHAnsi" w:cstheme="minorBidi"/>
      <w:sz w:val="20"/>
      <w:szCs w:val="20"/>
    </w:rPr>
  </w:style>
  <w:style w:type="character" w:styleId="Normal-summaryChar" w:customStyle="1">
    <w:name w:val="Normal - summary Char"/>
    <w:basedOn w:val="DefaultParagraphFont"/>
    <w:link w:val="Normal-summary"/>
    <w:rsid w:val="004B50ED"/>
    <w:rPr>
      <w:rFonts w:ascii="Aptos" w:hAnsi="Aptos"/>
      <w:sz w:val="20"/>
      <w:szCs w:val="20"/>
    </w:rPr>
  </w:style>
  <w:style w:type="paragraph" w:styleId="Normal1" w:customStyle="1">
    <w:name w:val="Normal1"/>
    <w:basedOn w:val="Normal-summary"/>
    <w:link w:val="Normal1Char"/>
    <w:qFormat/>
    <w:rsid w:val="008E7BC9"/>
    <w:pPr>
      <w:spacing w:before="80"/>
    </w:pPr>
    <w:rPr>
      <w:rFonts w:ascii="IBM Plex Sans" w:hAnsi="IBM Plex Sans" w:cstheme="majorHAnsi"/>
      <w:sz w:val="22"/>
      <w:szCs w:val="22"/>
    </w:rPr>
  </w:style>
  <w:style w:type="character" w:styleId="Normal1Char" w:customStyle="1">
    <w:name w:val="Normal1 Char"/>
    <w:basedOn w:val="Normal-summaryChar"/>
    <w:link w:val="Normal1"/>
    <w:rsid w:val="008E7BC9"/>
    <w:rPr>
      <w:rFonts w:ascii="IBM Plex Sans" w:hAnsi="IBM Plex Sans" w:cstheme="maj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91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91A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143A"/>
    <w:pPr>
      <w:tabs>
        <w:tab w:val="center" w:pos="4680"/>
        <w:tab w:val="right" w:pos="9360"/>
      </w:tabs>
      <w:spacing w:before="120"/>
    </w:pPr>
    <w:rPr>
      <w:rFonts w:ascii="IBM Plex Sans" w:hAnsi="IBM Plex Sans" w:eastAsiaTheme="minorHAnsi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6A143A"/>
  </w:style>
  <w:style w:type="paragraph" w:styleId="Footer">
    <w:name w:val="footer"/>
    <w:basedOn w:val="Normal"/>
    <w:link w:val="FooterChar"/>
    <w:uiPriority w:val="99"/>
    <w:unhideWhenUsed/>
    <w:rsid w:val="006A143A"/>
    <w:pPr>
      <w:tabs>
        <w:tab w:val="center" w:pos="4680"/>
        <w:tab w:val="right" w:pos="9360"/>
      </w:tabs>
      <w:spacing w:before="120"/>
    </w:pPr>
    <w:rPr>
      <w:rFonts w:ascii="IBM Plex Sans" w:hAnsi="IBM Plex Sans" w:eastAsiaTheme="minorHAnsi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6A143A"/>
  </w:style>
  <w:style w:type="paragraph" w:styleId="ListParagraph">
    <w:name w:val="List Paragraph"/>
    <w:basedOn w:val="Normal"/>
    <w:uiPriority w:val="34"/>
    <w:qFormat/>
    <w:rsid w:val="009D4CA6"/>
    <w:pPr>
      <w:spacing w:before="120"/>
      <w:ind w:left="720"/>
      <w:contextualSpacing/>
    </w:pPr>
    <w:rPr>
      <w:rFonts w:ascii="IBM Plex Sans" w:hAnsi="IBM Plex Sans" w:eastAsiaTheme="minorHAnsi" w:cstheme="minorBidi"/>
      <w:sz w:val="20"/>
    </w:rPr>
  </w:style>
  <w:style w:type="paragraph" w:styleId="NormalWeb">
    <w:name w:val="Normal (Web)"/>
    <w:basedOn w:val="Normal"/>
    <w:uiPriority w:val="99"/>
    <w:semiHidden/>
    <w:unhideWhenUsed/>
    <w:rsid w:val="0026783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6783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D0701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81339"/>
    <w:rPr>
      <w:i/>
      <w:iCs/>
    </w:rPr>
  </w:style>
  <w:style w:type="character" w:styleId="p-rmemberprofilenametext" w:customStyle="1">
    <w:name w:val="p-r_member_profile__name__text"/>
    <w:basedOn w:val="DefaultParagraphFont"/>
    <w:rsid w:val="005B7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egorybender/Desktop/Research%20Sprint%201/Research%20summary%20-%20Greg%20-%20CoPilot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F64827-6412-7A46-9D5F-22F71465DC5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Research summary - Greg - CoPilot.dotx</ap:Template>
  <ap:Application>Microsoft Word for the web</ap:Application>
  <ap:DocSecurity>0</ap:DocSecurity>
  <ap:ScaleCrop>false</ap:ScaleCrop>
  <ap:Company>IBM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Gregory Bender</dc:creator>
  <keywords/>
  <dc:description/>
  <lastModifiedBy>Greg Bender</lastModifiedBy>
  <revision>13</revision>
  <lastPrinted>2026-03-12T22:00:00.0000000Z</lastPrinted>
  <dcterms:created xsi:type="dcterms:W3CDTF">2026-03-12T14:20:00.0000000Z</dcterms:created>
  <dcterms:modified xsi:type="dcterms:W3CDTF">2026-03-13T11:49:05.7887400Z</dcterms:modified>
</coreProperties>
</file>