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C05C7" w:rsidR="00EC05C7" w:rsidP="00EC05C7" w:rsidRDefault="00EC05C7" w14:paraId="1BA3DF20" w14:textId="1A0410D6">
      <w:pPr>
        <w:spacing w:before="100" w:beforeAutospacing="1" w:after="100" w:afterAutospacing="1" w:line="300" w:lineRule="atLeast"/>
        <w:outlineLvl w:val="0"/>
        <w:rPr>
          <w:rFonts w:ascii="IBM Plex Sans" w:hAnsi="IBM Plex Sans" w:eastAsia="Times New Roman" w:cs="Segoe UI"/>
          <w:b/>
          <w:bCs/>
          <w:color w:val="4C94D8" w:themeColor="text2" w:themeTint="80"/>
          <w:kern w:val="36"/>
          <w:sz w:val="21"/>
          <w:szCs w:val="21"/>
          <w14:ligatures w14:val="none"/>
        </w:rPr>
      </w:pPr>
      <w:r w:rsidRPr="00EC05C7">
        <w:rPr>
          <w:rFonts w:ascii="IBM Plex Sans" w:hAnsi="IBM Plex Sans" w:eastAsia="Times New Roman" w:cs="Segoe UI"/>
          <w:b/>
          <w:bCs/>
          <w:color w:val="4C94D8" w:themeColor="text2" w:themeTint="80"/>
          <w:kern w:val="36"/>
          <w:sz w:val="21"/>
          <w:szCs w:val="21"/>
          <w14:ligatures w14:val="none"/>
        </w:rPr>
        <w:t xml:space="preserve">Research Summary: </w:t>
      </w:r>
      <w:r w:rsidRPr="00EC05C7">
        <w:rPr>
          <w:rFonts w:ascii="IBM Plex Sans" w:hAnsi="IBM Plex Sans" w:eastAsia="Times New Roman" w:cs="Segoe UI"/>
          <w:color w:val="4C94D8" w:themeColor="text2" w:themeTint="80"/>
          <w:kern w:val="36"/>
          <w:sz w:val="21"/>
          <w:szCs w:val="21"/>
          <w14:ligatures w14:val="none"/>
        </w:rPr>
        <w:t>Self</w:t>
      </w:r>
      <w:r w:rsidRPr="00EC05C7">
        <w:rPr>
          <w:rFonts w:ascii="IBM Plex Sans" w:hAnsi="IBM Plex Sans" w:eastAsia="Times New Roman" w:cs="Segoe UI"/>
          <w:color w:val="4C94D8" w:themeColor="text2" w:themeTint="80"/>
          <w:kern w:val="36"/>
          <w:sz w:val="21"/>
          <w:szCs w:val="21"/>
          <w14:ligatures w14:val="none"/>
        </w:rPr>
        <w:noBreakHyphen/>
      </w:r>
      <w:r w:rsidRPr="00EC05C7">
        <w:rPr>
          <w:rFonts w:ascii="IBM Plex Sans" w:hAnsi="IBM Plex Sans" w:eastAsia="Times New Roman" w:cs="Segoe UI"/>
          <w:color w:val="4C94D8" w:themeColor="text2" w:themeTint="80"/>
          <w:kern w:val="36"/>
          <w:sz w:val="21"/>
          <w:szCs w:val="21"/>
          <w14:ligatures w14:val="none"/>
        </w:rPr>
        <w:t>Serve (Developer Portal) Readiness</w:t>
      </w:r>
    </w:p>
    <w:p w:rsidRPr="00EC05C7" w:rsidR="00EC05C7" w:rsidP="00EC05C7" w:rsidRDefault="00EC05C7" w14:paraId="78B38F0F" w14:textId="77777777">
      <w:pPr>
        <w:spacing w:before="100" w:beforeAutospacing="1" w:after="100" w:afterAutospacing="1" w:line="300" w:lineRule="atLeast"/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</w:pPr>
      <w:r w:rsidRPr="00EC05C7"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  <w:t>Barnali Banerji | March 20 | UXR—Infrastructure</w:t>
      </w:r>
      <w:r w:rsidRPr="00EC05C7"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  <w:br/>
      </w:r>
      <w:r w:rsidRPr="00EC05C7"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  <w:t>Key stakeholders: Victoria Wesson, Jt Thomas, Tejitha Raju, Olivia Corley, Kala Gullick, Sanchita Chamberlain, Pardiz Taherzadeh</w:t>
      </w:r>
    </w:p>
    <w:p w:rsidRPr="00EC05C7" w:rsidR="00EC05C7" w:rsidP="00EC05C7" w:rsidRDefault="00A27AB0" w14:paraId="1B843ABF" w14:textId="77777777">
      <w:pPr>
        <w:spacing w:after="0" w:line="300" w:lineRule="atLeast"/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</w:pPr>
      <w:r w:rsidRPr="00A27AB0">
        <w:rPr>
          <w:rFonts w:ascii="IBM Plex Sans" w:hAnsi="IBM Plex Sans" w:eastAsia="Times New Roman" w:cs="Segoe UI"/>
          <w:noProof/>
          <w:kern w:val="0"/>
          <w:sz w:val="20"/>
          <w:szCs w:val="20"/>
        </w:rPr>
        <w:pict w14:anchorId="7BADCD83">
          <v:rect id="_x0000_i1027" style="width:468pt;height:.05pt;mso-width-percent:0;mso-height-percent:0;mso-width-percent:0;mso-height-percent:0" alt="" o:hr="t" o:hrstd="t" o:hralign="center" fillcolor="#a0a0a0" stroked="f"/>
        </w:pict>
      </w:r>
    </w:p>
    <w:p w:rsidRPr="00EC05C7" w:rsidR="00EC05C7" w:rsidP="00EC05C7" w:rsidRDefault="00EC05C7" w14:paraId="3ACE7473" w14:textId="77777777">
      <w:pPr>
        <w:spacing w:before="100" w:beforeAutospacing="1" w:after="100" w:afterAutospacing="1" w:line="300" w:lineRule="atLeast"/>
        <w:outlineLvl w:val="1"/>
        <w:rPr>
          <w:rFonts w:ascii="IBM Plex Sans" w:hAnsi="IBM Plex Sans" w:eastAsia="Times New Roman" w:cs="Segoe UI"/>
          <w:b/>
          <w:bCs/>
          <w:color w:val="4C94D8" w:themeColor="text2" w:themeTint="80"/>
          <w:kern w:val="0"/>
          <w:sz w:val="21"/>
          <w:szCs w:val="21"/>
          <w14:ligatures w14:val="none"/>
        </w:rPr>
      </w:pPr>
      <w:r w:rsidRPr="00EC05C7">
        <w:rPr>
          <w:rFonts w:ascii="IBM Plex Sans" w:hAnsi="IBM Plex Sans" w:eastAsia="Times New Roman" w:cs="Segoe UI"/>
          <w:b/>
          <w:bCs/>
          <w:color w:val="4C94D8" w:themeColor="text2" w:themeTint="80"/>
          <w:kern w:val="0"/>
          <w:sz w:val="21"/>
          <w:szCs w:val="21"/>
          <w14:ligatures w14:val="none"/>
        </w:rPr>
        <w:t>Context</w:t>
      </w:r>
    </w:p>
    <w:p w:rsidRPr="00EC05C7" w:rsidR="00EC05C7" w:rsidP="00EC05C7" w:rsidRDefault="00EC05C7" w14:paraId="1D56290F" w14:textId="77777777">
      <w:pPr>
        <w:spacing w:before="100" w:beforeAutospacing="1" w:after="100" w:afterAutospacing="1" w:line="300" w:lineRule="atLeast"/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</w:pPr>
      <w:r w:rsidRPr="00EC05C7"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  <w:t>This summary reflects insights from a 10</w:t>
      </w:r>
      <w:r w:rsidRPr="00EC05C7"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  <w:noBreakHyphen/>
      </w:r>
      <w:r w:rsidRPr="00EC05C7"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  <w:t>day research sprint with 11 Platform Engineers, 8 CloudOps Managers, and 1 App Developer on how teams enable self</w:t>
      </w:r>
      <w:r w:rsidRPr="00EC05C7"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  <w:noBreakHyphen/>
      </w:r>
      <w:r w:rsidRPr="00EC05C7"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  <w:t>serve today and what conditions must be met for it to work reliably at scale.</w:t>
      </w:r>
    </w:p>
    <w:p w:rsidRPr="00EC05C7" w:rsidR="00EC05C7" w:rsidP="00EC05C7" w:rsidRDefault="00A27AB0" w14:paraId="0D71F0A8" w14:textId="77777777">
      <w:pPr>
        <w:spacing w:after="0" w:line="300" w:lineRule="atLeast"/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</w:pPr>
      <w:r w:rsidRPr="00A27AB0">
        <w:rPr>
          <w:rFonts w:ascii="IBM Plex Sans" w:hAnsi="IBM Plex Sans" w:eastAsia="Times New Roman" w:cs="Segoe UI"/>
          <w:noProof/>
          <w:kern w:val="0"/>
          <w:sz w:val="20"/>
          <w:szCs w:val="20"/>
        </w:rPr>
        <w:pict w14:anchorId="083E8212">
          <v:rect id="_x0000_i1026" style="width:0;height:1.5pt" o:hr="t" o:hrstd="t" o:hralign="center" fillcolor="#a0a0a0" stroked="f"/>
        </w:pict>
      </w:r>
    </w:p>
    <w:p w:rsidRPr="00EC05C7" w:rsidR="00EC05C7" w:rsidP="007E6963" w:rsidRDefault="00EC05C7" w14:paraId="431EA4E9" w14:textId="77777777">
      <w:pPr>
        <w:spacing w:before="100" w:beforeAutospacing="1" w:after="100" w:afterAutospacing="1" w:line="300" w:lineRule="atLeast"/>
        <w:outlineLvl w:val="1"/>
        <w:rPr>
          <w:rFonts w:ascii="IBM Plex Sans" w:hAnsi="IBM Plex Sans" w:eastAsia="Times New Roman" w:cs="Segoe UI"/>
          <w:b/>
          <w:bCs/>
          <w:color w:val="4C94D8" w:themeColor="text2" w:themeTint="80"/>
          <w:kern w:val="0"/>
          <w:sz w:val="21"/>
          <w:szCs w:val="21"/>
          <w14:ligatures w14:val="none"/>
        </w:rPr>
      </w:pPr>
      <w:r w:rsidRPr="00EC05C7">
        <w:rPr>
          <w:rFonts w:ascii="IBM Plex Sans" w:hAnsi="IBM Plex Sans" w:eastAsia="Times New Roman" w:cs="Segoe UI"/>
          <w:b/>
          <w:bCs/>
          <w:color w:val="4C94D8" w:themeColor="text2" w:themeTint="80"/>
          <w:kern w:val="0"/>
          <w:sz w:val="21"/>
          <w:szCs w:val="21"/>
          <w14:ligatures w14:val="none"/>
        </w:rPr>
        <w:t>Top takeaways</w:t>
      </w:r>
    </w:p>
    <w:p w:rsidRPr="00EC05C7" w:rsidR="00EC05C7" w:rsidP="00EC05C7" w:rsidRDefault="00EC05C7" w14:paraId="7BFC3F14" w14:textId="77777777">
      <w:pPr>
        <w:spacing w:before="100" w:beforeAutospacing="1" w:after="100" w:afterAutospacing="1" w:line="300" w:lineRule="atLeast"/>
        <w:outlineLvl w:val="2"/>
        <w:rPr>
          <w:rFonts w:ascii="IBM Plex Sans" w:hAnsi="IBM Plex Sans" w:eastAsia="Times New Roman" w:cs="Segoe UI"/>
          <w:b/>
          <w:bCs/>
          <w:kern w:val="0"/>
          <w:sz w:val="20"/>
          <w:szCs w:val="20"/>
          <w14:ligatures w14:val="none"/>
        </w:rPr>
      </w:pPr>
      <w:r w:rsidRPr="00EC05C7">
        <w:rPr>
          <w:rFonts w:ascii="IBM Plex Sans" w:hAnsi="IBM Plex Sans" w:eastAsia="Times New Roman" w:cs="Segoe UI"/>
          <w:b/>
          <w:bCs/>
          <w:kern w:val="0"/>
          <w:sz w:val="20"/>
          <w:szCs w:val="20"/>
          <w14:ligatures w14:val="none"/>
        </w:rPr>
        <w:t>1. Safety is stitched across many tools, creating friction.</w:t>
      </w:r>
    </w:p>
    <w:p w:rsidRPr="00EC05C7" w:rsidR="00EC05C7" w:rsidP="00EC05C7" w:rsidRDefault="00EC05C7" w14:paraId="170CDBBA" w14:textId="77777777">
      <w:pPr>
        <w:spacing w:before="100" w:beforeAutospacing="1" w:after="100" w:afterAutospacing="1" w:line="300" w:lineRule="atLeast"/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</w:pPr>
      <w:r w:rsidRPr="00EC05C7"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  <w:t>Teams rely on IAM, networking, CI checks, and manual reviews to stay safe—none of which present a unified view of risk. This duplication slows decisions and raises uncertainty.</w:t>
      </w:r>
      <w:r w:rsidRPr="00EC05C7"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  <w:br/>
      </w:r>
      <w:r w:rsidRPr="00EC05C7">
        <w:rPr>
          <w:rFonts w:ascii="IBM Plex Sans" w:hAnsi="IBM Plex Sans" w:eastAsia="Times New Roman" w:cs="Segoe UI"/>
          <w:i/>
          <w:iCs/>
          <w:kern w:val="0"/>
          <w:sz w:val="20"/>
          <w:szCs w:val="20"/>
          <w14:ligatures w14:val="none"/>
        </w:rPr>
        <w:t>“terraform plan shows what will change — not the risk.”</w:t>
      </w:r>
    </w:p>
    <w:p w:rsidRPr="00EC05C7" w:rsidR="00EC05C7" w:rsidP="00EC05C7" w:rsidRDefault="00EC05C7" w14:paraId="635632FA" w14:textId="77777777">
      <w:pPr>
        <w:spacing w:before="100" w:beforeAutospacing="1" w:after="100" w:afterAutospacing="1" w:line="300" w:lineRule="atLeast"/>
        <w:outlineLvl w:val="2"/>
        <w:rPr>
          <w:rFonts w:ascii="IBM Plex Sans" w:hAnsi="IBM Plex Sans" w:eastAsia="Times New Roman" w:cs="Segoe UI"/>
          <w:b/>
          <w:bCs/>
          <w:kern w:val="0"/>
          <w:sz w:val="20"/>
          <w:szCs w:val="20"/>
          <w14:ligatures w14:val="none"/>
        </w:rPr>
      </w:pPr>
      <w:r w:rsidRPr="00EC05C7">
        <w:rPr>
          <w:rFonts w:ascii="IBM Plex Sans" w:hAnsi="IBM Plex Sans" w:eastAsia="Times New Roman" w:cs="Segoe UI"/>
          <w:b/>
          <w:bCs/>
          <w:kern w:val="0"/>
          <w:sz w:val="20"/>
          <w:szCs w:val="20"/>
          <w14:ligatures w14:val="none"/>
        </w:rPr>
        <w:t>2. Critical boundaries are locked down, but poorly surfaced.</w:t>
      </w:r>
    </w:p>
    <w:p w:rsidRPr="00EC05C7" w:rsidR="00EC05C7" w:rsidP="00EC05C7" w:rsidRDefault="00EC05C7" w14:paraId="7CEE9ACD" w14:textId="77777777">
      <w:pPr>
        <w:spacing w:before="100" w:beforeAutospacing="1" w:after="100" w:afterAutospacing="1" w:line="300" w:lineRule="atLeast"/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</w:pPr>
      <w:r w:rsidRPr="00EC05C7"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  <w:t>High</w:t>
      </w:r>
      <w:r w:rsidRPr="00EC05C7"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  <w:noBreakHyphen/>
      </w:r>
      <w:r w:rsidRPr="00EC05C7"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  <w:t>risk areas (IAM, networking, clusters, encryption) are tightly controlled, yet developers only learn these boundaries when they hit them. This reactive discovery causes rework and avoidable Slack follow</w:t>
      </w:r>
      <w:r w:rsidRPr="00EC05C7"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  <w:noBreakHyphen/>
      </w:r>
      <w:r w:rsidRPr="00EC05C7"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  <w:t>ups.</w:t>
      </w:r>
      <w:r w:rsidRPr="00EC05C7"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  <w:br/>
      </w:r>
      <w:r w:rsidRPr="00EC05C7">
        <w:rPr>
          <w:rFonts w:ascii="IBM Plex Sans" w:hAnsi="IBM Plex Sans" w:eastAsia="Times New Roman" w:cs="Segoe UI"/>
          <w:i/>
          <w:iCs/>
          <w:kern w:val="0"/>
          <w:sz w:val="20"/>
          <w:szCs w:val="20"/>
          <w14:ligatures w14:val="none"/>
        </w:rPr>
        <w:t>“What stays restricted are things that impact security or core infrastructure.”</w:t>
      </w:r>
    </w:p>
    <w:p w:rsidRPr="00EC05C7" w:rsidR="00EC05C7" w:rsidP="00EC05C7" w:rsidRDefault="00EC05C7" w14:paraId="68B59F95" w14:textId="77777777">
      <w:pPr>
        <w:spacing w:before="100" w:beforeAutospacing="1" w:after="100" w:afterAutospacing="1" w:line="300" w:lineRule="atLeast"/>
        <w:outlineLvl w:val="2"/>
        <w:rPr>
          <w:rFonts w:ascii="IBM Plex Sans" w:hAnsi="IBM Plex Sans" w:eastAsia="Times New Roman" w:cs="Segoe UI"/>
          <w:b/>
          <w:bCs/>
          <w:kern w:val="0"/>
          <w:sz w:val="20"/>
          <w:szCs w:val="20"/>
          <w14:ligatures w14:val="none"/>
        </w:rPr>
      </w:pPr>
      <w:r w:rsidRPr="00EC05C7">
        <w:rPr>
          <w:rFonts w:ascii="IBM Plex Sans" w:hAnsi="IBM Plex Sans" w:eastAsia="Times New Roman" w:cs="Segoe UI"/>
          <w:b/>
          <w:bCs/>
          <w:kern w:val="0"/>
          <w:sz w:val="20"/>
          <w:szCs w:val="20"/>
          <w14:ligatures w14:val="none"/>
        </w:rPr>
        <w:t>3. Developer speed depends on accelerators scattered across systems.</w:t>
      </w:r>
    </w:p>
    <w:p w:rsidRPr="00EC05C7" w:rsidR="00EC05C7" w:rsidP="00EC05C7" w:rsidRDefault="00EC05C7" w14:paraId="1AB813BD" w14:textId="77777777">
      <w:pPr>
        <w:spacing w:before="100" w:beforeAutospacing="1" w:after="100" w:afterAutospacing="1" w:line="300" w:lineRule="atLeast"/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</w:pPr>
      <w:r w:rsidRPr="00EC05C7"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  <w:t>Provisioning, approvals, access, logs, and cost visibility sit in separate places. Teams lose time chasing unblocks because the “paved road” is not unified.</w:t>
      </w:r>
      <w:r w:rsidRPr="00EC05C7"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  <w:br/>
      </w:r>
      <w:r w:rsidRPr="00EC05C7">
        <w:rPr>
          <w:rFonts w:ascii="IBM Plex Sans" w:hAnsi="IBM Plex Sans" w:eastAsia="Times New Roman" w:cs="Segoe UI"/>
          <w:i/>
          <w:iCs/>
          <w:kern w:val="0"/>
          <w:sz w:val="20"/>
          <w:szCs w:val="20"/>
          <w14:ligatures w14:val="none"/>
        </w:rPr>
        <w:t>“Developers ask for faster provisioning and more freedom to deploy.”</w:t>
      </w:r>
    </w:p>
    <w:p w:rsidRPr="00EC05C7" w:rsidR="00EC05C7" w:rsidP="00EC05C7" w:rsidRDefault="00EC05C7" w14:paraId="22D9EFC3" w14:textId="77777777">
      <w:pPr>
        <w:spacing w:before="100" w:beforeAutospacing="1" w:after="100" w:afterAutospacing="1" w:line="300" w:lineRule="atLeast"/>
        <w:outlineLvl w:val="2"/>
        <w:rPr>
          <w:rFonts w:ascii="IBM Plex Sans" w:hAnsi="IBM Plex Sans" w:eastAsia="Times New Roman" w:cs="Segoe UI"/>
          <w:b/>
          <w:bCs/>
          <w:kern w:val="0"/>
          <w:sz w:val="20"/>
          <w:szCs w:val="20"/>
          <w14:ligatures w14:val="none"/>
        </w:rPr>
      </w:pPr>
      <w:r w:rsidRPr="00EC05C7">
        <w:rPr>
          <w:rFonts w:ascii="IBM Plex Sans" w:hAnsi="IBM Plex Sans" w:eastAsia="Times New Roman" w:cs="Segoe UI"/>
          <w:b/>
          <w:bCs/>
          <w:kern w:val="0"/>
          <w:sz w:val="20"/>
          <w:szCs w:val="20"/>
          <w14:ligatures w14:val="none"/>
        </w:rPr>
        <w:t>4. Patterns guide safe usage, but are slow to find and standardize.</w:t>
      </w:r>
    </w:p>
    <w:p w:rsidRPr="00EC05C7" w:rsidR="00EC05C7" w:rsidP="2240FB95" w:rsidRDefault="00EC05C7" w14:paraId="587BCECB" w14:textId="2842AC75">
      <w:pPr>
        <w:spacing w:before="100" w:beforeAutospacing="on" w:after="100" w:afterAutospacing="on" w:line="300" w:lineRule="atLeast"/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</w:pPr>
      <w:r w:rsidRPr="00EC05C7" w:rsidR="00EC05C7"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  <w:t xml:space="preserve">Patterns live in Git repos and docs, with new ones requiring </w:t>
      </w:r>
      <w:r w:rsidRPr="00EC05C7" w:rsidR="00EC05C7"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  <w:t>multi</w:t>
      </w:r>
      <w:r w:rsidRPr="00EC05C7"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  <w:noBreakHyphen/>
      </w:r>
      <w:r w:rsidRPr="00EC05C7" w:rsidR="00EC05C7"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  <w:t>team</w:t>
      </w:r>
      <w:r w:rsidRPr="00EC05C7" w:rsidR="00EC05C7"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  <w:t xml:space="preserve"> alignment. This slows teams down and increases reliance on platform guidance.</w:t>
      </w:r>
      <w:r w:rsidRPr="00EC05C7">
        <w:rPr>
          <w:rFonts w:ascii="IBM Plex Sans" w:hAnsi="IBM Plex Sans" w:eastAsia="Times New Roman" w:cs="Segoe UI"/>
          <w:kern w:val="0"/>
          <w:sz w:val="20"/>
          <w:szCs w:val="20"/>
          <w14:ligatures w14:val="none"/>
        </w:rPr>
        <w:br/>
      </w:r>
      <w:r w:rsidRPr="2240FB95" w:rsidR="00EC05C7">
        <w:rPr>
          <w:rFonts w:ascii="IBM Plex Sans" w:hAnsi="IBM Plex Sans" w:eastAsia="Times New Roman" w:cs="Segoe UI"/>
          <w:i w:val="1"/>
          <w:iCs w:val="1"/>
          <w:kern w:val="0"/>
          <w:sz w:val="20"/>
          <w:szCs w:val="20"/>
          <w14:ligatures w14:val="none"/>
        </w:rPr>
        <w:t xml:space="preserve">“One </w:t>
      </w:r>
      <w:r w:rsidRPr="2240FB95" w:rsidR="00EC05C7">
        <w:rPr>
          <w:rFonts w:ascii="IBM Plex Sans" w:hAnsi="IBM Plex Sans" w:eastAsia="Times New Roman" w:cs="Segoe UI"/>
          <w:i w:val="1"/>
          <w:iCs w:val="1"/>
          <w:kern w:val="0"/>
          <w:sz w:val="20"/>
          <w:szCs w:val="20"/>
          <w14:ligatures w14:val="none"/>
        </w:rPr>
        <w:t>event</w:t>
      </w:r>
      <w:r w:rsidRPr="00EC05C7">
        <w:rPr>
          <w:rFonts w:ascii="IBM Plex Sans" w:hAnsi="IBM Plex Sans" w:eastAsia="Times New Roman" w:cs="Segoe UI"/>
          <w:i/>
          <w:iCs/>
          <w:kern w:val="0"/>
          <w:sz w:val="20"/>
          <w:szCs w:val="20"/>
          <w14:ligatures w14:val="none"/>
        </w:rPr>
        <w:noBreakHyphen/>
      </w:r>
      <w:r w:rsidRPr="2240FB95" w:rsidR="00EC05C7">
        <w:rPr>
          <w:rFonts w:ascii="IBM Plex Sans" w:hAnsi="IBM Plex Sans" w:eastAsia="Times New Roman" w:cs="Segoe UI"/>
          <w:i w:val="1"/>
          <w:iCs w:val="1"/>
          <w:kern w:val="0"/>
          <w:sz w:val="20"/>
          <w:szCs w:val="20"/>
          <w14:ligatures w14:val="none"/>
        </w:rPr>
        <w:t>driven</w:t>
      </w:r>
      <w:r w:rsidRPr="2240FB95" w:rsidR="00EC05C7">
        <w:rPr>
          <w:rFonts w:ascii="IBM Plex Sans" w:hAnsi="IBM Plex Sans" w:eastAsia="Times New Roman" w:cs="Segoe UI"/>
          <w:i w:val="1"/>
          <w:iCs w:val="1"/>
          <w:kern w:val="0"/>
          <w:sz w:val="20"/>
          <w:szCs w:val="20"/>
          <w14:ligatures w14:val="none"/>
        </w:rPr>
        <w:t xml:space="preserve"> pattern took ~1 month to standardize.”</w:t>
      </w:r>
    </w:p>
    <w:sectPr w:rsidRPr="00EC05C7" w:rsidR="004C2F03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60042"/>
    <w:multiLevelType w:val="multilevel"/>
    <w:tmpl w:val="1486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6A587F97"/>
    <w:multiLevelType w:val="multilevel"/>
    <w:tmpl w:val="0CBC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57586190">
    <w:abstractNumId w:val="1"/>
  </w:num>
  <w:num w:numId="2" w16cid:durableId="127188938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CB0"/>
    <w:rsid w:val="004C2F03"/>
    <w:rsid w:val="008D6CB0"/>
    <w:rsid w:val="009762FB"/>
    <w:rsid w:val="00A27AB0"/>
    <w:rsid w:val="00D12411"/>
    <w:rsid w:val="00EB52DF"/>
    <w:rsid w:val="00EC05C7"/>
    <w:rsid w:val="2240F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1FCD9"/>
  <w15:chartTrackingRefBased/>
  <w15:docId w15:val="{D48ABCCB-509B-1C47-A021-3AD5E9ABB9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CB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6CB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6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D6CB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D6CB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D6CB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D6CB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D6CB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D6CB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D6CB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D6CB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D6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CB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D6CB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D6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CB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D6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CB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D6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CB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C05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05C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C05C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Barnali Banerji</dc:creator>
  <keywords/>
  <dc:description/>
  <lastModifiedBy>Barnali Banerji</lastModifiedBy>
  <revision>3</revision>
  <dcterms:created xsi:type="dcterms:W3CDTF">2026-03-19T20:17:00.0000000Z</dcterms:created>
  <dcterms:modified xsi:type="dcterms:W3CDTF">2026-04-07T16:36:51.5169403Z</dcterms:modified>
</coreProperties>
</file>