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t>## Clinical Report: Wound Care Analysis and Recommendations</w:t>
      </w:r>
    </w:p>
    <w:p>
      <w:r>
        <w:t>### Introduction</w:t>
      </w:r>
    </w:p>
    <w:p>
      <w:r>
        <w:t>This report analyzes a comprehensive wound care dataset to identify key patterns and correlations that can inform clinical practice and improve patient outcomes. The dataset includes demographics, risk factors, wound characteristics, sensor data, and healing outcomes for 66 patients with a total of 308 visits.</w:t>
      </w:r>
    </w:p>
    <w:p>
      <w:r>
        <w:t>### Key Findings</w:t>
      </w:r>
    </w:p>
    <w:p>
      <w:r>
        <w:rPr>
          <w:b/>
        </w:rPr>
        <w:t>1. Demographics vs Healing Outcomes:</w:t>
        <w:br/>
        <w:t xml:space="preserve">   - Age: No significant correlation between age and healing outcomes was found, although the mean age of the population was 52.8 years.</w:t>
        <w:br/>
        <w:t xml:space="preserve">   - Gender: Male patients (38) outnumbered female patients (28), but no significant gender-based difference in healing outcomes was observed.</w:t>
        <w:br/>
        <w:t xml:space="preserve">   - BMI: The majority of patients (30) were classified as obese, which may have implications for wound healing due to associated comorbidities.</w:t>
      </w:r>
    </w:p>
    <w:p>
      <w:r>
        <w:rPr>
          <w:b/>
        </w:rPr>
        <w:t>2. Risk Factors' Impact on Healing:</w:t>
        <w:br/>
        <w:t xml:space="preserve">   - Diabetes: 25 patients had Type 2 Diabetes Mellitus (T2DM), which is known to impair wound healing. However, the dataset did not provide sufficient information to draw conclusions about the direct impact of diabetes on healing rates in this population.</w:t>
        <w:br/>
        <w:t xml:space="preserve">   - Smoking: 11 current smokers and 9 former smokers were identified. Smoking is a known risk factor for impaired wound healing, but specific healing outcomes related to smoking status were not provided.</w:t>
      </w:r>
    </w:p>
    <w:p>
      <w:r>
        <w:rPr>
          <w:b/>
        </w:rPr>
        <w:t>3. Wound Characteristics vs Healing Time:</w:t>
        <w:br/>
        <w:t xml:space="preserve">   - Type: Diabetic foot ulcers were the most common (80), followed by infectious wounds (42), and venous stasis ulcers (41). Healing rates varied by wound type, with diabetic foot ulcers showing a mixed response (22 improving, 24 stable, 34 worsening).</w:t>
        <w:br/>
        <w:t xml:space="preserve">   - Location: Wounds located on the foot, particularly the plantar surface, showed variable healing outcomes. The dataset suggests that wound location may influence healing, but more specific correlations require further analysis.</w:t>
      </w:r>
    </w:p>
    <w:p>
      <w:r>
        <w:rPr>
          <w:b/>
        </w:rPr>
        <w:t>4. Sensor Data Trends:</w:t>
        <w:br/>
        <w:t xml:space="preserve">   - Temperature: Mean temperatures at the center, edge, and peri-wound areas were 96.2°F, 97.0°F, and 97.3°F, respectively. Temperature gradients may indicate wound healing status, but the clinical significance of these findings requires further investigation.</w:t>
        <w:br/>
        <w:t xml:space="preserve">   - Impedance and Oxygenation: While mean values for impedance and oxygenation parameters were provided, their correlation with healing outcomes was not significant, suggesting that these factors may not be directly predictive of wound healing in this dataset.</w:t>
      </w:r>
    </w:p>
    <w:p>
      <w:r>
        <w:t>### Clinical Implications</w:t>
      </w:r>
    </w:p>
    <w:p>
      <w:r>
        <w:rPr>
          <w:b/>
        </w:rPr>
        <w:t>1. Risk Stratification: Patients with diabetes, smokers, and those with higher BMI values may require more intensive monitoring and tailored treatment approaches to address potential barriers to wound healing.</w:t>
        <w:br/>
        <w:t>2. Treatment Optimization: The variability in healing outcomes by wound type and location suggests that treatment strategies should be individualized based on these factors. For example, diabetic foot ulcers may require specific offloading and glucose control measures.</w:t>
        <w:br/>
        <w:t>3. Monitoring Protocols: Regular assessment of wound temperature, impedance, and oxygenation may provide valuable insights into the healing process, although the current dataset does not strongly support their use as standalone predictors of healing outcomes.</w:t>
      </w:r>
    </w:p>
    <w:p>
      <w:r>
        <w:t>### Actionable Recommendations</w:t>
      </w:r>
    </w:p>
    <w:p>
      <w:r>
        <w:rPr>
          <w:b/>
        </w:rPr>
        <w:t>1. Personalized Treatment Plans: Develop treatment plans that consider the patient's demographics, risk factors, and wound characteristics to optimize healing outcomes.</w:t>
        <w:br/>
        <w:t>2. Regular Monitoring: Implement a schedule for regular wound assessments, including the use of sensor data where available, to adjust treatment plans as needed.</w:t>
        <w:br/>
        <w:t>3. Education and Lifestyle Interventions: Provide patients with education on wound care, smoking cessation (for smokers), and dietary advice (particularly for those with diabetes or obesity) to support their recovery.</w:t>
        <w:br/>
        <w:t>4. Interdisciplinary Care Teams: Encourage collaboration among healthcare professionals, including wound care specialists, dietitians, and educators, to address the multifaceted needs of patients with complex wounds.</w:t>
      </w:r>
    </w:p>
    <w:p>
      <w:r>
        <w:t>### Conclusion</w:t>
      </w:r>
    </w:p>
    <w:p>
      <w:r>
        <w:t>This analysis highlights the complexity of wound healing and the need for a personalized approach to care. By considering the interplay of demographics, risk factors, wound characteristics, and sensor data trends, healthcare providers can develop targeted strategies to improve healing outcomes and reduce the burden of chronic wounds on patients and the healthcare system. Further research is needed to fully elucidate the relationships between these factors and to refine evidence-based recommendations for wound care.</w:t>
      </w:r>
    </w:p>
    <w:p>
      <w:r>
        <w:br/>
        <w:t>Report generated on: 2025-03-04 10:53:45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