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rPr>
          <w:b/>
        </w:rPr>
        <w:t>Comprehensive Analysis</w:t>
      </w:r>
    </w:p>
    <w:p>
      <w:r>
        <w:t>### 1. Wound Healing Trajectory</w:t>
      </w:r>
    </w:p>
    <w:p>
      <w:r>
        <w:t>The wound healing trajectory for this patient can be characterized as follows:</w:t>
      </w:r>
    </w:p>
    <w:p>
      <w:r>
        <w:rPr>
          <w:b/>
        </w:rPr>
        <w:t>- Initial Stage (08-30-2024 to 09-13-2024): The wound size initially increased from 24.8cm² to 25.6cm², with a change in tissue color from pale to pink, indicating an inflammatory response. Exudate volume changed from low to medium, and its type became serosanguineous, suggesting the wound was transitioning through the inflammatory phase.</w:t>
        <w:br/>
        <w:t xml:space="preserve">  </w:t>
        <w:br/>
        <w:t>- Progressive Stage (09-13-2024 to 09-24-2024): The wound size fluctuated, but there was a significant reduction in size by 09-24-2024 (14.4cm²), with tissue remaining red and indicating active healing. Exudate volume increased to high, which could be a sign of infection or intense inflammatory activity.</w:t>
      </w:r>
    </w:p>
    <w:p>
      <w:r>
        <w:rPr>
          <w:b/>
        </w:rPr>
        <w:t>- Variable Progress (09-24-2024 to 11-26-2024): The wound continued to decrease in size, reaching 3.6cm² by 11-26-2024, with periods of increase in exudate volume and changes in viscosity and type. Tissue coverage remained generally consistent with signs of healing.</w:t>
      </w:r>
    </w:p>
    <w:p>
      <w:r>
        <w:rPr>
          <w:b/>
        </w:rPr>
        <w:t>- Final Stage (11-26-2024 to 02-10-2025): The wound size further reduced to 2.4cm², with variable exudate characteristics. The tissue remained red, indicating ongoing healing activity.</w:t>
      </w:r>
    </w:p>
    <w:p>
      <w:r>
        <w:t>### 2. Concerning Patterns</w:t>
      </w:r>
    </w:p>
    <w:p>
      <w:r>
        <w:rPr>
          <w:b/>
        </w:rPr>
        <w:t>- Increased Exudate Volume and Viscosity: Periods of high or medium exudate volume, especially with changes in viscosity and type (e.g., sanguineous), may indicate infection or delayed healing.</w:t>
        <w:br/>
        <w:t xml:space="preserve">  </w:t>
        <w:br/>
        <w:t>- Fluctuations in Wound Size: While an overall trend of size reduction is positive, periods of increase could suggest complications or inadequate wound care.</w:t>
        <w:br/>
        <w:t xml:space="preserve">  </w:t>
        <w:br/>
        <w:t>- Oxygenation Levels: Lower oxygenation levels (e.g., 73.0% on 02-10-2025) may indicate impaired wound healing due to inadequate oxygen delivery.</w:t>
      </w:r>
    </w:p>
    <w:p>
      <w:r>
        <w:t>### 3. Care Recommendations</w:t>
      </w:r>
    </w:p>
    <w:p>
      <w:r>
        <w:rPr>
          <w:b/>
        </w:rPr>
        <w:t>- Continued Use of Medihoney: Given its antimicrobial properties and the patient's wound type, Medihoney or similar dressings may be beneficial in promoting a clean environment for healing.</w:t>
        <w:br/>
        <w:t xml:space="preserve">  </w:t>
        <w:br/>
        <w:t>- Monitoring for Infection: Regular assessment for signs of infection (increased redness, swelling, warmth, foul odor, or increased exudate) is crucial. Adjustments in topical treatments or the introduction of systemic antibiotics may be necessary.</w:t>
        <w:br/>
        <w:t xml:space="preserve">  </w:t>
        <w:br/>
        <w:t>- Debridement: Consideration of debridement, either surgical or autolytic, for removing dead tissue, especially during periods of stalled healing or increased exudate, to promote a clean wound bed.</w:t>
        <w:br/>
        <w:t xml:space="preserve">  </w:t>
        <w:br/>
        <w:t>- Patient Education: Educating the patient on proper wound care, signs of infection, and the importance of follow-up appointments is essential.</w:t>
      </w:r>
    </w:p>
    <w:p>
      <w:r>
        <w:t>### 4. Complication Risks</w:t>
      </w:r>
    </w:p>
    <w:p>
      <w:r>
        <w:rPr>
          <w:b/>
        </w:rPr>
        <w:t>- Diabetes (T2DM): Patients with diabetes are at a higher risk for wound complications, including infection and delayed healing. Close monitoring of blood glucose levels and adjustment of the wound care plan as needed is crucial.</w:t>
        <w:br/>
        <w:t xml:space="preserve">  </w:t>
        <w:br/>
        <w:t>- Obesity (BMI 40.6): Obesity can impair wound healing through various mechanisms, including reduced mobility, increased pressure on wounds, and metabolic changes. Addressing obesity through diet and exercise, if feasible, may aid in wound healing.</w:t>
        <w:br/>
        <w:t xml:space="preserve">  </w:t>
        <w:br/>
        <w:t>- Smoking History: Although the patient is listed as a never smoker, any changes in smoking status could significantly impact wound healing. Smoking cessation, if applicable, should be encouraged.</w:t>
      </w:r>
    </w:p>
    <w:p>
      <w:r>
        <w:t>### 5. Significance of Sensor Measurements</w:t>
      </w:r>
    </w:p>
    <w:p>
      <w:r>
        <w:rPr>
          <w:b/>
        </w:rPr>
        <w:t>- Oxygenation (O₂) Levels: Lower O₂ levels may indicate regions of the wound with impaired healing potential, suggesting the need for interventions to improve oxygen delivery, such as topical oxygen therapy or adjusting the wound dressing to enhance oxygen diffusion.</w:t>
        <w:br/>
        <w:t xml:space="preserve">  </w:t>
        <w:br/>
        <w:t>- Temperature: Elevated temperatures can indicate infection. The consistency in temperature readings, however, suggests that infection may not be a current issue, but continued monitoring is essential.</w:t>
        <w:br/>
        <w:t xml:space="preserve">  </w:t>
        <w:br/>
        <w:t>- Impedance Measurements: Changes in impedance can reflect alterations in wound tissue composition, such as the presence of infection or the progression of healing. High impedance values might suggest the presence of necrotic tissue or eschar, while low values could indicate edema or infection. The introduction of resistance and capacitance values in later measurements provides more detailed information on tissue health and fluid status, aiding in tailored wound management strategies.</w:t>
      </w:r>
    </w:p>
    <w:p>
      <w:r>
        <w:t>In conclusion, this patient's wound healing trajectory shows overall progress but with periods of concern that require close monitoring and possibly adjustments in the wound care plan. The use of advanced sensor measurements offers valuable insights into wound healing dynamics, guiding more effective and personalized wound care strategies.</w:t>
      </w:r>
    </w:p>
    <w:p>
      <w:r>
        <w:br/>
        <w:t>Report generated on: 2025-03-04 16:34:03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