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i w:val="false"/>
          <w:iCs w:val="false"/>
          <w:color w:val="1F3864"/>
          <w:sz w:val="40"/>
          <w:szCs w:val="40"/>
        </w:rPr>
        <w:t xml:space="preserve">THREAT AND VULNERABILITY IDENTIFICATION</w:t>
      </w:r>
    </w:p>
    <w:p>
      <w:pPr>
        <w:spacing w:after="60" w:before="0"/>
        <w:jc w:val="center"/>
      </w:pPr>
      <w:r>
        <w:rPr>
          <w:rFonts w:ascii="Arial" w:cs="Arial" w:eastAsia="Arial" w:hAnsi="Arial"/>
          <w:b/>
          <w:bCs/>
          <w:i w:val="false"/>
          <w:iCs w:val="false"/>
          <w:color w:val="444444"/>
          <w:sz w:val="28"/>
          <w:szCs w:val="28"/>
        </w:rPr>
        <w:t xml:space="preserve">Cybersecurity Risk Assessment Report</w:t>
      </w:r>
    </w:p>
    <w:p>
      <w:pPr>
        <w:spacing w:after="60" w:before="0"/>
        <w:jc w:val="center"/>
      </w:pPr>
      <w:r>
        <w:rPr>
          <w:rFonts w:ascii="Arial" w:cs="Arial" w:eastAsia="Arial" w:hAnsi="Arial"/>
          <w:b w:val="false"/>
          <w:bCs w:val="false"/>
          <w:i w:val="false"/>
          <w:iCs w:val="false"/>
          <w:color w:val="666666"/>
          <w:sz w:val="22"/>
          <w:szCs w:val="22"/>
        </w:rPr>
        <w:t xml:space="preserve">RetailNova Pty Ltd  |  Melbourne, Australia</w:t>
      </w:r>
    </w:p>
    <w:p>
      <w:pPr>
        <w:pBdr>
          <w:bottom w:val="single" w:color="1F3864" w:sz="8" w:space="1"/>
        </w:pBdr>
        <w:spacing w:after="100" w:before="10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26"/>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00"/>
            </w:tcMar>
          </w:tcPr>
          <w:p>
            <w:pPr>
              <w:spacing w:after="60" w:before="60"/>
              <w:jc w:val="left"/>
            </w:pPr>
            <w:r>
              <w:rPr>
                <w:rFonts w:ascii="Arial" w:cs="Arial" w:eastAsia="Arial" w:hAnsi="Arial"/>
                <w:b/>
                <w:bCs/>
                <w:i w:val="false"/>
                <w:iCs w:val="false"/>
                <w:color w:val="000000"/>
                <w:sz w:val="20"/>
                <w:szCs w:val="20"/>
              </w:rPr>
              <w:t xml:space="preserve">Prepared by: </w:t>
            </w:r>
            <w:r>
              <w:rPr>
                <w:rFonts w:ascii="Arial" w:cs="Arial" w:eastAsia="Arial" w:hAnsi="Arial"/>
                <w:b w:val="false"/>
                <w:bCs w:val="false"/>
                <w:i w:val="false"/>
                <w:iCs w:val="false"/>
                <w:color w:val="000000"/>
                <w:sz w:val="20"/>
                <w:szCs w:val="20"/>
              </w:rPr>
              <w:t xml:space="preserve">Artsiom Pankrashkin</w:t>
            </w:r>
          </w:p>
        </w:tc>
        <w:tc>
          <w:tcPr>
            <w:tcW w:type="dxa" w:w="3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jc w:val="left"/>
            </w:pPr>
            <w:r>
              <w:rPr>
                <w:rFonts w:ascii="Arial" w:cs="Arial" w:eastAsia="Arial" w:hAnsi="Arial"/>
                <w:b/>
                <w:bCs/>
                <w:i w:val="false"/>
                <w:iCs w:val="false"/>
                <w:color w:val="000000"/>
                <w:sz w:val="20"/>
                <w:szCs w:val="20"/>
              </w:rPr>
              <w:t xml:space="preserve">Consulting firm: </w:t>
            </w:r>
            <w:r>
              <w:rPr>
                <w:rFonts w:ascii="Arial" w:cs="Arial" w:eastAsia="Arial" w:hAnsi="Arial"/>
                <w:b w:val="false"/>
                <w:bCs w:val="false"/>
                <w:i w:val="false"/>
                <w:iCs w:val="false"/>
                <w:color w:val="000000"/>
                <w:sz w:val="20"/>
                <w:szCs w:val="20"/>
              </w:rPr>
              <w:t xml:space="preserve">Datacom — Cyber Security Operations</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60" w:before="60"/>
              <w:jc w:val="right"/>
            </w:pPr>
            <w:r>
              <w:rPr>
                <w:rFonts w:ascii="Arial" w:cs="Arial" w:eastAsia="Arial" w:hAnsi="Arial"/>
                <w:b/>
                <w:bCs/>
                <w:i w:val="false"/>
                <w:iCs w:val="false"/>
                <w:color w:val="C00000"/>
                <w:sz w:val="20"/>
                <w:szCs w:val="20"/>
              </w:rPr>
              <w:t xml:space="preserve">Date: June 7, 2026  |  CONFIDENTIAL</w:t>
            </w:r>
          </w:p>
        </w:tc>
      </w:tr>
    </w:tbl>
    <w:p>
      <w:pPr>
        <w:pBdr>
          <w:bottom w:val="single" w:color="1F3864" w:sz="8" w:space="1"/>
        </w:pBdr>
        <w:spacing w:after="100" w:before="10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i w:val="false"/>
          <w:iCs w:val="false"/>
          <w:color w:val="1F3864"/>
          <w:sz w:val="24"/>
          <w:szCs w:val="24"/>
        </w:rPr>
        <w:t xml:space="preserve">Introduction</w:t>
      </w:r>
    </w:p>
    <w:p>
      <w:pPr>
        <w:spacing w:after="60" w:before="60"/>
        <w:jc w:val="left"/>
      </w:pPr>
      <w:r>
        <w:rPr>
          <w:rFonts w:ascii="Arial" w:cs="Arial" w:eastAsia="Arial" w:hAnsi="Arial"/>
          <w:b w:val="false"/>
          <w:bCs w:val="false"/>
          <w:i w:val="false"/>
          <w:iCs w:val="false"/>
          <w:color w:val="000000"/>
          <w:sz w:val="20"/>
          <w:szCs w:val="20"/>
        </w:rPr>
        <w:t xml:space="preserve">RetailNova Pty Ltd is a mid-to-large retail company with a significant digital footprint — a custom e-commerce platform, mobile application, cloud-connected POS systems across 85 stores, and integrations with multiple third-party services. This combination of retail scale, customer data volume and system complexity makes it an attractive target for cybercriminals.</w:t>
      </w:r>
    </w:p>
    <w:p>
      <w:pPr>
        <w:spacing w:after="40" w:before="4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20"/>
          <w:szCs w:val="20"/>
        </w:rPr>
        <w:t xml:space="preserve">This report was prepared as part of a cybersecurity risk assessment engagement with Datacom. It identifies the key assets at risk, the most relevant threats to RetailNova's environment, and the vulnerabilities that could be exploited. Each risk has been assessed using a 5x5 likelihood-consequence matrix, with both inherent and residual ratings provided. RetailNova's disclosed security history — three confirmed incidents between 2023 and 2025 — significantly informs the likelihood ratings throughout this report.</w:t>
      </w:r>
    </w:p>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i w:val="false"/>
          <w:iCs w:val="false"/>
          <w:color w:val="1F3864"/>
          <w:sz w:val="24"/>
          <w:szCs w:val="24"/>
        </w:rPr>
        <w:t xml:space="preserve">Part 1 — Asset, Threat and Vulnerability Summary</w:t>
      </w:r>
    </w:p>
    <w:p>
      <w:pPr>
        <w:spacing w:after="60" w:before="60"/>
        <w:jc w:val="left"/>
      </w:pPr>
      <w:r>
        <w:rPr>
          <w:rFonts w:ascii="Arial" w:cs="Arial" w:eastAsia="Arial" w:hAnsi="Arial"/>
          <w:b w:val="false"/>
          <w:bCs w:val="false"/>
          <w:i w:val="false"/>
          <w:iCs w:val="false"/>
          <w:color w:val="000000"/>
          <w:sz w:val="20"/>
          <w:szCs w:val="20"/>
        </w:rPr>
        <w:t xml:space="preserve">The table below identifies RetailNova's key digital assets, the threats associated with each, the vulnerabilities that make those threats possible, and initial mitigation ideas.</w:t>
      </w:r>
    </w:p>
    <w:p>
      <w:pPr>
        <w:spacing w:after="40" w:before="4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700"/>
        <w:gridCol w:w="1800"/>
        <w:gridCol w:w="2526"/>
      </w:tblGrid>
      <w:tr>
        <w:tc>
          <w:tcPr>
            <w:tcW w:type="dxa" w:w="140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Asset Name</w:t>
            </w:r>
          </w:p>
        </w:tc>
        <w:tc>
          <w:tcPr>
            <w:tcW w:type="dxa" w:w="160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Asset Description</w:t>
            </w:r>
          </w:p>
        </w:tc>
        <w:tc>
          <w:tcPr>
            <w:tcW w:type="dxa" w:w="170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Associated Threats</w:t>
            </w:r>
          </w:p>
        </w:tc>
        <w:tc>
          <w:tcPr>
            <w:tcW w:type="dxa" w:w="180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Potential Vulnerabilities</w:t>
            </w:r>
          </w:p>
        </w:tc>
        <w:tc>
          <w:tcPr>
            <w:tcW w:type="dxa" w:w="2526"/>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Mitigation Notes</w:t>
            </w:r>
          </w:p>
        </w:tc>
      </w:tr>
      <w:tr>
        <w:tc>
          <w:tcPr>
            <w:tcW w:type="dxa" w:w="1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Salesforce CRM</w:t>
            </w:r>
          </w:p>
        </w:tc>
        <w:tc>
          <w:tcPr>
            <w:tcW w:type="dxa" w:w="1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CRM holding personal data for all retail customers</w:t>
            </w:r>
          </w:p>
        </w:tc>
        <w:tc>
          <w:tcPr>
            <w:tcW w:type="dxa" w:w="1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Credential theft via phishing, insider misuse, account takeover</w:t>
            </w:r>
          </w:p>
        </w:tc>
        <w:tc>
          <w:tcPr>
            <w:tcW w:type="dxa" w:w="18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MFA confirmed; BYOD access; no DLP in place</w:t>
            </w:r>
          </w:p>
        </w:tc>
        <w:tc>
          <w:tcPr>
            <w:tcW w:type="dxa" w:w="2526"/>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Enforce MFA, regular access reviews, deploy DLP</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SAP ERP System</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ERP covering finance, HR, inventory and payroll</w:t>
            </w:r>
          </w:p>
        </w:tc>
        <w:tc>
          <w:tcPr>
            <w:tcW w:type="dxa" w:w="17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Ransomware encryption, insider privilege abuse, data exfiltration</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Wide access across departments; remote VPN access; BYOD</w:t>
            </w:r>
          </w:p>
        </w:tc>
        <w:tc>
          <w:tcPr>
            <w:tcW w:type="dxa" w:w="2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Network segmentation, EDR, privileged access management</w:t>
            </w:r>
          </w:p>
        </w:tc>
      </w:tr>
      <w:tr>
        <w:tc>
          <w:tcPr>
            <w:tcW w:type="dxa" w:w="1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E-Commerce Website &amp; App</w:t>
            </w:r>
          </w:p>
        </w:tc>
        <w:tc>
          <w:tcPr>
            <w:tcW w:type="dxa" w:w="1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Custom-built retail platform with PayPal and Afterpay payment processing</w:t>
            </w:r>
          </w:p>
        </w:tc>
        <w:tc>
          <w:tcPr>
            <w:tcW w:type="dxa" w:w="1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Web app attacks, Magecart skimmer, API abuse, SQL injection</w:t>
            </w:r>
          </w:p>
        </w:tc>
        <w:tc>
          <w:tcPr>
            <w:tcW w:type="dxa" w:w="18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WAF confirmed; no pen testing confirmed; custom-built codebase</w:t>
            </w:r>
          </w:p>
        </w:tc>
        <w:tc>
          <w:tcPr>
            <w:tcW w:type="dxa" w:w="2526"/>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WAF, annual pen testing, PCI DSS compliance, CSP headers</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POS Systems — 85 Stores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Cloud-connected point-of-sale terminals across all physical stores</w:t>
            </w:r>
          </w:p>
        </w:tc>
        <w:tc>
          <w:tcPr>
            <w:tcW w:type="dxa" w:w="17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Ransomware lateral spread, network pivot, supply chain attack</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Distributed attack surface; patching consistency risk across 85 locations</w:t>
            </w:r>
          </w:p>
        </w:tc>
        <w:tc>
          <w:tcPr>
            <w:tcW w:type="dxa" w:w="2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Network segmentation, EDR on terminals, patch management</w:t>
            </w:r>
          </w:p>
        </w:tc>
      </w:tr>
      <w:tr>
        <w:tc>
          <w:tcPr>
            <w:tcW w:type="dxa" w:w="1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AWS Cloud Infrastructure</w:t>
            </w:r>
          </w:p>
        </w:tc>
        <w:tc>
          <w:tcPr>
            <w:tcW w:type="dxa" w:w="1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Hosting environment for e-commerce and cloud-based services</w:t>
            </w:r>
          </w:p>
        </w:tc>
        <w:tc>
          <w:tcPr>
            <w:tcW w:type="dxa" w:w="1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 misconfiguration, IAM account compromise, data exposure</w:t>
            </w:r>
          </w:p>
        </w:tc>
        <w:tc>
          <w:tcPr>
            <w:tcW w:type="dxa" w:w="18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S3 misconfigurations common; IAM over-permissioning; no cloud monitoring confirmed</w:t>
            </w:r>
          </w:p>
        </w:tc>
        <w:tc>
          <w:tcPr>
            <w:tcW w:type="dxa" w:w="2526"/>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 GuardDuty, Security Hub, least privilege IAM</w:t>
            </w:r>
          </w:p>
        </w:tc>
      </w:tr>
      <w:tr>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Third-Party Vendor APIs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Marketing agencies, logistics, loyalty programs, PayPal and Afterpay integrations</w:t>
            </w:r>
          </w:p>
        </w:tc>
        <w:tc>
          <w:tcPr>
            <w:tcW w:type="dxa" w:w="17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Vendor breach exposing customer data; supply chain software attack</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TPRM programme confirmed; vendor access not controlled by least privilege</w:t>
            </w:r>
          </w:p>
        </w:tc>
        <w:tc>
          <w:tcPr>
            <w:tcW w:type="dxa" w:w="2526"/>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Third-party risk assessments, security clauses in contracts, API monitoring</w:t>
            </w:r>
          </w:p>
        </w:tc>
      </w:tr>
      <w:tr>
        <w:tc>
          <w:tcPr>
            <w:tcW w:type="dxa" w:w="1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Employee Credentials &amp; VPN</w:t>
            </w:r>
          </w:p>
        </w:tc>
        <w:tc>
          <w:tcPr>
            <w:tcW w:type="dxa" w:w="1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Staff login credentials used to access internal systems remotely via VPN</w:t>
            </w:r>
          </w:p>
        </w:tc>
        <w:tc>
          <w:tcPr>
            <w:tcW w:type="dxa" w:w="1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Phishing leading to credential theft; credential stuffing; account takeover</w:t>
            </w:r>
          </w:p>
        </w:tc>
        <w:tc>
          <w:tcPr>
            <w:tcW w:type="dxa" w:w="18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Basic training only; BYOD devices not fully controlled; no advanced email filtering</w:t>
            </w:r>
          </w:p>
        </w:tc>
        <w:tc>
          <w:tcPr>
            <w:tcW w:type="dxa" w:w="2526"/>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MFA on all accounts, anti-phishing gateway, simulated phishing training</w:t>
            </w:r>
          </w:p>
        </w:tc>
      </w:tr>
    </w:tbl>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i w:val="false"/>
          <w:iCs w:val="false"/>
          <w:color w:val="1F3864"/>
          <w:sz w:val="24"/>
          <w:szCs w:val="24"/>
        </w:rPr>
        <w:t xml:space="preserve">Risk Matrix Reference (5x5)</w:t>
      </w:r>
    </w:p>
    <w:p>
      <w:pPr>
        <w:spacing w:after="60" w:before="60"/>
        <w:jc w:val="left"/>
      </w:pPr>
      <w:r>
        <w:rPr>
          <w:rFonts w:ascii="Arial" w:cs="Arial" w:eastAsia="Arial" w:hAnsi="Arial"/>
          <w:b w:val="false"/>
          <w:bCs w:val="false"/>
          <w:i w:val="false"/>
          <w:iCs w:val="false"/>
          <w:color w:val="000000"/>
          <w:sz w:val="20"/>
          <w:szCs w:val="20"/>
        </w:rPr>
        <w:t xml:space="preserve">All risk ratings are derived from the matrix below. Inherent risk = before controls. Residual risk = after existing controls are considered.</w:t>
      </w:r>
    </w:p>
    <w:p>
      <w:pPr>
        <w:spacing w:after="40" w:before="4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13"/>
        <w:gridCol w:w="1713"/>
      </w:tblGrid>
      <w:tr>
        <w:tc>
          <w:tcPr>
            <w:tcW w:type="dxa" w:w="170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 / Consequence</w:t>
            </w:r>
          </w:p>
        </w:tc>
        <w:tc>
          <w:tcPr>
            <w:tcW w:type="dxa" w:w="1400"/>
            <w:tcBorders>
              <w:top w:val="single" w:color="777777" w:sz="1"/>
              <w:left w:val="single" w:color="777777" w:sz="1"/>
              <w:bottom w:val="single" w:color="777777" w:sz="1"/>
              <w:right w:val="single" w:color="777777" w:sz="1"/>
            </w:tcBorders>
            <w:shd w:fill="55555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Insignificant (1)</w:t>
            </w:r>
          </w:p>
        </w:tc>
        <w:tc>
          <w:tcPr>
            <w:tcW w:type="dxa" w:w="1400"/>
            <w:tcBorders>
              <w:top w:val="single" w:color="777777" w:sz="1"/>
              <w:left w:val="single" w:color="777777" w:sz="1"/>
              <w:bottom w:val="single" w:color="777777" w:sz="1"/>
              <w:right w:val="single" w:color="777777" w:sz="1"/>
            </w:tcBorders>
            <w:shd w:fill="55555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Minor (2)</w:t>
            </w:r>
          </w:p>
        </w:tc>
        <w:tc>
          <w:tcPr>
            <w:tcW w:type="dxa" w:w="1400"/>
            <w:tcBorders>
              <w:top w:val="single" w:color="777777" w:sz="1"/>
              <w:left w:val="single" w:color="777777" w:sz="1"/>
              <w:bottom w:val="single" w:color="777777" w:sz="1"/>
              <w:right w:val="single" w:color="777777" w:sz="1"/>
            </w:tcBorders>
            <w:shd w:fill="55555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Moderate (3)</w:t>
            </w:r>
          </w:p>
        </w:tc>
        <w:tc>
          <w:tcPr>
            <w:tcW w:type="dxa" w:w="1413"/>
            <w:tcBorders>
              <w:top w:val="single" w:color="777777" w:sz="1"/>
              <w:left w:val="single" w:color="777777" w:sz="1"/>
              <w:bottom w:val="single" w:color="777777" w:sz="1"/>
              <w:right w:val="single" w:color="777777" w:sz="1"/>
            </w:tcBorders>
            <w:shd w:fill="55555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Major (4)</w:t>
            </w:r>
          </w:p>
        </w:tc>
        <w:tc>
          <w:tcPr>
            <w:tcW w:type="dxa" w:w="1713"/>
            <w:tcBorders>
              <w:top w:val="single" w:color="777777" w:sz="1"/>
              <w:left w:val="single" w:color="777777" w:sz="1"/>
              <w:bottom w:val="single" w:color="777777" w:sz="1"/>
              <w:right w:val="single" w:color="777777" w:sz="1"/>
            </w:tcBorders>
            <w:shd w:fill="55555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 (5)</w:t>
            </w:r>
          </w:p>
        </w:tc>
      </w:tr>
      <w:tr>
        <w:tc>
          <w:tcPr>
            <w:tcW w:type="dxa" w:w="1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5 — Almost Certain</w:t>
            </w:r>
          </w:p>
        </w:tc>
        <w:tc>
          <w:tcPr>
            <w:tcW w:type="dxa" w:w="1400"/>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c>
          <w:tcPr>
            <w:tcW w:type="dxa" w:w="140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40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413"/>
            <w:tcBorders>
              <w:top w:val="single" w:color="777777" w:sz="1"/>
              <w:left w:val="single" w:color="777777" w:sz="1"/>
              <w:bottom w:val="single" w:color="777777" w:sz="1"/>
              <w:right w:val="single" w:color="777777" w:sz="1"/>
            </w:tcBorders>
            <w:shd w:fill="C0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w:t>
            </w:r>
          </w:p>
        </w:tc>
        <w:tc>
          <w:tcPr>
            <w:tcW w:type="dxa" w:w="1713"/>
            <w:tcBorders>
              <w:top w:val="single" w:color="777777" w:sz="1"/>
              <w:left w:val="single" w:color="777777" w:sz="1"/>
              <w:bottom w:val="single" w:color="777777" w:sz="1"/>
              <w:right w:val="single" w:color="777777" w:sz="1"/>
            </w:tcBorders>
            <w:shd w:fill="C0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w:t>
            </w:r>
          </w:p>
        </w:tc>
      </w:tr>
      <w:tr>
        <w:tc>
          <w:tcPr>
            <w:tcW w:type="dxa" w:w="1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4 — Likely</w:t>
            </w:r>
          </w:p>
        </w:tc>
        <w:tc>
          <w:tcPr>
            <w:tcW w:type="dxa" w:w="1400"/>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c>
          <w:tcPr>
            <w:tcW w:type="dxa" w:w="1400"/>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c>
          <w:tcPr>
            <w:tcW w:type="dxa" w:w="140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413"/>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713"/>
            <w:tcBorders>
              <w:top w:val="single" w:color="777777" w:sz="1"/>
              <w:left w:val="single" w:color="777777" w:sz="1"/>
              <w:bottom w:val="single" w:color="777777" w:sz="1"/>
              <w:right w:val="single" w:color="777777" w:sz="1"/>
            </w:tcBorders>
            <w:shd w:fill="C0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w:t>
            </w:r>
          </w:p>
        </w:tc>
      </w:tr>
      <w:tr>
        <w:tc>
          <w:tcPr>
            <w:tcW w:type="dxa" w:w="1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3 — Possible</w:t>
            </w:r>
          </w:p>
        </w:tc>
        <w:tc>
          <w:tcPr>
            <w:tcW w:type="dxa" w:w="1400"/>
            <w:tcBorders>
              <w:top w:val="single" w:color="777777" w:sz="1"/>
              <w:left w:val="single" w:color="777777" w:sz="1"/>
              <w:bottom w:val="single" w:color="777777" w:sz="1"/>
              <w:right w:val="single" w:color="777777" w:sz="1"/>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LOW</w:t>
            </w:r>
          </w:p>
        </w:tc>
        <w:tc>
          <w:tcPr>
            <w:tcW w:type="dxa" w:w="1400"/>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c>
          <w:tcPr>
            <w:tcW w:type="dxa" w:w="1400"/>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c>
          <w:tcPr>
            <w:tcW w:type="dxa" w:w="1413"/>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713"/>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r>
      <w:tr>
        <w:tc>
          <w:tcPr>
            <w:tcW w:type="dxa" w:w="1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2 — Unlikely</w:t>
            </w:r>
          </w:p>
        </w:tc>
        <w:tc>
          <w:tcPr>
            <w:tcW w:type="dxa" w:w="1400"/>
            <w:tcBorders>
              <w:top w:val="single" w:color="777777" w:sz="1"/>
              <w:left w:val="single" w:color="777777" w:sz="1"/>
              <w:bottom w:val="single" w:color="777777" w:sz="1"/>
              <w:right w:val="single" w:color="777777" w:sz="1"/>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LOW</w:t>
            </w:r>
          </w:p>
        </w:tc>
        <w:tc>
          <w:tcPr>
            <w:tcW w:type="dxa" w:w="1400"/>
            <w:tcBorders>
              <w:top w:val="single" w:color="777777" w:sz="1"/>
              <w:left w:val="single" w:color="777777" w:sz="1"/>
              <w:bottom w:val="single" w:color="777777" w:sz="1"/>
              <w:right w:val="single" w:color="777777" w:sz="1"/>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LOW</w:t>
            </w:r>
          </w:p>
        </w:tc>
        <w:tc>
          <w:tcPr>
            <w:tcW w:type="dxa" w:w="1400"/>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c>
          <w:tcPr>
            <w:tcW w:type="dxa" w:w="1413"/>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c>
          <w:tcPr>
            <w:tcW w:type="dxa" w:w="1713"/>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r>
      <w:tr>
        <w:tc>
          <w:tcPr>
            <w:tcW w:type="dxa" w:w="1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1 — Rare</w:t>
            </w:r>
          </w:p>
        </w:tc>
        <w:tc>
          <w:tcPr>
            <w:tcW w:type="dxa" w:w="1400"/>
            <w:tcBorders>
              <w:top w:val="single" w:color="777777" w:sz="1"/>
              <w:left w:val="single" w:color="777777" w:sz="1"/>
              <w:bottom w:val="single" w:color="777777" w:sz="1"/>
              <w:right w:val="single" w:color="777777" w:sz="1"/>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LOW</w:t>
            </w:r>
          </w:p>
        </w:tc>
        <w:tc>
          <w:tcPr>
            <w:tcW w:type="dxa" w:w="1400"/>
            <w:tcBorders>
              <w:top w:val="single" w:color="777777" w:sz="1"/>
              <w:left w:val="single" w:color="777777" w:sz="1"/>
              <w:bottom w:val="single" w:color="777777" w:sz="1"/>
              <w:right w:val="single" w:color="777777" w:sz="1"/>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LOW</w:t>
            </w:r>
          </w:p>
        </w:tc>
        <w:tc>
          <w:tcPr>
            <w:tcW w:type="dxa" w:w="1400"/>
            <w:tcBorders>
              <w:top w:val="single" w:color="777777" w:sz="1"/>
              <w:left w:val="single" w:color="777777" w:sz="1"/>
              <w:bottom w:val="single" w:color="777777" w:sz="1"/>
              <w:right w:val="single" w:color="777777" w:sz="1"/>
            </w:tcBorders>
            <w:shd w:fill="70AD4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LOW</w:t>
            </w:r>
          </w:p>
        </w:tc>
        <w:tc>
          <w:tcPr>
            <w:tcW w:type="dxa" w:w="1413"/>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c>
          <w:tcPr>
            <w:tcW w:type="dxa" w:w="1713"/>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r>
    </w:tbl>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000000"/>
          <w:sz w:val="20"/>
          <w:szCs w:val="20"/>
        </w:rPr>
        <w:t xml:space="preserve"/>
      </w:r>
    </w:p>
    <w:p>
      <w:pPr>
        <w:pBdr>
          <w:bottom w:val="single" w:color="1F3864" w:sz="8" w:space="1"/>
        </w:pBdr>
        <w:spacing w:after="100" w:before="10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i w:val="false"/>
          <w:iCs w:val="false"/>
          <w:color w:val="1F3864"/>
          <w:sz w:val="24"/>
          <w:szCs w:val="24"/>
        </w:rPr>
        <w:t xml:space="preserve">Part 2 — Detailed Risk Assessment Cards</w:t>
      </w:r>
    </w:p>
    <w:p>
      <w:pPr>
        <w:spacing w:after="60" w:before="60"/>
        <w:jc w:val="left"/>
      </w:pPr>
      <w:r>
        <w:rPr>
          <w:rFonts w:ascii="Arial" w:cs="Arial" w:eastAsia="Arial" w:hAnsi="Arial"/>
          <w:b w:val="false"/>
          <w:bCs w:val="false"/>
          <w:i w:val="false"/>
          <w:iCs w:val="false"/>
          <w:color w:val="000000"/>
          <w:sz w:val="20"/>
          <w:szCs w:val="20"/>
        </w:rPr>
        <w:t xml:space="preserve">The following pages provide a complete structured risk assessment for each of the five identified risks. Each risk is presented on its own page for clarity.</w:t>
      </w:r>
    </w:p>
    <w:p>
      <w:r>
        <w:br w:type="page"/>
      </w:r>
    </w:p>
    <w:p>
      <w:pPr>
        <w:pBdr>
          <w:bottom w:val="single" w:color="C00000" w:sz="16" w:space="1"/>
        </w:pBdr>
        <w:spacing w:after="0" w:before="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F3864"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4"/>
                <w:szCs w:val="24"/>
              </w:rPr>
              <w:t xml:space="preserve">Risk R-001  —  Phishing Attack — Credential Theft and Account Takeover</w:t>
            </w:r>
          </w:p>
          <w:p>
            <w:pPr>
              <w:spacing w:after="0" w:before="0"/>
            </w:pPr>
            <w:r>
              <w:rPr>
                <w:rFonts w:ascii="Arial" w:cs="Arial" w:eastAsia="Arial" w:hAnsi="Arial"/>
                <w:b w:val="false"/>
                <w:bCs w:val="false"/>
                <w:i w:val="false"/>
                <w:iCs w:val="false"/>
                <w:color w:val="CCCCCC"/>
                <w:sz w:val="18"/>
                <w:szCs w:val="18"/>
              </w:rPr>
              <w:t xml:space="preserve">Inherent Risk: </w:t>
            </w:r>
            <w:r>
              <w:rPr>
                <w:rFonts w:ascii="Arial" w:cs="Arial" w:eastAsia="Arial" w:hAnsi="Arial"/>
                <w:b/>
                <w:bCs/>
                <w:i w:val="false"/>
                <w:iCs w:val="false"/>
                <w:color w:val="FF6B6B"/>
                <w:sz w:val="18"/>
                <w:szCs w:val="18"/>
              </w:rPr>
              <w:t xml:space="preserve">EXTREME</w:t>
            </w:r>
            <w:r>
              <w:rPr>
                <w:rFonts w:ascii="Arial" w:cs="Arial" w:eastAsia="Arial" w:hAnsi="Arial"/>
                <w:b w:val="false"/>
                <w:bCs w:val="false"/>
                <w:i w:val="false"/>
                <w:iCs w:val="false"/>
                <w:color w:val="CCCCCC"/>
                <w:sz w:val="18"/>
                <w:szCs w:val="18"/>
              </w:rPr>
              <w:t xml:space="preserve">    |    Residual Risk: </w:t>
            </w:r>
            <w:r>
              <w:rPr>
                <w:rFonts w:ascii="Arial" w:cs="Arial" w:eastAsia="Arial" w:hAnsi="Arial"/>
                <w:b/>
                <w:bCs/>
                <w:i w:val="false"/>
                <w:iCs w:val="false"/>
                <w:color w:val="FF9966"/>
                <w:sz w:val="18"/>
                <w:szCs w:val="18"/>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Description</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An attacker sends a convincing phishing email to a RetailNova employee. The employee clicks a malicious link or opens a weaponised attachment, giving the attacker their login credentials. With 1,200 staff using personal devices under a BYOD policy, and remote VPN access widely available, a single stolen credential could open a path deep into the company's systems. RetailNova experienced exactly this type of attack in 2023, which resulted in credential compromise among customer service staff — meaning this is not a theoretical risk, it has already happened.</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Assets at Risk</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Employee usernames and passwords</w:t>
            </w:r>
          </w:p>
          <w:p>
            <w:pPr>
              <w:spacing w:after="40" w:before="40"/>
            </w:pPr>
            <w:r>
              <w:rPr>
                <w:rFonts w:ascii="Arial" w:cs="Arial" w:eastAsia="Arial" w:hAnsi="Arial"/>
                <w:b w:val="false"/>
                <w:bCs w:val="false"/>
                <w:i w:val="false"/>
                <w:iCs w:val="false"/>
                <w:color w:val="000000"/>
                <w:sz w:val="19"/>
                <w:szCs w:val="19"/>
              </w:rPr>
              <w:t xml:space="preserve">Salesforce CRM — all customer personal data</w:t>
            </w:r>
          </w:p>
          <w:p>
            <w:pPr>
              <w:spacing w:after="40" w:before="40"/>
            </w:pPr>
            <w:r>
              <w:rPr>
                <w:rFonts w:ascii="Arial" w:cs="Arial" w:eastAsia="Arial" w:hAnsi="Arial"/>
                <w:b w:val="false"/>
                <w:bCs w:val="false"/>
                <w:i w:val="false"/>
                <w:iCs w:val="false"/>
                <w:color w:val="000000"/>
                <w:sz w:val="19"/>
                <w:szCs w:val="19"/>
              </w:rPr>
              <w:t xml:space="preserve">SAP ERP — finance, payroll, HR and inventory data</w:t>
            </w:r>
          </w:p>
          <w:p>
            <w:pPr>
              <w:spacing w:after="40" w:before="40"/>
            </w:pPr>
            <w:r>
              <w:rPr>
                <w:rFonts w:ascii="Arial" w:cs="Arial" w:eastAsia="Arial" w:hAnsi="Arial"/>
                <w:b w:val="false"/>
                <w:bCs w:val="false"/>
                <w:i w:val="false"/>
                <w:iCs w:val="false"/>
                <w:color w:val="000000"/>
                <w:sz w:val="19"/>
                <w:szCs w:val="19"/>
              </w:rPr>
              <w:t xml:space="preserve">Corporate email accounts — gateway to further attacks</w:t>
            </w:r>
          </w:p>
          <w:p>
            <w:pPr>
              <w:spacing w:after="40" w:before="40"/>
            </w:pPr>
            <w:r>
              <w:rPr>
                <w:rFonts w:ascii="Arial" w:cs="Arial" w:eastAsia="Arial" w:hAnsi="Arial"/>
                <w:b w:val="false"/>
                <w:bCs w:val="false"/>
                <w:i w:val="false"/>
                <w:iCs w:val="false"/>
                <w:color w:val="000000"/>
                <w:sz w:val="19"/>
                <w:szCs w:val="19"/>
              </w:rPr>
              <w:t xml:space="preserve">VPN access — direct internal network entry with valid credentials</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Threat</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External cybercriminals sending targeted spear-phishing emails to staff</w:t>
            </w:r>
          </w:p>
          <w:p>
            <w:pPr>
              <w:spacing w:after="40" w:before="40"/>
            </w:pPr>
            <w:r>
              <w:rPr>
                <w:rFonts w:ascii="Arial" w:cs="Arial" w:eastAsia="Arial" w:hAnsi="Arial"/>
                <w:b w:val="false"/>
                <w:bCs w:val="false"/>
                <w:i w:val="false"/>
                <w:iCs w:val="false"/>
                <w:color w:val="000000"/>
                <w:sz w:val="19"/>
                <w:szCs w:val="19"/>
              </w:rPr>
              <w:t xml:space="preserve">Business Email Compromise — attacker impersonates an executive to authorise a fraudulent payment</w:t>
            </w:r>
          </w:p>
          <w:p>
            <w:pPr>
              <w:spacing w:after="40" w:before="40"/>
            </w:pPr>
            <w:r>
              <w:rPr>
                <w:rFonts w:ascii="Arial" w:cs="Arial" w:eastAsia="Arial" w:hAnsi="Arial"/>
                <w:b w:val="false"/>
                <w:bCs w:val="false"/>
                <w:i w:val="false"/>
                <w:iCs w:val="false"/>
                <w:color w:val="000000"/>
                <w:sz w:val="19"/>
                <w:szCs w:val="19"/>
              </w:rPr>
              <w:t xml:space="preserve">Credential stuffing — stolen credentials used to attempt access across multiple platforms</w:t>
            </w:r>
          </w:p>
          <w:p>
            <w:pPr>
              <w:spacing w:after="40" w:before="40"/>
            </w:pPr>
            <w:r>
              <w:rPr>
                <w:rFonts w:ascii="Arial" w:cs="Arial" w:eastAsia="Arial" w:hAnsi="Arial"/>
                <w:b w:val="false"/>
                <w:bCs w:val="false"/>
                <w:i w:val="false"/>
                <w:iCs w:val="false"/>
                <w:color w:val="000000"/>
                <w:sz w:val="19"/>
                <w:szCs w:val="19"/>
              </w:rPr>
              <w:t xml:space="preserve">Account takeover used as a staging point for further attacks such as ransomware deployment</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Vulnerability</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Security awareness training is described as basic — no confirmation of regular testing or simulated phishing exercises</w:t>
            </w:r>
          </w:p>
          <w:p>
            <w:pPr>
              <w:spacing w:after="40" w:before="40"/>
            </w:pPr>
            <w:r>
              <w:rPr>
                <w:rFonts w:ascii="Arial" w:cs="Arial" w:eastAsia="Arial" w:hAnsi="Arial"/>
                <w:b w:val="false"/>
                <w:bCs w:val="false"/>
                <w:i w:val="false"/>
                <w:iCs w:val="false"/>
                <w:color w:val="000000"/>
                <w:sz w:val="19"/>
                <w:szCs w:val="19"/>
              </w:rPr>
              <w:t xml:space="preserve">BYOD policy means staff use personal devices that may lack up-to-date security patching</w:t>
            </w:r>
          </w:p>
          <w:p>
            <w:pPr>
              <w:spacing w:after="40" w:before="40"/>
            </w:pPr>
            <w:r>
              <w:rPr>
                <w:rFonts w:ascii="Arial" w:cs="Arial" w:eastAsia="Arial" w:hAnsi="Arial"/>
                <w:b w:val="false"/>
                <w:bCs w:val="false"/>
                <w:i w:val="false"/>
                <w:iCs w:val="false"/>
                <w:color w:val="000000"/>
                <w:sz w:val="19"/>
                <w:szCs w:val="19"/>
              </w:rPr>
              <w:t xml:space="preserve">No advanced email filtering or anti-phishing gateway confirmed in the client overview</w:t>
            </w:r>
          </w:p>
          <w:p>
            <w:pPr>
              <w:spacing w:after="40" w:before="40"/>
            </w:pPr>
            <w:r>
              <w:rPr>
                <w:rFonts w:ascii="Arial" w:cs="Arial" w:eastAsia="Arial" w:hAnsi="Arial"/>
                <w:b w:val="false"/>
                <w:bCs w:val="false"/>
                <w:i w:val="false"/>
                <w:iCs w:val="false"/>
                <w:color w:val="000000"/>
                <w:sz w:val="19"/>
                <w:szCs w:val="19"/>
              </w:rPr>
              <w:t xml:space="preserve">Staff with VPN access have a direct path to internal systems if credentials are compromised</w:t>
            </w:r>
          </w:p>
          <w:p>
            <w:pPr>
              <w:spacing w:after="40" w:before="40"/>
            </w:pPr>
            <w:r>
              <w:rPr>
                <w:rFonts w:ascii="Arial" w:cs="Arial" w:eastAsia="Arial" w:hAnsi="Arial"/>
                <w:b w:val="false"/>
                <w:bCs w:val="false"/>
                <w:i w:val="false"/>
                <w:iCs w:val="false"/>
                <w:color w:val="000000"/>
                <w:sz w:val="19"/>
                <w:szCs w:val="19"/>
              </w:rPr>
              <w:t xml:space="preserve">No mention of MFA being enforced on corporate accounts</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Existing Controls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Basic security awareness training provided to all staff</w:t>
            </w:r>
          </w:p>
          <w:p>
            <w:pPr>
              <w:spacing w:after="40" w:before="40"/>
            </w:pPr>
            <w:r>
              <w:rPr>
                <w:rFonts w:ascii="Arial" w:cs="Arial" w:eastAsia="Arial" w:hAnsi="Arial"/>
                <w:b w:val="false"/>
                <w:bCs w:val="false"/>
                <w:i w:val="false"/>
                <w:iCs w:val="false"/>
                <w:color w:val="000000"/>
                <w:sz w:val="19"/>
                <w:szCs w:val="19"/>
              </w:rPr>
              <w:t xml:space="preserve">Firewalls and antivirus software deployed</w:t>
            </w:r>
          </w:p>
          <w:p>
            <w:pPr>
              <w:spacing w:after="40" w:before="40"/>
            </w:pPr>
            <w:r>
              <w:rPr>
                <w:rFonts w:ascii="Arial" w:cs="Arial" w:eastAsia="Arial" w:hAnsi="Arial"/>
                <w:b w:val="false"/>
                <w:bCs w:val="false"/>
                <w:i w:val="false"/>
                <w:iCs w:val="false"/>
                <w:color w:val="000000"/>
                <w:sz w:val="19"/>
                <w:szCs w:val="19"/>
              </w:rPr>
              <w:t xml:space="preserve">VPN used for remote access — provides some connection logging</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Inherent Risk Analysis — before any controls are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Inherent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Almost Certain (5)</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Major (4)</w:t>
            </w:r>
          </w:p>
        </w:tc>
        <w:tc>
          <w:tcPr>
            <w:tcW w:type="dxa" w:w="3010"/>
            <w:tcBorders>
              <w:top w:val="single" w:color="777777" w:sz="1"/>
              <w:left w:val="single" w:color="777777" w:sz="1"/>
              <w:bottom w:val="single" w:color="777777" w:sz="1"/>
              <w:right w:val="single" w:color="777777" w:sz="1"/>
            </w:tcBorders>
            <w:shd w:fill="C0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Residual Risk Analysis — after existing controls are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Residual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Likely (4)</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Major (4)</w:t>
            </w:r>
          </w:p>
        </w:tc>
        <w:tc>
          <w:tcPr>
            <w:tcW w:type="dxa" w:w="301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Mitigations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Enforce MFA on all corporate accounts — Salesforce, SAP, VPN and email as minimum priority</w:t>
            </w:r>
          </w:p>
          <w:p>
            <w:pPr>
              <w:spacing w:after="40" w:before="40"/>
            </w:pPr>
            <w:r>
              <w:rPr>
                <w:rFonts w:ascii="Arial" w:cs="Arial" w:eastAsia="Arial" w:hAnsi="Arial"/>
                <w:b w:val="false"/>
                <w:bCs w:val="false"/>
                <w:i w:val="false"/>
                <w:iCs w:val="false"/>
                <w:color w:val="000000"/>
                <w:sz w:val="19"/>
                <w:szCs w:val="19"/>
              </w:rPr>
              <w:t xml:space="preserve">Deploy an advanced email filtering solution with anti-phishing and sandboxing capability (e.g. Microsoft Defender for Office 365 or Proofpoint)</w:t>
            </w:r>
          </w:p>
          <w:p>
            <w:pPr>
              <w:spacing w:after="40" w:before="40"/>
            </w:pPr>
            <w:r>
              <w:rPr>
                <w:rFonts w:ascii="Arial" w:cs="Arial" w:eastAsia="Arial" w:hAnsi="Arial"/>
                <w:b w:val="false"/>
                <w:bCs w:val="false"/>
                <w:i w:val="false"/>
                <w:iCs w:val="false"/>
                <w:color w:val="000000"/>
                <w:sz w:val="19"/>
                <w:szCs w:val="19"/>
              </w:rPr>
              <w:t xml:space="preserve">Upgrade security awareness training to include simulated phishing campaigns run at least quarterly — staff who fail simulations receive targeted follow-up training</w:t>
            </w:r>
          </w:p>
          <w:p>
            <w:pPr>
              <w:spacing w:after="40" w:before="40"/>
            </w:pPr>
            <w:r>
              <w:rPr>
                <w:rFonts w:ascii="Arial" w:cs="Arial" w:eastAsia="Arial" w:hAnsi="Arial"/>
                <w:b w:val="false"/>
                <w:bCs w:val="false"/>
                <w:i w:val="false"/>
                <w:iCs w:val="false"/>
                <w:color w:val="000000"/>
                <w:sz w:val="19"/>
                <w:szCs w:val="19"/>
              </w:rPr>
              <w:t xml:space="preserve">Implement Mobile Device Management (MDM) for all BYOD devices accessing corporate systems</w:t>
            </w:r>
          </w:p>
          <w:p>
            <w:pPr>
              <w:spacing w:after="40" w:before="40"/>
            </w:pPr>
            <w:r>
              <w:rPr>
                <w:rFonts w:ascii="Arial" w:cs="Arial" w:eastAsia="Arial" w:hAnsi="Arial"/>
                <w:b w:val="false"/>
                <w:bCs w:val="false"/>
                <w:i w:val="false"/>
                <w:iCs w:val="false"/>
                <w:color w:val="000000"/>
                <w:sz w:val="19"/>
                <w:szCs w:val="19"/>
              </w:rPr>
              <w:t xml:space="preserve">Add a one-click phishing report button in the email client so staff can flag suspicious emails without friction</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Owner</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IT Security Manager</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Date Identified</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June 7, 2026</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Review Date</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December 7, 2026</w:t>
            </w:r>
          </w:p>
        </w:tc>
      </w:tr>
    </w:tbl>
    <w:p>
      <w:r>
        <w:br w:type="page"/>
      </w:r>
    </w:p>
    <w:p>
      <w:pPr>
        <w:pBdr>
          <w:bottom w:val="single" w:color="C00000" w:sz="16" w:space="1"/>
        </w:pBdr>
        <w:spacing w:after="0" w:before="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F3864"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4"/>
                <w:szCs w:val="24"/>
              </w:rPr>
              <w:t xml:space="preserve">Risk R-002  —  Ransomware Attack — Business-Wide System Encryption</w:t>
            </w:r>
          </w:p>
          <w:p>
            <w:pPr>
              <w:spacing w:after="0" w:before="0"/>
            </w:pPr>
            <w:r>
              <w:rPr>
                <w:rFonts w:ascii="Arial" w:cs="Arial" w:eastAsia="Arial" w:hAnsi="Arial"/>
                <w:b w:val="false"/>
                <w:bCs w:val="false"/>
                <w:i w:val="false"/>
                <w:iCs w:val="false"/>
                <w:color w:val="CCCCCC"/>
                <w:sz w:val="18"/>
                <w:szCs w:val="18"/>
              </w:rPr>
              <w:t xml:space="preserve">Inherent Risk: </w:t>
            </w:r>
            <w:r>
              <w:rPr>
                <w:rFonts w:ascii="Arial" w:cs="Arial" w:eastAsia="Arial" w:hAnsi="Arial"/>
                <w:b/>
                <w:bCs/>
                <w:i w:val="false"/>
                <w:iCs w:val="false"/>
                <w:color w:val="FF6B6B"/>
                <w:sz w:val="18"/>
                <w:szCs w:val="18"/>
              </w:rPr>
              <w:t xml:space="preserve">EXTREME</w:t>
            </w:r>
            <w:r>
              <w:rPr>
                <w:rFonts w:ascii="Arial" w:cs="Arial" w:eastAsia="Arial" w:hAnsi="Arial"/>
                <w:b w:val="false"/>
                <w:bCs w:val="false"/>
                <w:i w:val="false"/>
                <w:iCs w:val="false"/>
                <w:color w:val="CCCCCC"/>
                <w:sz w:val="18"/>
                <w:szCs w:val="18"/>
              </w:rPr>
              <w:t xml:space="preserve">    |    Residual Risk: </w:t>
            </w:r>
            <w:r>
              <w:rPr>
                <w:rFonts w:ascii="Arial" w:cs="Arial" w:eastAsia="Arial" w:hAnsi="Arial"/>
                <w:b/>
                <w:bCs/>
                <w:i w:val="false"/>
                <w:iCs w:val="false"/>
                <w:color w:val="FF9966"/>
                <w:sz w:val="18"/>
                <w:szCs w:val="18"/>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Description</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A ransomware attack encrypts RetailNova's critical business systems, bringing e-commerce, SAP, and POS terminals across all 85 stores to a halt. RetailNova already experienced a ransomware attempt in 2024 — it was stopped, but it still caused two hours of downtime. Modern ransomware groups often sit inside a network for weeks before deploying encryption, mapping out systems and disabling backups along the way. For a company generating $450 million in annual revenue, even a few days of downtime represents massive financial exposure.</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Assets at Risk</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E-commerce platform — primary sales channel</w:t>
            </w:r>
          </w:p>
          <w:p>
            <w:pPr>
              <w:spacing w:after="40" w:before="40"/>
            </w:pPr>
            <w:r>
              <w:rPr>
                <w:rFonts w:ascii="Arial" w:cs="Arial" w:eastAsia="Arial" w:hAnsi="Arial"/>
                <w:b w:val="false"/>
                <w:bCs w:val="false"/>
                <w:i w:val="false"/>
                <w:iCs w:val="false"/>
                <w:color w:val="000000"/>
                <w:sz w:val="19"/>
                <w:szCs w:val="19"/>
              </w:rPr>
              <w:t xml:space="preserve">SAP ERP — inventory, finance, payroll</w:t>
            </w:r>
          </w:p>
          <w:p>
            <w:pPr>
              <w:spacing w:after="40" w:before="40"/>
            </w:pPr>
            <w:r>
              <w:rPr>
                <w:rFonts w:ascii="Arial" w:cs="Arial" w:eastAsia="Arial" w:hAnsi="Arial"/>
                <w:b w:val="false"/>
                <w:bCs w:val="false"/>
                <w:i w:val="false"/>
                <w:iCs w:val="false"/>
                <w:color w:val="000000"/>
                <w:sz w:val="19"/>
                <w:szCs w:val="19"/>
              </w:rPr>
              <w:t xml:space="preserve">POS systems across 85 stores — in-person sales</w:t>
            </w:r>
          </w:p>
          <w:p>
            <w:pPr>
              <w:spacing w:after="40" w:before="40"/>
            </w:pPr>
            <w:r>
              <w:rPr>
                <w:rFonts w:ascii="Arial" w:cs="Arial" w:eastAsia="Arial" w:hAnsi="Arial"/>
                <w:b w:val="false"/>
                <w:bCs w:val="false"/>
                <w:i w:val="false"/>
                <w:iCs w:val="false"/>
                <w:color w:val="000000"/>
                <w:sz w:val="19"/>
                <w:szCs w:val="19"/>
              </w:rPr>
              <w:t xml:space="preserve">AWS cloud hosting environment</w:t>
            </w:r>
          </w:p>
          <w:p>
            <w:pPr>
              <w:spacing w:after="40" w:before="40"/>
            </w:pPr>
            <w:r>
              <w:rPr>
                <w:rFonts w:ascii="Arial" w:cs="Arial" w:eastAsia="Arial" w:hAnsi="Arial"/>
                <w:b w:val="false"/>
                <w:bCs w:val="false"/>
                <w:i w:val="false"/>
                <w:iCs w:val="false"/>
                <w:color w:val="000000"/>
                <w:sz w:val="19"/>
                <w:szCs w:val="19"/>
              </w:rPr>
              <w:t xml:space="preserve">Backup systems — frequently targeted to eliminate recovery options</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Threat</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Ransomware-as-a-Service (RaaS) groups targeting retail organisations</w:t>
            </w:r>
          </w:p>
          <w:p>
            <w:pPr>
              <w:spacing w:after="40" w:before="40"/>
            </w:pPr>
            <w:r>
              <w:rPr>
                <w:rFonts w:ascii="Arial" w:cs="Arial" w:eastAsia="Arial" w:hAnsi="Arial"/>
                <w:b w:val="false"/>
                <w:bCs w:val="false"/>
                <w:i w:val="false"/>
                <w:iCs w:val="false"/>
                <w:color w:val="000000"/>
                <w:sz w:val="19"/>
                <w:szCs w:val="19"/>
              </w:rPr>
              <w:t xml:space="preserve">Malware delivered via phishing email, malicious website or compromised software update</w:t>
            </w:r>
          </w:p>
          <w:p>
            <w:pPr>
              <w:spacing w:after="40" w:before="40"/>
            </w:pPr>
            <w:r>
              <w:rPr>
                <w:rFonts w:ascii="Arial" w:cs="Arial" w:eastAsia="Arial" w:hAnsi="Arial"/>
                <w:b w:val="false"/>
                <w:bCs w:val="false"/>
                <w:i w:val="false"/>
                <w:iCs w:val="false"/>
                <w:color w:val="000000"/>
                <w:sz w:val="19"/>
                <w:szCs w:val="19"/>
              </w:rPr>
              <w:t xml:space="preserve">Exploitation of unpatched vulnerabilities in endpoints, servers or internet-facing systems</w:t>
            </w:r>
          </w:p>
          <w:p>
            <w:pPr>
              <w:spacing w:after="40" w:before="40"/>
            </w:pPr>
            <w:r>
              <w:rPr>
                <w:rFonts w:ascii="Arial" w:cs="Arial" w:eastAsia="Arial" w:hAnsi="Arial"/>
                <w:b w:val="false"/>
                <w:bCs w:val="false"/>
                <w:i w:val="false"/>
                <w:iCs w:val="false"/>
                <w:color w:val="000000"/>
                <w:sz w:val="19"/>
                <w:szCs w:val="19"/>
              </w:rPr>
              <w:t xml:space="preserve">Double extortion — attackers encrypt data AND threaten to publish it if ransom is not paid</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Vulnerability</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Antivirus alone does not detect modern ransomware variants that use legitimate system tools</w:t>
            </w:r>
          </w:p>
          <w:p>
            <w:pPr>
              <w:spacing w:after="40" w:before="40"/>
            </w:pPr>
            <w:r>
              <w:rPr>
                <w:rFonts w:ascii="Arial" w:cs="Arial" w:eastAsia="Arial" w:hAnsi="Arial"/>
                <w:b w:val="false"/>
                <w:bCs w:val="false"/>
                <w:i w:val="false"/>
                <w:iCs w:val="false"/>
                <w:color w:val="000000"/>
                <w:sz w:val="19"/>
                <w:szCs w:val="19"/>
              </w:rPr>
              <w:t xml:space="preserve">No Endpoint Detection and Response (EDR) solution confirmed</w:t>
            </w:r>
          </w:p>
          <w:p>
            <w:pPr>
              <w:spacing w:after="40" w:before="40"/>
            </w:pPr>
            <w:r>
              <w:rPr>
                <w:rFonts w:ascii="Arial" w:cs="Arial" w:eastAsia="Arial" w:hAnsi="Arial"/>
                <w:b w:val="false"/>
                <w:bCs w:val="false"/>
                <w:i w:val="false"/>
                <w:iCs w:val="false"/>
                <w:color w:val="000000"/>
                <w:sz w:val="19"/>
                <w:szCs w:val="19"/>
              </w:rPr>
              <w:t xml:space="preserve">85 POS systems across distributed stores represent a wide, potentially inconsistently patched attack surface</w:t>
            </w:r>
          </w:p>
          <w:p>
            <w:pPr>
              <w:spacing w:after="40" w:before="40"/>
            </w:pPr>
            <w:r>
              <w:rPr>
                <w:rFonts w:ascii="Arial" w:cs="Arial" w:eastAsia="Arial" w:hAnsi="Arial"/>
                <w:b w:val="false"/>
                <w:bCs w:val="false"/>
                <w:i w:val="false"/>
                <w:iCs w:val="false"/>
                <w:color w:val="000000"/>
                <w:sz w:val="19"/>
                <w:szCs w:val="19"/>
              </w:rPr>
              <w:t xml:space="preserve">BYOD policy introduces endpoints RetailNova does not fully control or patch</w:t>
            </w:r>
          </w:p>
          <w:p>
            <w:pPr>
              <w:spacing w:after="40" w:before="40"/>
            </w:pPr>
            <w:r>
              <w:rPr>
                <w:rFonts w:ascii="Arial" w:cs="Arial" w:eastAsia="Arial" w:hAnsi="Arial"/>
                <w:b w:val="false"/>
                <w:bCs w:val="false"/>
                <w:i w:val="false"/>
                <w:iCs w:val="false"/>
                <w:color w:val="000000"/>
                <w:sz w:val="19"/>
                <w:szCs w:val="19"/>
              </w:rPr>
              <w:t xml:space="preserve">No confirmed offline backup strategy — network-connected backups will be encrypted alongside live data</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Existing Controls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Antivirus software deployed — stopped the 2024 ransomware attempt</w:t>
            </w:r>
          </w:p>
          <w:p>
            <w:pPr>
              <w:spacing w:after="40" w:before="40"/>
            </w:pPr>
            <w:r>
              <w:rPr>
                <w:rFonts w:ascii="Arial" w:cs="Arial" w:eastAsia="Arial" w:hAnsi="Arial"/>
                <w:b w:val="false"/>
                <w:bCs w:val="false"/>
                <w:i w:val="false"/>
                <w:iCs w:val="false"/>
                <w:color w:val="000000"/>
                <w:sz w:val="19"/>
                <w:szCs w:val="19"/>
              </w:rPr>
              <w:t xml:space="preserve">Firewalls at network perimeter</w:t>
            </w:r>
          </w:p>
          <w:p>
            <w:pPr>
              <w:spacing w:after="40" w:before="40"/>
            </w:pPr>
            <w:r>
              <w:rPr>
                <w:rFonts w:ascii="Arial" w:cs="Arial" w:eastAsia="Arial" w:hAnsi="Arial"/>
                <w:b w:val="false"/>
                <w:bCs w:val="false"/>
                <w:i w:val="false"/>
                <w:iCs w:val="false"/>
                <w:color w:val="000000"/>
                <w:sz w:val="19"/>
                <w:szCs w:val="19"/>
              </w:rPr>
              <w:t xml:space="preserve">Some endpoint protection exists given the 2024 attempt was thwarted</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Inherent Risk Analysis — before any controls are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Inherent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Likely (4)</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Extreme (5)</w:t>
            </w:r>
          </w:p>
        </w:tc>
        <w:tc>
          <w:tcPr>
            <w:tcW w:type="dxa" w:w="3010"/>
            <w:tcBorders>
              <w:top w:val="single" w:color="777777" w:sz="1"/>
              <w:left w:val="single" w:color="777777" w:sz="1"/>
              <w:bottom w:val="single" w:color="777777" w:sz="1"/>
              <w:right w:val="single" w:color="777777" w:sz="1"/>
            </w:tcBorders>
            <w:shd w:fill="C0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Residual Risk Analysis — after existing controls are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Residual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Possible (3)</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Extreme (5)</w:t>
            </w:r>
          </w:p>
        </w:tc>
        <w:tc>
          <w:tcPr>
            <w:tcW w:type="dxa" w:w="301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Mitigations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Deploy EDR across all endpoints including POS terminals — EDR detects ransomware behaviour before encryption completes</w:t>
            </w:r>
          </w:p>
          <w:p>
            <w:pPr>
              <w:spacing w:after="40" w:before="40"/>
            </w:pPr>
            <w:r>
              <w:rPr>
                <w:rFonts w:ascii="Arial" w:cs="Arial" w:eastAsia="Arial" w:hAnsi="Arial"/>
                <w:b w:val="false"/>
                <w:bCs w:val="false"/>
                <w:i w:val="false"/>
                <w:iCs w:val="false"/>
                <w:color w:val="000000"/>
                <w:sz w:val="19"/>
                <w:szCs w:val="19"/>
              </w:rPr>
              <w:t xml:space="preserve">Implement a 3-2-1 backup strategy: three copies of data, on two different media types, with one copy completely offline and air-gapped from the network</w:t>
            </w:r>
          </w:p>
          <w:p>
            <w:pPr>
              <w:spacing w:after="40" w:before="40"/>
            </w:pPr>
            <w:r>
              <w:rPr>
                <w:rFonts w:ascii="Arial" w:cs="Arial" w:eastAsia="Arial" w:hAnsi="Arial"/>
                <w:b w:val="false"/>
                <w:bCs w:val="false"/>
                <w:i w:val="false"/>
                <w:iCs w:val="false"/>
                <w:color w:val="000000"/>
                <w:sz w:val="19"/>
                <w:szCs w:val="19"/>
              </w:rPr>
              <w:t xml:space="preserve">Develop and test a ransomware-specific incident response playbook — staff must know exactly what to do in the first 30 minutes</w:t>
            </w:r>
          </w:p>
          <w:p>
            <w:pPr>
              <w:spacing w:after="40" w:before="40"/>
            </w:pPr>
            <w:r>
              <w:rPr>
                <w:rFonts w:ascii="Arial" w:cs="Arial" w:eastAsia="Arial" w:hAnsi="Arial"/>
                <w:b w:val="false"/>
                <w:bCs w:val="false"/>
                <w:i w:val="false"/>
                <w:iCs w:val="false"/>
                <w:color w:val="000000"/>
                <w:sz w:val="19"/>
                <w:szCs w:val="19"/>
              </w:rPr>
              <w:t xml:space="preserve">Implement network segmentation — POS systems, e-commerce and corporate systems should not freely communicate; limits blast radius if ransomware deploys</w:t>
            </w:r>
          </w:p>
          <w:p>
            <w:pPr>
              <w:spacing w:after="40" w:before="40"/>
            </w:pPr>
            <w:r>
              <w:rPr>
                <w:rFonts w:ascii="Arial" w:cs="Arial" w:eastAsia="Arial" w:hAnsi="Arial"/>
                <w:b w:val="false"/>
                <w:bCs w:val="false"/>
                <w:i w:val="false"/>
                <w:iCs w:val="false"/>
                <w:color w:val="000000"/>
                <w:sz w:val="19"/>
                <w:szCs w:val="19"/>
              </w:rPr>
              <w:t xml:space="preserve">Establish a formal patch management programme with defined timelines for critical security patches across all endpoints and servers</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Owner</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Chief Information Security Officer (CISO)</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Date Identified</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June 7, 2026</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Review Date</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December 7, 2026</w:t>
            </w:r>
          </w:p>
        </w:tc>
      </w:tr>
    </w:tbl>
    <w:p>
      <w:r>
        <w:br w:type="page"/>
      </w:r>
    </w:p>
    <w:p>
      <w:pPr>
        <w:pBdr>
          <w:bottom w:val="single" w:color="ED7D31" w:sz="16" w:space="1"/>
        </w:pBdr>
        <w:spacing w:after="0" w:before="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F3864"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4"/>
                <w:szCs w:val="24"/>
              </w:rPr>
              <w:t xml:space="preserve">Risk R-003  —  Third-Party Vendor Breach — Customer Data Exposure via Supply Chain</w:t>
            </w:r>
          </w:p>
          <w:p>
            <w:pPr>
              <w:spacing w:after="0" w:before="0"/>
            </w:pPr>
            <w:r>
              <w:rPr>
                <w:rFonts w:ascii="Arial" w:cs="Arial" w:eastAsia="Arial" w:hAnsi="Arial"/>
                <w:b w:val="false"/>
                <w:bCs w:val="false"/>
                <w:i w:val="false"/>
                <w:iCs w:val="false"/>
                <w:color w:val="CCCCCC"/>
                <w:sz w:val="18"/>
                <w:szCs w:val="18"/>
              </w:rPr>
              <w:t xml:space="preserve">Inherent Risk: </w:t>
            </w:r>
            <w:r>
              <w:rPr>
                <w:rFonts w:ascii="Arial" w:cs="Arial" w:eastAsia="Arial" w:hAnsi="Arial"/>
                <w:b/>
                <w:bCs/>
                <w:i w:val="false"/>
                <w:iCs w:val="false"/>
                <w:color w:val="FF6B6B"/>
                <w:sz w:val="18"/>
                <w:szCs w:val="18"/>
              </w:rPr>
              <w:t xml:space="preserve">HIGH</w:t>
            </w:r>
            <w:r>
              <w:rPr>
                <w:rFonts w:ascii="Arial" w:cs="Arial" w:eastAsia="Arial" w:hAnsi="Arial"/>
                <w:b w:val="false"/>
                <w:bCs w:val="false"/>
                <w:i w:val="false"/>
                <w:iCs w:val="false"/>
                <w:color w:val="CCCCCC"/>
                <w:sz w:val="18"/>
                <w:szCs w:val="18"/>
              </w:rPr>
              <w:t xml:space="preserve">    |    Residual Risk: </w:t>
            </w:r>
            <w:r>
              <w:rPr>
                <w:rFonts w:ascii="Arial" w:cs="Arial" w:eastAsia="Arial" w:hAnsi="Arial"/>
                <w:b/>
                <w:bCs/>
                <w:i w:val="false"/>
                <w:iCs w:val="false"/>
                <w:color w:val="FF9966"/>
                <w:sz w:val="18"/>
                <w:szCs w:val="18"/>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Description</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One of RetailNova's many third-party partners suffers a security breach and customer data is exposed even though RetailNova's own systems were never compromised. This already happened in 2025, when a third-party marketing vendor leaked the email addresses of 5,000 RetailNova customers. The company's reliance on PayPal, Afterpay, logistics integrations and loyalty program providers means this supply chain attack surface is wide and growing. You can have perfect internal security and still suffer a breach through a vendor you trusted with your data.</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Assets at Risk</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Customer personal data shared with marketing vendors</w:t>
            </w:r>
          </w:p>
          <w:p>
            <w:pPr>
              <w:spacing w:after="40" w:before="40"/>
            </w:pPr>
            <w:r>
              <w:rPr>
                <w:rFonts w:ascii="Arial" w:cs="Arial" w:eastAsia="Arial" w:hAnsi="Arial"/>
                <w:b w:val="false"/>
                <w:bCs w:val="false"/>
                <w:i w:val="false"/>
                <w:iCs w:val="false"/>
                <w:color w:val="000000"/>
                <w:sz w:val="19"/>
                <w:szCs w:val="19"/>
              </w:rPr>
              <w:t xml:space="preserve">Loyalty program data — purchase behaviour and personal preferences</w:t>
            </w:r>
          </w:p>
          <w:p>
            <w:pPr>
              <w:spacing w:after="40" w:before="40"/>
            </w:pPr>
            <w:r>
              <w:rPr>
                <w:rFonts w:ascii="Arial" w:cs="Arial" w:eastAsia="Arial" w:hAnsi="Arial"/>
                <w:b w:val="false"/>
                <w:bCs w:val="false"/>
                <w:i w:val="false"/>
                <w:iCs w:val="false"/>
                <w:color w:val="000000"/>
                <w:sz w:val="19"/>
                <w:szCs w:val="19"/>
              </w:rPr>
              <w:t xml:space="preserve">API connections to PayPal and Afterpay</w:t>
            </w:r>
          </w:p>
          <w:p>
            <w:pPr>
              <w:spacing w:after="40" w:before="40"/>
            </w:pPr>
            <w:r>
              <w:rPr>
                <w:rFonts w:ascii="Arial" w:cs="Arial" w:eastAsia="Arial" w:hAnsi="Arial"/>
                <w:b w:val="false"/>
                <w:bCs w:val="false"/>
                <w:i w:val="false"/>
                <w:iCs w:val="false"/>
                <w:color w:val="000000"/>
                <w:sz w:val="19"/>
                <w:szCs w:val="19"/>
              </w:rPr>
              <w:t xml:space="preserve">Logistics provider integrations — delivery addresses and order history</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Threat</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A vendor suffers a cyberattack and customer data is exfiltrated from their systems</w:t>
            </w:r>
          </w:p>
          <w:p>
            <w:pPr>
              <w:spacing w:after="40" w:before="40"/>
            </w:pPr>
            <w:r>
              <w:rPr>
                <w:rFonts w:ascii="Arial" w:cs="Arial" w:eastAsia="Arial" w:hAnsi="Arial"/>
                <w:b w:val="false"/>
                <w:bCs w:val="false"/>
                <w:i w:val="false"/>
                <w:iCs w:val="false"/>
                <w:color w:val="000000"/>
                <w:sz w:val="19"/>
                <w:szCs w:val="19"/>
              </w:rPr>
              <w:t xml:space="preserve">A vendor employee with access to RetailNova data acts maliciously or negligently</w:t>
            </w:r>
          </w:p>
          <w:p>
            <w:pPr>
              <w:spacing w:after="40" w:before="40"/>
            </w:pPr>
            <w:r>
              <w:rPr>
                <w:rFonts w:ascii="Arial" w:cs="Arial" w:eastAsia="Arial" w:hAnsi="Arial"/>
                <w:b w:val="false"/>
                <w:bCs w:val="false"/>
                <w:i w:val="false"/>
                <w:iCs w:val="false"/>
                <w:color w:val="000000"/>
                <w:sz w:val="19"/>
                <w:szCs w:val="19"/>
              </w:rPr>
              <w:t xml:space="preserve">A supply chain attack — attacker compromises software or a service used by RetailNova and uses it as a stepping stone</w:t>
            </w:r>
          </w:p>
          <w:p>
            <w:pPr>
              <w:spacing w:after="40" w:before="40"/>
            </w:pPr>
            <w:r>
              <w:rPr>
                <w:rFonts w:ascii="Arial" w:cs="Arial" w:eastAsia="Arial" w:hAnsi="Arial"/>
                <w:b w:val="false"/>
                <w:bCs w:val="false"/>
                <w:i w:val="false"/>
                <w:iCs w:val="false"/>
                <w:color w:val="000000"/>
                <w:sz w:val="19"/>
                <w:szCs w:val="19"/>
              </w:rPr>
              <w:t xml:space="preserve">A vendor stores RetailNova data with inadequate security controls despite having contractual access to it</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Vulnerability</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No confirmed Third-Party Risk Management (TPRM) programme in place</w:t>
            </w:r>
          </w:p>
          <w:p>
            <w:pPr>
              <w:spacing w:after="40" w:before="40"/>
            </w:pPr>
            <w:r>
              <w:rPr>
                <w:rFonts w:ascii="Arial" w:cs="Arial" w:eastAsia="Arial" w:hAnsi="Arial"/>
                <w:b w:val="false"/>
                <w:bCs w:val="false"/>
                <w:i w:val="false"/>
                <w:iCs w:val="false"/>
                <w:color w:val="000000"/>
                <w:sz w:val="19"/>
                <w:szCs w:val="19"/>
              </w:rPr>
              <w:t xml:space="preserve">Vendors may have broader access to RetailNova data than their role strictly requires — least privilege likely not enforced at the vendor level</w:t>
            </w:r>
          </w:p>
          <w:p>
            <w:pPr>
              <w:spacing w:after="40" w:before="40"/>
            </w:pPr>
            <w:r>
              <w:rPr>
                <w:rFonts w:ascii="Arial" w:cs="Arial" w:eastAsia="Arial" w:hAnsi="Arial"/>
                <w:b w:val="false"/>
                <w:bCs w:val="false"/>
                <w:i w:val="false"/>
                <w:iCs w:val="false"/>
                <w:color w:val="000000"/>
                <w:sz w:val="19"/>
                <w:szCs w:val="19"/>
              </w:rPr>
              <w:t xml:space="preserve">No mention of security requirements being written into vendor contracts</w:t>
            </w:r>
          </w:p>
          <w:p>
            <w:pPr>
              <w:spacing w:after="40" w:before="40"/>
            </w:pPr>
            <w:r>
              <w:rPr>
                <w:rFonts w:ascii="Arial" w:cs="Arial" w:eastAsia="Arial" w:hAnsi="Arial"/>
                <w:b w:val="false"/>
                <w:bCs w:val="false"/>
                <w:i w:val="false"/>
                <w:iCs w:val="false"/>
                <w:color w:val="000000"/>
                <w:sz w:val="19"/>
                <w:szCs w:val="19"/>
              </w:rPr>
              <w:t xml:space="preserve">Third-party API integrations increase the attack surface — each integration is a potential entry point</w:t>
            </w:r>
          </w:p>
          <w:p>
            <w:pPr>
              <w:spacing w:after="40" w:before="40"/>
            </w:pPr>
            <w:r>
              <w:rPr>
                <w:rFonts w:ascii="Arial" w:cs="Arial" w:eastAsia="Arial" w:hAnsi="Arial"/>
                <w:b w:val="false"/>
                <w:bCs w:val="false"/>
                <w:i w:val="false"/>
                <w:iCs w:val="false"/>
                <w:color w:val="000000"/>
                <w:sz w:val="19"/>
                <w:szCs w:val="19"/>
              </w:rPr>
              <w:t xml:space="preserve">The 2025 marketing vendor incident shows this vulnerability has already been exploited once</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Existing Controls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Tokenized payment details reduce direct payment card data storage risk</w:t>
            </w:r>
          </w:p>
          <w:p>
            <w:pPr>
              <w:spacing w:after="40" w:before="40"/>
            </w:pPr>
            <w:r>
              <w:rPr>
                <w:rFonts w:ascii="Arial" w:cs="Arial" w:eastAsia="Arial" w:hAnsi="Arial"/>
                <w:b w:val="false"/>
                <w:bCs w:val="false"/>
                <w:i w:val="false"/>
                <w:iCs w:val="false"/>
                <w:color w:val="000000"/>
                <w:sz w:val="19"/>
                <w:szCs w:val="19"/>
              </w:rPr>
              <w:t xml:space="preserve">Firewalls at the RetailNova network perimeter</w:t>
            </w:r>
          </w:p>
          <w:p>
            <w:pPr>
              <w:spacing w:after="40" w:before="40"/>
            </w:pPr>
            <w:r>
              <w:rPr>
                <w:rFonts w:ascii="Arial" w:cs="Arial" w:eastAsia="Arial" w:hAnsi="Arial"/>
                <w:b w:val="false"/>
                <w:bCs w:val="false"/>
                <w:i w:val="false"/>
                <w:iCs w:val="false"/>
                <w:color w:val="000000"/>
                <w:sz w:val="19"/>
                <w:szCs w:val="19"/>
              </w:rPr>
              <w:t xml:space="preserve">PayPal and Afterpay have their own fraud detection capabilities</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Inherent Risk Analysis — before any controls are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Inherent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Likely (4)</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Major (4)</w:t>
            </w:r>
          </w:p>
        </w:tc>
        <w:tc>
          <w:tcPr>
            <w:tcW w:type="dxa" w:w="301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Residual Risk Analysis — after existing controls are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Residual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Possible (3)</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Major (4)</w:t>
            </w:r>
          </w:p>
        </w:tc>
        <w:tc>
          <w:tcPr>
            <w:tcW w:type="dxa" w:w="301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Mitigations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Implement a formal Third-Party Risk Management (TPRM) programme — all vendors with access to customer data must complete a security assessment before onboarding and annually thereafter</w:t>
            </w:r>
          </w:p>
          <w:p>
            <w:pPr>
              <w:spacing w:after="40" w:before="40"/>
            </w:pPr>
            <w:r>
              <w:rPr>
                <w:rFonts w:ascii="Arial" w:cs="Arial" w:eastAsia="Arial" w:hAnsi="Arial"/>
                <w:b w:val="false"/>
                <w:bCs w:val="false"/>
                <w:i w:val="false"/>
                <w:iCs w:val="false"/>
                <w:color w:val="000000"/>
                <w:sz w:val="19"/>
                <w:szCs w:val="19"/>
              </w:rPr>
              <w:t xml:space="preserve">Include minimum security requirements in all vendor contracts — mandatory breach notification within 24 hours, right to audit, data deletion on contract termination</w:t>
            </w:r>
          </w:p>
          <w:p>
            <w:pPr>
              <w:spacing w:after="40" w:before="40"/>
            </w:pPr>
            <w:r>
              <w:rPr>
                <w:rFonts w:ascii="Arial" w:cs="Arial" w:eastAsia="Arial" w:hAnsi="Arial"/>
                <w:b w:val="false"/>
                <w:bCs w:val="false"/>
                <w:i w:val="false"/>
                <w:iCs w:val="false"/>
                <w:color w:val="000000"/>
                <w:sz w:val="19"/>
                <w:szCs w:val="19"/>
              </w:rPr>
              <w:t xml:space="preserve">Apply the principle of least privilege to vendor API access — vendors should only be able to access the specific data they need, nothing more</w:t>
            </w:r>
          </w:p>
          <w:p>
            <w:pPr>
              <w:spacing w:after="40" w:before="40"/>
            </w:pPr>
            <w:r>
              <w:rPr>
                <w:rFonts w:ascii="Arial" w:cs="Arial" w:eastAsia="Arial" w:hAnsi="Arial"/>
                <w:b w:val="false"/>
                <w:bCs w:val="false"/>
                <w:i w:val="false"/>
                <w:iCs w:val="false"/>
                <w:color w:val="000000"/>
                <w:sz w:val="19"/>
                <w:szCs w:val="19"/>
              </w:rPr>
              <w:t xml:space="preserve">Monitor third-party API connections — flag unusual data volumes, off-hours access or access from unexpected locations</w:t>
            </w:r>
          </w:p>
          <w:p>
            <w:pPr>
              <w:spacing w:after="40" w:before="40"/>
            </w:pPr>
            <w:r>
              <w:rPr>
                <w:rFonts w:ascii="Arial" w:cs="Arial" w:eastAsia="Arial" w:hAnsi="Arial"/>
                <w:b w:val="false"/>
                <w:bCs w:val="false"/>
                <w:i w:val="false"/>
                <w:iCs w:val="false"/>
                <w:color w:val="000000"/>
                <w:sz w:val="19"/>
                <w:szCs w:val="19"/>
              </w:rPr>
              <w:t xml:space="preserve">Require vendors handling sensitive customer data to hold a recognised security certification such as ISO 27001 or SOC 2 Type II</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Owner</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Procurement Team + IT Security Manager</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Date Identified</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June 7, 2026</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Review Date</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December 7, 2026</w:t>
            </w:r>
          </w:p>
        </w:tc>
      </w:tr>
    </w:tbl>
    <w:p>
      <w:r>
        <w:br w:type="page"/>
      </w:r>
    </w:p>
    <w:p>
      <w:pPr>
        <w:pBdr>
          <w:bottom w:val="single" w:color="ED7D31" w:sz="16" w:space="1"/>
        </w:pBdr>
        <w:spacing w:after="0" w:before="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F3864"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4"/>
                <w:szCs w:val="24"/>
              </w:rPr>
              <w:t xml:space="preserve">Risk R-004  —  Insider Threat — Unauthorised Data Access or Deliberate Exfiltration</w:t>
            </w:r>
          </w:p>
          <w:p>
            <w:pPr>
              <w:spacing w:after="0" w:before="0"/>
            </w:pPr>
            <w:r>
              <w:rPr>
                <w:rFonts w:ascii="Arial" w:cs="Arial" w:eastAsia="Arial" w:hAnsi="Arial"/>
                <w:b w:val="false"/>
                <w:bCs w:val="false"/>
                <w:i w:val="false"/>
                <w:iCs w:val="false"/>
                <w:color w:val="CCCCCC"/>
                <w:sz w:val="18"/>
                <w:szCs w:val="18"/>
              </w:rPr>
              <w:t xml:space="preserve">Inherent Risk: </w:t>
            </w:r>
            <w:r>
              <w:rPr>
                <w:rFonts w:ascii="Arial" w:cs="Arial" w:eastAsia="Arial" w:hAnsi="Arial"/>
                <w:b/>
                <w:bCs/>
                <w:i w:val="false"/>
                <w:iCs w:val="false"/>
                <w:color w:val="FF6B6B"/>
                <w:sz w:val="18"/>
                <w:szCs w:val="18"/>
              </w:rPr>
              <w:t xml:space="preserve">HIGH</w:t>
            </w:r>
            <w:r>
              <w:rPr>
                <w:rFonts w:ascii="Arial" w:cs="Arial" w:eastAsia="Arial" w:hAnsi="Arial"/>
                <w:b w:val="false"/>
                <w:bCs w:val="false"/>
                <w:i w:val="false"/>
                <w:iCs w:val="false"/>
                <w:color w:val="CCCCCC"/>
                <w:sz w:val="18"/>
                <w:szCs w:val="18"/>
              </w:rPr>
              <w:t xml:space="preserve">    |    Residual Risk: </w:t>
            </w:r>
            <w:r>
              <w:rPr>
                <w:rFonts w:ascii="Arial" w:cs="Arial" w:eastAsia="Arial" w:hAnsi="Arial"/>
                <w:b/>
                <w:bCs/>
                <w:i w:val="false"/>
                <w:iCs w:val="false"/>
                <w:color w:val="FFD966"/>
                <w:sz w:val="18"/>
                <w:szCs w:val="18"/>
              </w:rPr>
              <w:t xml:space="preserve">MEDIUM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Description</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A current or former RetailNova employee uses their legitimate system access to steal, leak or deliberately destroy sensitive data. With 1,200 staff and a BYOD policy that allows personal devices to connect to corporate systems, the conditions for insider misuse exist. Insider threats are particularly difficult to detect because the person is using valid credentials and performing actions that individually look normal — it is only the pattern of behaviour over time that reveals a problem. The most common scenarios include a departing employee copying customer data before their last day, an account never deactivated after someone left, or an employee leaking pricing data to a competitor.</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Assets at Risk</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Salesforce CRM — comprehensive customer records</w:t>
            </w:r>
          </w:p>
          <w:p>
            <w:pPr>
              <w:spacing w:after="40" w:before="40"/>
            </w:pPr>
            <w:r>
              <w:rPr>
                <w:rFonts w:ascii="Arial" w:cs="Arial" w:eastAsia="Arial" w:hAnsi="Arial"/>
                <w:b w:val="false"/>
                <w:bCs w:val="false"/>
                <w:i w:val="false"/>
                <w:iCs w:val="false"/>
                <w:color w:val="000000"/>
                <w:sz w:val="19"/>
                <w:szCs w:val="19"/>
              </w:rPr>
              <w:t xml:space="preserve">SAP ERP — employee payroll, HR records, financial data</w:t>
            </w:r>
          </w:p>
          <w:p>
            <w:pPr>
              <w:spacing w:after="40" w:before="40"/>
            </w:pPr>
            <w:r>
              <w:rPr>
                <w:rFonts w:ascii="Arial" w:cs="Arial" w:eastAsia="Arial" w:hAnsi="Arial"/>
                <w:b w:val="false"/>
                <w:bCs w:val="false"/>
                <w:i w:val="false"/>
                <w:iCs w:val="false"/>
                <w:color w:val="000000"/>
                <w:sz w:val="19"/>
                <w:szCs w:val="19"/>
              </w:rPr>
              <w:t xml:space="preserve">Customer loyalty program data — behavioural analytics and purchase patterns</w:t>
            </w:r>
          </w:p>
          <w:p>
            <w:pPr>
              <w:spacing w:after="40" w:before="40"/>
            </w:pPr>
            <w:r>
              <w:rPr>
                <w:rFonts w:ascii="Arial" w:cs="Arial" w:eastAsia="Arial" w:hAnsi="Arial"/>
                <w:b w:val="false"/>
                <w:bCs w:val="false"/>
                <w:i w:val="false"/>
                <w:iCs w:val="false"/>
                <w:color w:val="000000"/>
                <w:sz w:val="19"/>
                <w:szCs w:val="19"/>
              </w:rPr>
              <w:t xml:space="preserve">Internal business data — pricing strategy, supplier contracts, commercial terms</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Threat</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Disgruntled employee copying customer or business data to a personal device before resigning</w:t>
            </w:r>
          </w:p>
          <w:p>
            <w:pPr>
              <w:spacing w:after="40" w:before="40"/>
            </w:pPr>
            <w:r>
              <w:rPr>
                <w:rFonts w:ascii="Arial" w:cs="Arial" w:eastAsia="Arial" w:hAnsi="Arial"/>
                <w:b w:val="false"/>
                <w:bCs w:val="false"/>
                <w:i w:val="false"/>
                <w:iCs w:val="false"/>
                <w:color w:val="000000"/>
                <w:sz w:val="19"/>
                <w:szCs w:val="19"/>
              </w:rPr>
              <w:t xml:space="preserve">Former employee whose system access was not revoked after departure</w:t>
            </w:r>
          </w:p>
          <w:p>
            <w:pPr>
              <w:spacing w:after="40" w:before="40"/>
            </w:pPr>
            <w:r>
              <w:rPr>
                <w:rFonts w:ascii="Arial" w:cs="Arial" w:eastAsia="Arial" w:hAnsi="Arial"/>
                <w:b w:val="false"/>
                <w:bCs w:val="false"/>
                <w:i w:val="false"/>
                <w:iCs w:val="false"/>
                <w:color w:val="000000"/>
                <w:sz w:val="19"/>
                <w:szCs w:val="19"/>
              </w:rPr>
              <w:t xml:space="preserve">Accidental data exposure — employee emails a data file to their personal email to work from home</w:t>
            </w:r>
          </w:p>
          <w:p>
            <w:pPr>
              <w:spacing w:after="40" w:before="40"/>
            </w:pPr>
            <w:r>
              <w:rPr>
                <w:rFonts w:ascii="Arial" w:cs="Arial" w:eastAsia="Arial" w:hAnsi="Arial"/>
                <w:b w:val="false"/>
                <w:bCs w:val="false"/>
                <w:i w:val="false"/>
                <w:iCs w:val="false"/>
                <w:color w:val="000000"/>
                <w:sz w:val="19"/>
                <w:szCs w:val="19"/>
              </w:rPr>
              <w:t xml:space="preserve">Malicious insider deliberately leaking commercially sensitive data to a competitor or the press</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Vulnerability</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BYOD policy allows personal devices — data can easily be copied to a personal phone or USB drive</w:t>
            </w:r>
          </w:p>
          <w:p>
            <w:pPr>
              <w:spacing w:after="40" w:before="40"/>
            </w:pPr>
            <w:r>
              <w:rPr>
                <w:rFonts w:ascii="Arial" w:cs="Arial" w:eastAsia="Arial" w:hAnsi="Arial"/>
                <w:b w:val="false"/>
                <w:bCs w:val="false"/>
                <w:i w:val="false"/>
                <w:iCs w:val="false"/>
                <w:color w:val="000000"/>
                <w:sz w:val="19"/>
                <w:szCs w:val="19"/>
              </w:rPr>
              <w:t xml:space="preserve">No Data Loss Prevention (DLP) solution confirmed</w:t>
            </w:r>
          </w:p>
          <w:p>
            <w:pPr>
              <w:spacing w:after="40" w:before="40"/>
            </w:pPr>
            <w:r>
              <w:rPr>
                <w:rFonts w:ascii="Arial" w:cs="Arial" w:eastAsia="Arial" w:hAnsi="Arial"/>
                <w:b w:val="false"/>
                <w:bCs w:val="false"/>
                <w:i w:val="false"/>
                <w:iCs w:val="false"/>
                <w:color w:val="000000"/>
                <w:sz w:val="19"/>
                <w:szCs w:val="19"/>
              </w:rPr>
              <w:t xml:space="preserve">No User and Entity Behaviour Analytics (UEBA) in place to detect anomalous behaviour patterns</w:t>
            </w:r>
          </w:p>
          <w:p>
            <w:pPr>
              <w:spacing w:after="40" w:before="40"/>
            </w:pPr>
            <w:r>
              <w:rPr>
                <w:rFonts w:ascii="Arial" w:cs="Arial" w:eastAsia="Arial" w:hAnsi="Arial"/>
                <w:b w:val="false"/>
                <w:bCs w:val="false"/>
                <w:i w:val="false"/>
                <w:iCs w:val="false"/>
                <w:color w:val="000000"/>
                <w:sz w:val="19"/>
                <w:szCs w:val="19"/>
              </w:rPr>
              <w:t xml:space="preserve">Remote VPN access makes it harder to monitor what data is being downloaded from outside the office</w:t>
            </w:r>
          </w:p>
          <w:p>
            <w:pPr>
              <w:spacing w:after="40" w:before="40"/>
            </w:pPr>
            <w:r>
              <w:rPr>
                <w:rFonts w:ascii="Arial" w:cs="Arial" w:eastAsia="Arial" w:hAnsi="Arial"/>
                <w:b w:val="false"/>
                <w:bCs w:val="false"/>
                <w:i w:val="false"/>
                <w:iCs w:val="false"/>
                <w:color w:val="000000"/>
                <w:sz w:val="19"/>
                <w:szCs w:val="19"/>
              </w:rPr>
              <w:t xml:space="preserve">No documented offboarding procedure for access revocation on departure</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Existing Controls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Role-Based Access Control (RBAC) limits what each employee can access based on their job function</w:t>
            </w:r>
          </w:p>
          <w:p>
            <w:pPr>
              <w:spacing w:after="40" w:before="40"/>
            </w:pPr>
            <w:r>
              <w:rPr>
                <w:rFonts w:ascii="Arial" w:cs="Arial" w:eastAsia="Arial" w:hAnsi="Arial"/>
                <w:b w:val="false"/>
                <w:bCs w:val="false"/>
                <w:i w:val="false"/>
                <w:iCs w:val="false"/>
                <w:color w:val="000000"/>
                <w:sz w:val="19"/>
                <w:szCs w:val="19"/>
              </w:rPr>
              <w:t xml:space="preserve">VPN for remote access provides connection logging</w:t>
            </w:r>
          </w:p>
          <w:p>
            <w:pPr>
              <w:spacing w:after="40" w:before="40"/>
            </w:pPr>
            <w:r>
              <w:rPr>
                <w:rFonts w:ascii="Arial" w:cs="Arial" w:eastAsia="Arial" w:hAnsi="Arial"/>
                <w:b w:val="false"/>
                <w:bCs w:val="false"/>
                <w:i w:val="false"/>
                <w:iCs w:val="false"/>
                <w:color w:val="000000"/>
                <w:sz w:val="19"/>
                <w:szCs w:val="19"/>
              </w:rPr>
              <w:t xml:space="preserve">Basic security awareness training covers some data handling practices</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Inherent Risk Analysis — before any controls are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Inherent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Possible (3)</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Major (4)</w:t>
            </w:r>
          </w:p>
        </w:tc>
        <w:tc>
          <w:tcPr>
            <w:tcW w:type="dxa" w:w="301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Residual Risk Analysis — after existing controls are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Residual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Possible (3)</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Moderate (3)</w:t>
            </w:r>
          </w:p>
        </w:tc>
        <w:tc>
          <w:tcPr>
            <w:tcW w:type="dxa" w:w="3010"/>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Mitigations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Deploy Data Loss Prevention (DLP) tools that detect and block large data transfers to personal email, USB drives or unauthorised cloud storage</w:t>
            </w:r>
          </w:p>
          <w:p>
            <w:pPr>
              <w:spacing w:after="40" w:before="40"/>
            </w:pPr>
            <w:r>
              <w:rPr>
                <w:rFonts w:ascii="Arial" w:cs="Arial" w:eastAsia="Arial" w:hAnsi="Arial"/>
                <w:b w:val="false"/>
                <w:bCs w:val="false"/>
                <w:i w:val="false"/>
                <w:iCs w:val="false"/>
                <w:color w:val="000000"/>
                <w:sz w:val="19"/>
                <w:szCs w:val="19"/>
              </w:rPr>
              <w:t xml:space="preserve">Implement User and Entity Behaviour Analytics (UEBA) to establish a baseline of normal behaviour per user and flag anomalies automatically</w:t>
            </w:r>
          </w:p>
          <w:p>
            <w:pPr>
              <w:spacing w:after="40" w:before="40"/>
            </w:pPr>
            <w:r>
              <w:rPr>
                <w:rFonts w:ascii="Arial" w:cs="Arial" w:eastAsia="Arial" w:hAnsi="Arial"/>
                <w:b w:val="false"/>
                <w:bCs w:val="false"/>
                <w:i w:val="false"/>
                <w:iCs w:val="false"/>
                <w:color w:val="000000"/>
                <w:sz w:val="19"/>
                <w:szCs w:val="19"/>
              </w:rPr>
              <w:t xml:space="preserve">Create a formal offboarding checklist requiring all system access to be revoked on the employee's final working day — HR to confirm with IT Security</w:t>
            </w:r>
          </w:p>
          <w:p>
            <w:pPr>
              <w:spacing w:after="40" w:before="40"/>
            </w:pPr>
            <w:r>
              <w:rPr>
                <w:rFonts w:ascii="Arial" w:cs="Arial" w:eastAsia="Arial" w:hAnsi="Arial"/>
                <w:b w:val="false"/>
                <w:bCs w:val="false"/>
                <w:i w:val="false"/>
                <w:iCs w:val="false"/>
                <w:color w:val="000000"/>
                <w:sz w:val="19"/>
                <w:szCs w:val="19"/>
              </w:rPr>
              <w:t xml:space="preserve">Conduct quarterly access reviews — ensure every employee's access reflects their current role and remove access to systems they no longer need</w:t>
            </w:r>
          </w:p>
          <w:p>
            <w:pPr>
              <w:spacing w:after="40" w:before="40"/>
            </w:pPr>
            <w:r>
              <w:rPr>
                <w:rFonts w:ascii="Arial" w:cs="Arial" w:eastAsia="Arial" w:hAnsi="Arial"/>
                <w:b w:val="false"/>
                <w:bCs w:val="false"/>
                <w:i w:val="false"/>
                <w:iCs w:val="false"/>
                <w:color w:val="000000"/>
                <w:sz w:val="19"/>
                <w:szCs w:val="19"/>
              </w:rPr>
              <w:t xml:space="preserve">Restrict the ability to copy data to personal USB drives or personal cloud storage from corporate-managed devices</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Owner</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HR Manager + IT Security Manager</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Date Identified</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June 7, 2026</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Review Date</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December 7, 2026</w:t>
            </w:r>
          </w:p>
        </w:tc>
      </w:tr>
    </w:tbl>
    <w:p>
      <w:r>
        <w:br w:type="page"/>
      </w:r>
    </w:p>
    <w:p>
      <w:pPr>
        <w:pBdr>
          <w:bottom w:val="single" w:color="C00000" w:sz="16" w:space="1"/>
        </w:pBdr>
        <w:spacing w:after="0" w:before="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F3864"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4"/>
                <w:szCs w:val="24"/>
              </w:rPr>
              <w:t xml:space="preserve">Risk R-005  —  E-Commerce Platform Breach — Web Application Attack and Payment Data Exposure</w:t>
            </w:r>
          </w:p>
          <w:p>
            <w:pPr>
              <w:spacing w:after="0" w:before="0"/>
            </w:pPr>
            <w:r>
              <w:rPr>
                <w:rFonts w:ascii="Arial" w:cs="Arial" w:eastAsia="Arial" w:hAnsi="Arial"/>
                <w:b w:val="false"/>
                <w:bCs w:val="false"/>
                <w:i w:val="false"/>
                <w:iCs w:val="false"/>
                <w:color w:val="CCCCCC"/>
                <w:sz w:val="18"/>
                <w:szCs w:val="18"/>
              </w:rPr>
              <w:t xml:space="preserve">Inherent Risk: </w:t>
            </w:r>
            <w:r>
              <w:rPr>
                <w:rFonts w:ascii="Arial" w:cs="Arial" w:eastAsia="Arial" w:hAnsi="Arial"/>
                <w:b/>
                <w:bCs/>
                <w:i w:val="false"/>
                <w:iCs w:val="false"/>
                <w:color w:val="FF6B6B"/>
                <w:sz w:val="18"/>
                <w:szCs w:val="18"/>
              </w:rPr>
              <w:t xml:space="preserve">EXTREME</w:t>
            </w:r>
            <w:r>
              <w:rPr>
                <w:rFonts w:ascii="Arial" w:cs="Arial" w:eastAsia="Arial" w:hAnsi="Arial"/>
                <w:b w:val="false"/>
                <w:bCs w:val="false"/>
                <w:i w:val="false"/>
                <w:iCs w:val="false"/>
                <w:color w:val="CCCCCC"/>
                <w:sz w:val="18"/>
                <w:szCs w:val="18"/>
              </w:rPr>
              <w:t xml:space="preserve">    |    Residual Risk: </w:t>
            </w:r>
            <w:r>
              <w:rPr>
                <w:rFonts w:ascii="Arial" w:cs="Arial" w:eastAsia="Arial" w:hAnsi="Arial"/>
                <w:b/>
                <w:bCs/>
                <w:i w:val="false"/>
                <w:iCs w:val="false"/>
                <w:color w:val="FF9966"/>
                <w:sz w:val="18"/>
                <w:szCs w:val="18"/>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Description</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An attacker exploits a vulnerability in RetailNova's custom-built e-commerce website or mobile application to gain access to customer data, inject malicious code, or intercept payment details. Retail e-commerce platforms are among the most targeted applications on the internet because they process real money and store large volumes of personal data. A web skimmer attack — where a few lines of malicious JavaScript are injected into the checkout page — can silently capture every customer's card details for months before anyone notices. The platform being custom-built means it requires ongoing security testing to catch vulnerabilities that off-the-shelf solutions might address automatically through vendor patches.</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Assets at Risk</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E-commerce website and mobile application</w:t>
            </w:r>
          </w:p>
          <w:p>
            <w:pPr>
              <w:spacing w:after="40" w:before="40"/>
            </w:pPr>
            <w:r>
              <w:rPr>
                <w:rFonts w:ascii="Arial" w:cs="Arial" w:eastAsia="Arial" w:hAnsi="Arial"/>
                <w:b w:val="false"/>
                <w:bCs w:val="false"/>
                <w:i w:val="false"/>
                <w:iCs w:val="false"/>
                <w:color w:val="000000"/>
                <w:sz w:val="19"/>
                <w:szCs w:val="19"/>
              </w:rPr>
              <w:t xml:space="preserve">PayPal and Afterpay payment gateway integrations</w:t>
            </w:r>
          </w:p>
          <w:p>
            <w:pPr>
              <w:spacing w:after="40" w:before="40"/>
            </w:pPr>
            <w:r>
              <w:rPr>
                <w:rFonts w:ascii="Arial" w:cs="Arial" w:eastAsia="Arial" w:hAnsi="Arial"/>
                <w:b w:val="false"/>
                <w:bCs w:val="false"/>
                <w:i w:val="false"/>
                <w:iCs w:val="false"/>
                <w:color w:val="000000"/>
                <w:sz w:val="19"/>
                <w:szCs w:val="19"/>
              </w:rPr>
              <w:t xml:space="preserve">Customer personal data stored in the platform database</w:t>
            </w:r>
          </w:p>
          <w:p>
            <w:pPr>
              <w:spacing w:after="40" w:before="40"/>
            </w:pPr>
            <w:r>
              <w:rPr>
                <w:rFonts w:ascii="Arial" w:cs="Arial" w:eastAsia="Arial" w:hAnsi="Arial"/>
                <w:b w:val="false"/>
                <w:bCs w:val="false"/>
                <w:i w:val="false"/>
                <w:iCs w:val="false"/>
                <w:color w:val="000000"/>
                <w:sz w:val="19"/>
                <w:szCs w:val="19"/>
              </w:rPr>
              <w:t xml:space="preserve">Tokenized payment references</w:t>
            </w:r>
          </w:p>
          <w:p>
            <w:pPr>
              <w:spacing w:after="40" w:before="40"/>
            </w:pPr>
            <w:r>
              <w:rPr>
                <w:rFonts w:ascii="Arial" w:cs="Arial" w:eastAsia="Arial" w:hAnsi="Arial"/>
                <w:b w:val="false"/>
                <w:bCs w:val="false"/>
                <w:i w:val="false"/>
                <w:iCs w:val="false"/>
                <w:color w:val="000000"/>
                <w:sz w:val="19"/>
                <w:szCs w:val="19"/>
              </w:rPr>
              <w:t xml:space="preserve">AWS cloud hosting environment</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Threat</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Web application attacks — SQL injection to extract the customer database, XSS to inject malicious scripts</w:t>
            </w:r>
          </w:p>
          <w:p>
            <w:pPr>
              <w:spacing w:after="40" w:before="40"/>
            </w:pPr>
            <w:r>
              <w:rPr>
                <w:rFonts w:ascii="Arial" w:cs="Arial" w:eastAsia="Arial" w:hAnsi="Arial"/>
                <w:b w:val="false"/>
                <w:bCs w:val="false"/>
                <w:i w:val="false"/>
                <w:iCs w:val="false"/>
                <w:color w:val="000000"/>
                <w:sz w:val="19"/>
                <w:szCs w:val="19"/>
              </w:rPr>
              <w:t xml:space="preserve">Magecart / web skimmer attack — malicious JavaScript injected at checkout to capture payment details in real time</w:t>
            </w:r>
          </w:p>
          <w:p>
            <w:pPr>
              <w:spacing w:after="40" w:before="40"/>
            </w:pPr>
            <w:r>
              <w:rPr>
                <w:rFonts w:ascii="Arial" w:cs="Arial" w:eastAsia="Arial" w:hAnsi="Arial"/>
                <w:b w:val="false"/>
                <w:bCs w:val="false"/>
                <w:i w:val="false"/>
                <w:iCs w:val="false"/>
                <w:color w:val="000000"/>
                <w:sz w:val="19"/>
                <w:szCs w:val="19"/>
              </w:rPr>
              <w:t xml:space="preserve">API abuse — attacker exploits payment gateway integrations to manipulate transactions</w:t>
            </w:r>
          </w:p>
          <w:p>
            <w:pPr>
              <w:spacing w:after="40" w:before="40"/>
            </w:pPr>
            <w:r>
              <w:rPr>
                <w:rFonts w:ascii="Arial" w:cs="Arial" w:eastAsia="Arial" w:hAnsi="Arial"/>
                <w:b w:val="false"/>
                <w:bCs w:val="false"/>
                <w:i w:val="false"/>
                <w:iCs w:val="false"/>
                <w:color w:val="000000"/>
                <w:sz w:val="19"/>
                <w:szCs w:val="19"/>
              </w:rPr>
              <w:t xml:space="preserve">Exploitation of unpatched vulnerabilities in the custom platform or its dependencies</w:t>
            </w:r>
          </w:p>
          <w:p>
            <w:pPr>
              <w:spacing w:after="40" w:before="40"/>
            </w:pPr>
            <w:r>
              <w:rPr>
                <w:rFonts w:ascii="Arial" w:cs="Arial" w:eastAsia="Arial" w:hAnsi="Arial"/>
                <w:b w:val="false"/>
                <w:bCs w:val="false"/>
                <w:i w:val="false"/>
                <w:iCs w:val="false"/>
                <w:color w:val="000000"/>
                <w:sz w:val="19"/>
                <w:szCs w:val="19"/>
              </w:rPr>
              <w:t xml:space="preserve">AWS misconfiguration — a public S3 bucket or over-permissioned IAM role exposing backend data</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Vulnerability</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Custom-built platform requires continuous security testing — a single unpatched vulnerability can be enough</w:t>
            </w:r>
          </w:p>
          <w:p>
            <w:pPr>
              <w:spacing w:after="40" w:before="40"/>
            </w:pPr>
            <w:r>
              <w:rPr>
                <w:rFonts w:ascii="Arial" w:cs="Arial" w:eastAsia="Arial" w:hAnsi="Arial"/>
                <w:b w:val="false"/>
                <w:bCs w:val="false"/>
                <w:i w:val="false"/>
                <w:iCs w:val="false"/>
                <w:color w:val="000000"/>
                <w:sz w:val="19"/>
                <w:szCs w:val="19"/>
              </w:rPr>
              <w:t xml:space="preserve">No Web Application Firewall (WAF) confirmed — no intelligent filter inspecting incoming web traffic for attack patterns</w:t>
            </w:r>
          </w:p>
          <w:p>
            <w:pPr>
              <w:spacing w:after="40" w:before="40"/>
            </w:pPr>
            <w:r>
              <w:rPr>
                <w:rFonts w:ascii="Arial" w:cs="Arial" w:eastAsia="Arial" w:hAnsi="Arial"/>
                <w:b w:val="false"/>
                <w:bCs w:val="false"/>
                <w:i w:val="false"/>
                <w:iCs w:val="false"/>
                <w:color w:val="000000"/>
                <w:sz w:val="19"/>
                <w:szCs w:val="19"/>
              </w:rPr>
              <w:t xml:space="preserve">No penetration testing programme confirmed — vulnerabilities may exist that have never been found</w:t>
            </w:r>
          </w:p>
          <w:p>
            <w:pPr>
              <w:spacing w:after="40" w:before="40"/>
            </w:pPr>
            <w:r>
              <w:rPr>
                <w:rFonts w:ascii="Arial" w:cs="Arial" w:eastAsia="Arial" w:hAnsi="Arial"/>
                <w:b w:val="false"/>
                <w:bCs w:val="false"/>
                <w:i w:val="false"/>
                <w:iCs w:val="false"/>
                <w:color w:val="000000"/>
                <w:sz w:val="19"/>
                <w:szCs w:val="19"/>
              </w:rPr>
              <w:t xml:space="preserve">Third-party payment integrations introduce additional API attack surface</w:t>
            </w:r>
          </w:p>
          <w:p>
            <w:pPr>
              <w:spacing w:after="40" w:before="40"/>
            </w:pPr>
            <w:r>
              <w:rPr>
                <w:rFonts w:ascii="Arial" w:cs="Arial" w:eastAsia="Arial" w:hAnsi="Arial"/>
                <w:b w:val="false"/>
                <w:bCs w:val="false"/>
                <w:i w:val="false"/>
                <w:iCs w:val="false"/>
                <w:color w:val="000000"/>
                <w:sz w:val="19"/>
                <w:szCs w:val="19"/>
              </w:rPr>
              <w:t xml:space="preserve">OWASP Top 10 vulnerabilities are common in custom web applications without a secure development lifecycle</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Existing Controls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Tokenized payment details — RetailNova does not store raw card numbers</w:t>
            </w:r>
          </w:p>
          <w:p>
            <w:pPr>
              <w:spacing w:after="40" w:before="40"/>
            </w:pPr>
            <w:r>
              <w:rPr>
                <w:rFonts w:ascii="Arial" w:cs="Arial" w:eastAsia="Arial" w:hAnsi="Arial"/>
                <w:b w:val="false"/>
                <w:bCs w:val="false"/>
                <w:i w:val="false"/>
                <w:iCs w:val="false"/>
                <w:color w:val="000000"/>
                <w:sz w:val="19"/>
                <w:szCs w:val="19"/>
              </w:rPr>
              <w:t xml:space="preserve">PayPal and Afterpay operate their own fraud detection and security controls</w:t>
            </w:r>
          </w:p>
          <w:p>
            <w:pPr>
              <w:spacing w:after="40" w:before="40"/>
            </w:pPr>
            <w:r>
              <w:rPr>
                <w:rFonts w:ascii="Arial" w:cs="Arial" w:eastAsia="Arial" w:hAnsi="Arial"/>
                <w:b w:val="false"/>
                <w:bCs w:val="false"/>
                <w:i w:val="false"/>
                <w:iCs w:val="false"/>
                <w:color w:val="000000"/>
                <w:sz w:val="19"/>
                <w:szCs w:val="19"/>
              </w:rPr>
              <w:t xml:space="preserve">Network-level firewalls provide perimeter protection</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Inherent Risk Analysis — before any controls are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Inherent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Likely (4)</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Extreme (5)</w:t>
            </w:r>
          </w:p>
        </w:tc>
        <w:tc>
          <w:tcPr>
            <w:tcW w:type="dxa" w:w="3010"/>
            <w:tcBorders>
              <w:top w:val="single" w:color="777777" w:sz="1"/>
              <w:left w:val="single" w:color="777777" w:sz="1"/>
              <w:bottom w:val="single" w:color="777777" w:sz="1"/>
              <w:right w:val="single" w:color="777777" w:sz="1"/>
            </w:tcBorders>
            <w:shd w:fill="C0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w:t>
            </w:r>
          </w:p>
        </w:tc>
      </w:tr>
    </w:tbl>
    <w:p>
      <w:pPr>
        <w:pBdr>
          <w:top w:val="single" w:color="888888" w:sz="1"/>
          <w:bottom w:val="single" w:color="888888" w:sz="1"/>
        </w:pBdr>
        <w:shd w:fill="D9D9D9" w:val="clear"/>
        <w:spacing w:after="0" w:before="4"/>
      </w:pPr>
      <w:r>
        <w:rPr>
          <w:rFonts w:ascii="Arial" w:cs="Arial" w:eastAsia="Arial" w:hAnsi="Arial"/>
          <w:b/>
          <w:bCs/>
          <w:i w:val="false"/>
          <w:iCs w:val="false"/>
          <w:color w:val="000000"/>
          <w:sz w:val="20"/>
          <w:szCs w:val="20"/>
        </w:rPr>
        <w:t xml:space="preserve">  Residual Risk Analysis — after existing controls are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Likelihood</w:t>
            </w:r>
          </w:p>
        </w:tc>
        <w:tc>
          <w:tcPr>
            <w:tcW w:type="dxa" w:w="3008"/>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Consequence</w:t>
            </w:r>
          </w:p>
        </w:tc>
        <w:tc>
          <w:tcPr>
            <w:tcW w:type="dxa" w:w="301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Residual Risk Rating</w:t>
            </w:r>
          </w:p>
        </w:tc>
      </w:tr>
      <w:tr>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Possible (3)</w:t>
            </w:r>
          </w:p>
        </w:tc>
        <w:tc>
          <w:tcPr>
            <w:tcW w:type="dxa" w:w="3008"/>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Major (4)</w:t>
            </w:r>
          </w:p>
        </w:tc>
        <w:tc>
          <w:tcPr>
            <w:tcW w:type="dxa" w:w="301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Mitigations</w:t>
            </w:r>
          </w:p>
        </w:tc>
        <w:tc>
          <w:tcPr>
            <w:tcW w:type="dxa" w:w="7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19"/>
                <w:szCs w:val="19"/>
              </w:rPr>
              <w:t xml:space="preserve">Deploy a Web Application Firewall (WAF) in front of the e-commerce platform to detect and block SQL injection, XSS and other common web attacks</w:t>
            </w:r>
          </w:p>
          <w:p>
            <w:pPr>
              <w:spacing w:after="40" w:before="40"/>
            </w:pPr>
            <w:r>
              <w:rPr>
                <w:rFonts w:ascii="Arial" w:cs="Arial" w:eastAsia="Arial" w:hAnsi="Arial"/>
                <w:b w:val="false"/>
                <w:bCs w:val="false"/>
                <w:i w:val="false"/>
                <w:iCs w:val="false"/>
                <w:color w:val="000000"/>
                <w:sz w:val="19"/>
                <w:szCs w:val="19"/>
              </w:rPr>
              <w:t xml:space="preserve">Commission annual penetration testing of the web application and mobile app by an independent security firm — remediate all critical and high findings</w:t>
            </w:r>
          </w:p>
          <w:p>
            <w:pPr>
              <w:spacing w:after="40" w:before="40"/>
            </w:pPr>
            <w:r>
              <w:rPr>
                <w:rFonts w:ascii="Arial" w:cs="Arial" w:eastAsia="Arial" w:hAnsi="Arial"/>
                <w:b w:val="false"/>
                <w:bCs w:val="false"/>
                <w:i w:val="false"/>
                <w:iCs w:val="false"/>
                <w:color w:val="000000"/>
                <w:sz w:val="19"/>
                <w:szCs w:val="19"/>
              </w:rPr>
              <w:t xml:space="preserve">Implement Content Security Policy (CSP) headers and Subresource Integrity (SRI) checks to prevent malicious script injection at checkout</w:t>
            </w:r>
          </w:p>
          <w:p>
            <w:pPr>
              <w:spacing w:after="40" w:before="40"/>
            </w:pPr>
            <w:r>
              <w:rPr>
                <w:rFonts w:ascii="Arial" w:cs="Arial" w:eastAsia="Arial" w:hAnsi="Arial"/>
                <w:b w:val="false"/>
                <w:bCs w:val="false"/>
                <w:i w:val="false"/>
                <w:iCs w:val="false"/>
                <w:color w:val="000000"/>
                <w:sz w:val="19"/>
                <w:szCs w:val="19"/>
              </w:rPr>
              <w:t xml:space="preserve">Ensure the platform achieves and maintains PCI DSS compliance — particularly around cardholder data handling</w:t>
            </w:r>
          </w:p>
          <w:p>
            <w:pPr>
              <w:spacing w:after="40" w:before="40"/>
            </w:pPr>
            <w:r>
              <w:rPr>
                <w:rFonts w:ascii="Arial" w:cs="Arial" w:eastAsia="Arial" w:hAnsi="Arial"/>
                <w:b w:val="false"/>
                <w:bCs w:val="false"/>
                <w:i w:val="false"/>
                <w:iCs w:val="false"/>
                <w:color w:val="000000"/>
                <w:sz w:val="19"/>
                <w:szCs w:val="19"/>
              </w:rPr>
              <w:t xml:space="preserve">Introduce a Secure Development Lifecycle — security requirements and code review as mandatory parts of every development sprint, using OWASP Top 10 as a baseline checklist</w:t>
            </w:r>
          </w:p>
          <w:p>
            <w:pPr>
              <w:spacing w:after="40" w:before="40"/>
            </w:pPr>
            <w:r>
              <w:rPr>
                <w:rFonts w:ascii="Arial" w:cs="Arial" w:eastAsia="Arial" w:hAnsi="Arial"/>
                <w:b w:val="false"/>
                <w:bCs w:val="false"/>
                <w:i w:val="false"/>
                <w:iCs w:val="false"/>
                <w:color w:val="000000"/>
                <w:sz w:val="19"/>
                <w:szCs w:val="19"/>
              </w:rPr>
              <w:t xml:space="preserve">Enable AWS GuardDuty and AWS Security Hub for continuous monitoring — alert on suspicious activity, public-facing misconfigurations and IAM anomalies</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Owner</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Head of Technology / Development Team Lead</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Date Identified</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June 7, 2026</w:t>
            </w:r>
          </w:p>
        </w:tc>
      </w:tr>
      <w:tr>
        <w:tc>
          <w:tcPr>
            <w:tcW w:type="dxa" w:w="1500"/>
            <w:gridSpan w:val="1"/>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Review Date</w:t>
            </w:r>
          </w:p>
        </w:tc>
        <w:tc>
          <w:tcPr>
            <w:tcW w:type="dxa" w:w="7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December 7, 2026</w:t>
            </w:r>
          </w:p>
        </w:tc>
      </w:tr>
    </w:tbl>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000000"/>
          <w:sz w:val="20"/>
          <w:szCs w:val="20"/>
        </w:rPr>
        <w:t xml:space="preserve"/>
      </w:r>
    </w:p>
    <w:p>
      <w:pPr>
        <w:pBdr>
          <w:bottom w:val="single" w:color="1F3864" w:sz="8" w:space="1"/>
        </w:pBdr>
        <w:spacing w:after="100" w:before="10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i w:val="false"/>
          <w:iCs w:val="false"/>
          <w:color w:val="1F3864"/>
          <w:sz w:val="24"/>
          <w:szCs w:val="24"/>
        </w:rPr>
        <w:t xml:space="preserve">Risk Priority Summary</w:t>
      </w:r>
    </w:p>
    <w:p>
      <w:pPr>
        <w:spacing w:after="40" w:before="40"/>
      </w:pPr>
      <w:r>
        <w:rPr>
          <w:rFonts w:ascii="Arial" w:cs="Arial" w:eastAsia="Arial" w:hAnsi="Arial"/>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350"/>
        <w:gridCol w:w="1350"/>
        <w:gridCol w:w="1900"/>
        <w:gridCol w:w="1726"/>
      </w:tblGrid>
      <w:tr>
        <w:tc>
          <w:tcPr>
            <w:tcW w:type="dxa" w:w="70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ID</w:t>
            </w:r>
          </w:p>
        </w:tc>
        <w:tc>
          <w:tcPr>
            <w:tcW w:type="dxa" w:w="200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Risk Title</w:t>
            </w:r>
          </w:p>
        </w:tc>
        <w:tc>
          <w:tcPr>
            <w:tcW w:type="dxa" w:w="135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Inherent</w:t>
            </w:r>
          </w:p>
        </w:tc>
        <w:tc>
          <w:tcPr>
            <w:tcW w:type="dxa" w:w="135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Residual</w:t>
            </w:r>
          </w:p>
        </w:tc>
        <w:tc>
          <w:tcPr>
            <w:tcW w:type="dxa" w:w="1900"/>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Immediate Action</w:t>
            </w:r>
          </w:p>
        </w:tc>
        <w:tc>
          <w:tcPr>
            <w:tcW w:type="dxa" w:w="1726"/>
            <w:tcBorders>
              <w:top w:val="single" w:color="777777" w:sz="1"/>
              <w:left w:val="single" w:color="777777" w:sz="1"/>
              <w:bottom w:val="single" w:color="777777" w:sz="1"/>
              <w:right w:val="single" w:color="777777"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Risk Owner</w:t>
            </w:r>
          </w:p>
        </w:tc>
      </w:tr>
      <w:tr>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R-001</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Phishing / Credential Compromise</w:t>
            </w:r>
          </w:p>
        </w:tc>
        <w:tc>
          <w:tcPr>
            <w:tcW w:type="dxa" w:w="1350"/>
            <w:tcBorders>
              <w:top w:val="single" w:color="777777" w:sz="1"/>
              <w:left w:val="single" w:color="777777" w:sz="1"/>
              <w:bottom w:val="single" w:color="777777" w:sz="1"/>
              <w:right w:val="single" w:color="777777" w:sz="1"/>
            </w:tcBorders>
            <w:shd w:fill="C0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w:t>
            </w:r>
          </w:p>
        </w:tc>
        <w:tc>
          <w:tcPr>
            <w:tcW w:type="dxa" w:w="135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MFA + anti-phishing gateway</w:t>
            </w:r>
          </w:p>
        </w:tc>
        <w:tc>
          <w:tcPr>
            <w:tcW w:type="dxa" w:w="17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IT Security Manager</w:t>
            </w:r>
          </w:p>
        </w:tc>
      </w:tr>
      <w:tr>
        <w:tc>
          <w:tcPr>
            <w:tcW w:type="dxa" w:w="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R-002</w:t>
            </w:r>
          </w:p>
        </w:tc>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Ransomware Attack</w:t>
            </w:r>
          </w:p>
        </w:tc>
        <w:tc>
          <w:tcPr>
            <w:tcW w:type="dxa" w:w="1350"/>
            <w:tcBorders>
              <w:top w:val="single" w:color="777777" w:sz="1"/>
              <w:left w:val="single" w:color="777777" w:sz="1"/>
              <w:bottom w:val="single" w:color="777777" w:sz="1"/>
              <w:right w:val="single" w:color="777777" w:sz="1"/>
            </w:tcBorders>
            <w:shd w:fill="C0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w:t>
            </w:r>
          </w:p>
        </w:tc>
        <w:tc>
          <w:tcPr>
            <w:tcW w:type="dxa" w:w="135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9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EDR + offline backup strategy</w:t>
            </w:r>
          </w:p>
        </w:tc>
        <w:tc>
          <w:tcPr>
            <w:tcW w:type="dxa" w:w="1726"/>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CISO</w:t>
            </w:r>
          </w:p>
        </w:tc>
      </w:tr>
      <w:tr>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R-003</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Third-Party Vendor Breach</w:t>
            </w:r>
          </w:p>
        </w:tc>
        <w:tc>
          <w:tcPr>
            <w:tcW w:type="dxa" w:w="135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35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TPRM programme + vendor contracts</w:t>
            </w:r>
          </w:p>
        </w:tc>
        <w:tc>
          <w:tcPr>
            <w:tcW w:type="dxa" w:w="17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Procurement + IT Security</w:t>
            </w:r>
          </w:p>
        </w:tc>
      </w:tr>
      <w:tr>
        <w:tc>
          <w:tcPr>
            <w:tcW w:type="dxa" w:w="7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R-004</w:t>
            </w:r>
          </w:p>
        </w:tc>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Insider Threat</w:t>
            </w:r>
          </w:p>
        </w:tc>
        <w:tc>
          <w:tcPr>
            <w:tcW w:type="dxa" w:w="135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350"/>
            <w:tcBorders>
              <w:top w:val="single" w:color="777777" w:sz="1"/>
              <w:left w:val="single" w:color="777777" w:sz="1"/>
              <w:bottom w:val="single" w:color="777777" w:sz="1"/>
              <w:right w:val="single" w:color="777777" w:sz="1"/>
            </w:tcBorders>
            <w:shd w:fill="FFD96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MEDIUM</w:t>
            </w:r>
          </w:p>
        </w:tc>
        <w:tc>
          <w:tcPr>
            <w:tcW w:type="dxa" w:w="19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DLP + offboarding procedure</w:t>
            </w:r>
          </w:p>
        </w:tc>
        <w:tc>
          <w:tcPr>
            <w:tcW w:type="dxa" w:w="1726"/>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HR + IT Security</w:t>
            </w:r>
          </w:p>
        </w:tc>
      </w:tr>
      <w:tr>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R-005</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E-Commerce Platform Breach</w:t>
            </w:r>
          </w:p>
        </w:tc>
        <w:tc>
          <w:tcPr>
            <w:tcW w:type="dxa" w:w="1350"/>
            <w:tcBorders>
              <w:top w:val="single" w:color="777777" w:sz="1"/>
              <w:left w:val="single" w:color="777777" w:sz="1"/>
              <w:bottom w:val="single" w:color="777777" w:sz="1"/>
              <w:right w:val="single" w:color="777777" w:sz="1"/>
            </w:tcBorders>
            <w:shd w:fill="C000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EXTREME</w:t>
            </w:r>
          </w:p>
        </w:tc>
        <w:tc>
          <w:tcPr>
            <w:tcW w:type="dxa" w:w="1350"/>
            <w:tcBorders>
              <w:top w:val="single" w:color="777777" w:sz="1"/>
              <w:left w:val="single" w:color="777777" w:sz="1"/>
              <w:bottom w:val="single" w:color="777777" w:sz="1"/>
              <w:right w:val="single" w:color="777777" w:sz="1"/>
            </w:tcBorders>
            <w:shd w:fill="ED7D31"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HIGH</w:t>
            </w:r>
          </w:p>
        </w:tc>
        <w:tc>
          <w:tcPr>
            <w:tcW w:type="dxa" w:w="1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WAF + annual penetration testing</w:t>
            </w:r>
          </w:p>
        </w:tc>
        <w:tc>
          <w:tcPr>
            <w:tcW w:type="dxa" w:w="17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Head of Technology</w:t>
            </w:r>
          </w:p>
        </w:tc>
      </w:tr>
    </w:tbl>
    <w:p>
      <w:pPr>
        <w:spacing w:after="40" w:before="4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iCs/>
          <w:color w:val="666666"/>
          <w:sz w:val="17"/>
          <w:szCs w:val="17"/>
        </w:rPr>
        <w:t xml:space="preserve">This assessment was prepared using the Datacom Threat and Vulnerability Identification Template in accordance with NIST CSF 2.0. Likelihood ratings are informed by RetailNova's disclosed incident history (2023-2025) and current threat intelligence for the Australian retail sector.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2026-06-07T14:15:06.044Z</dcterms:created>
  <dcterms:modified xsi:type="dcterms:W3CDTF">2026-06-07T14:15:06.045Z</dcterms:modified>
</cp:coreProperties>
</file>

<file path=docProps/custom.xml><?xml version="1.0" encoding="utf-8"?>
<Properties xmlns="http://schemas.openxmlformats.org/officeDocument/2006/custom-properties" xmlns:vt="http://schemas.openxmlformats.org/officeDocument/2006/docPropsVTypes"/>
</file>