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AEF83">
      <w:pPr>
        <w:spacing w:before="640" w:after="160"/>
        <w:jc w:val="center"/>
        <w:rPr>
          <w:rFonts w:hint="default" w:ascii="Arial" w:hAnsi="Arial" w:cs="Arial"/>
          <w:b/>
          <w:bCs w:val="0"/>
          <w:color w:val="auto"/>
          <w:sz w:val="24"/>
          <w:szCs w:val="24"/>
        </w:rPr>
      </w:pPr>
      <w:bookmarkStart w:id="2" w:name="_GoBack"/>
      <w:bookmarkEnd w:id="2"/>
      <w:r>
        <w:rPr>
          <w:rFonts w:hint="default" w:ascii="Arial" w:hAnsi="Arial" w:cs="Arial"/>
          <w:b/>
          <w:bCs w:val="0"/>
          <w:color w:val="auto"/>
          <w:sz w:val="24"/>
          <w:szCs w:val="24"/>
        </w:rPr>
        <w:t>EDMAH</w:t>
      </w:r>
    </w:p>
    <w:p w14:paraId="36C4087C">
      <w:pPr>
        <w:spacing w:after="160"/>
        <w:jc w:val="center"/>
        <w:rPr>
          <w:color w:val="auto"/>
        </w:rPr>
      </w:pPr>
      <w:r>
        <w:rPr>
          <w:rFonts w:ascii="Calibri" w:hAnsi="Calibri"/>
          <w:b/>
          <w:color w:val="auto"/>
          <w:sz w:val="56"/>
        </w:rPr>
        <w:t>Fonctionnalités à réaliser</w:t>
      </w:r>
    </w:p>
    <w:p w14:paraId="5CA34A5A">
      <w:pPr>
        <w:spacing w:after="400"/>
        <w:rPr>
          <w:color w:val="auto"/>
        </w:rPr>
      </w:pPr>
      <w:r>
        <w:rPr>
          <w:rFonts w:ascii="Calibri" w:hAnsi="Calibri"/>
          <w:b w:val="0"/>
          <w:color w:val="auto"/>
          <w:sz w:val="26"/>
        </w:rPr>
        <w:t>Liste simple et priorisée, du plus important au moins important</w:t>
      </w:r>
    </w:p>
    <w:p w14:paraId="59C5B008">
      <w:pPr>
        <w:spacing w:after="280"/>
        <w:rPr>
          <w:color w:val="auto"/>
        </w:rPr>
      </w:pPr>
      <w:r>
        <w:rPr>
          <w:rFonts w:ascii="Calibri" w:hAnsi="Calibri"/>
          <w:b/>
          <w:color w:val="auto"/>
          <w:sz w:val="22"/>
        </w:rPr>
        <w:t xml:space="preserve">Lecture des priorités : </w:t>
      </w:r>
      <w:r>
        <w:rPr>
          <w:rFonts w:ascii="Calibri" w:hAnsi="Calibri"/>
          <w:b w:val="0"/>
          <w:color w:val="auto"/>
          <w:sz w:val="22"/>
        </w:rPr>
        <w:t>P0 = indispensable pour démarrer, P1 = important pour une bonne première version, P2 = à planifier après le lancement.</w:t>
      </w:r>
    </w:p>
    <w:p w14:paraId="2DBCBC7C">
      <w:pPr>
        <w:pStyle w:val="2"/>
        <w:rPr>
          <w:color w:val="auto"/>
        </w:rPr>
      </w:pPr>
      <w:r>
        <w:rPr>
          <w:color w:val="auto"/>
        </w:rPr>
        <w:t>Fonctionnalités classées par priorité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700"/>
        <w:gridCol w:w="6120"/>
      </w:tblGrid>
      <w:tr w14:paraId="4AAC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3EF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N°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135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Fonctionnalité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1B4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Commentaire simple</w:t>
            </w:r>
          </w:p>
        </w:tc>
      </w:tr>
      <w:tr w14:paraId="2F8BA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3917E01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</w:t>
            </w:r>
          </w:p>
        </w:tc>
        <w:tc>
          <w:tcPr>
            <w:tcW w:w="2700" w:type="dxa"/>
            <w:vAlign w:val="top"/>
          </w:tcPr>
          <w:p w14:paraId="05D97D51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Inscription aux formations</w:t>
            </w:r>
          </w:p>
          <w:p w14:paraId="08BB943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2412F1D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Permettre à un candidat de remplir son dossier, choisir une formation et envoyer sa demande.</w:t>
            </w:r>
          </w:p>
        </w:tc>
      </w:tr>
      <w:tr w14:paraId="510A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438A648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2</w:t>
            </w:r>
          </w:p>
        </w:tc>
        <w:tc>
          <w:tcPr>
            <w:tcW w:w="2700" w:type="dxa"/>
            <w:vAlign w:val="top"/>
          </w:tcPr>
          <w:p w14:paraId="2E61939D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Gestion des dossiers d’inscription</w:t>
            </w:r>
          </w:p>
          <w:p w14:paraId="18F7D74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4B18011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Permettre à l’administration de consulter les dossiers, demander un complément, accepter ou refuser une demande.</w:t>
            </w:r>
          </w:p>
        </w:tc>
      </w:tr>
      <w:tr w14:paraId="13DA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07C79621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3</w:t>
            </w:r>
          </w:p>
        </w:tc>
        <w:tc>
          <w:tcPr>
            <w:tcW w:w="2700" w:type="dxa"/>
            <w:vAlign w:val="top"/>
          </w:tcPr>
          <w:p w14:paraId="14938882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Comptes utilisateurs et connexion</w:t>
            </w:r>
          </w:p>
          <w:p w14:paraId="06D9067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540A0D8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Donner à chaque candidat, apprenant, formateur et administrateur un accès sécurisé adapté à son rôle.</w:t>
            </w:r>
          </w:p>
        </w:tc>
      </w:tr>
      <w:tr w14:paraId="470A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24232EF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4</w:t>
            </w:r>
          </w:p>
        </w:tc>
        <w:tc>
          <w:tcPr>
            <w:tcW w:w="2700" w:type="dxa"/>
            <w:vAlign w:val="top"/>
          </w:tcPr>
          <w:p w14:paraId="776B2C8B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Gestion des formations</w:t>
            </w:r>
          </w:p>
          <w:p w14:paraId="45DE233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79E2728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Créer, modifier, publier ou retirer les formations, leurs prix, durées, sessions et modalités.</w:t>
            </w:r>
          </w:p>
        </w:tc>
      </w:tr>
      <w:tr w14:paraId="1B013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499FE66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5</w:t>
            </w:r>
          </w:p>
        </w:tc>
        <w:tc>
          <w:tcPr>
            <w:tcW w:w="2700" w:type="dxa"/>
            <w:vAlign w:val="top"/>
          </w:tcPr>
          <w:p w14:paraId="1F63AF44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Dépôt sécurisé des documents</w:t>
            </w:r>
          </w:p>
          <w:p w14:paraId="3179F3B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6014A4E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Recevoir les pièces demandées (photo, état civil, PDF) avec contrôle de format et de taille.</w:t>
            </w:r>
          </w:p>
        </w:tc>
      </w:tr>
      <w:tr w14:paraId="0F9B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1829BA0D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6</w:t>
            </w:r>
          </w:p>
        </w:tc>
        <w:tc>
          <w:tcPr>
            <w:tcW w:w="2700" w:type="dxa"/>
            <w:vAlign w:val="top"/>
          </w:tcPr>
          <w:p w14:paraId="6F48E75F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Notifications par email</w:t>
            </w:r>
          </w:p>
          <w:p w14:paraId="49B76E2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36A3E21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Confirmer une inscription, informer sur l’état du dossier et envoyer les consignes utiles.</w:t>
            </w:r>
          </w:p>
        </w:tc>
      </w:tr>
      <w:tr w14:paraId="6A5D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6F2A03D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7</w:t>
            </w:r>
          </w:p>
        </w:tc>
        <w:tc>
          <w:tcPr>
            <w:tcW w:w="2700" w:type="dxa"/>
            <w:vAlign w:val="top"/>
          </w:tcPr>
          <w:p w14:paraId="6A0E3200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Formulaire de contact</w:t>
            </w:r>
          </w:p>
          <w:p w14:paraId="668F6C3D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6A714B5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Enregistrer les messages reçus et permettre à l’équipe EDMAH de les traiter.</w:t>
            </w:r>
          </w:p>
        </w:tc>
      </w:tr>
      <w:tr w14:paraId="0466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FF4E5"/>
            <w:vAlign w:val="top"/>
          </w:tcPr>
          <w:p w14:paraId="41CCF14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8</w:t>
            </w:r>
          </w:p>
        </w:tc>
        <w:tc>
          <w:tcPr>
            <w:tcW w:w="2700" w:type="dxa"/>
            <w:vAlign w:val="top"/>
          </w:tcPr>
          <w:p w14:paraId="1779AB2E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Newsletter</w:t>
            </w:r>
          </w:p>
          <w:p w14:paraId="716D644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P0 - Indispensable</w:t>
            </w:r>
          </w:p>
        </w:tc>
        <w:tc>
          <w:tcPr>
            <w:tcW w:w="6120" w:type="dxa"/>
            <w:vAlign w:val="top"/>
          </w:tcPr>
          <w:p w14:paraId="1FD26D8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Collecter les abonnements avec consentement et permettre l’envoi d’informations aux abonnés.</w:t>
            </w:r>
          </w:p>
        </w:tc>
      </w:tr>
      <w:tr w14:paraId="5DB6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5FC0974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9</w:t>
            </w:r>
          </w:p>
        </w:tc>
        <w:tc>
          <w:tcPr>
            <w:tcW w:w="2700" w:type="dxa"/>
            <w:vAlign w:val="top"/>
          </w:tcPr>
          <w:p w14:paraId="01004877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Espace apprenant</w:t>
            </w:r>
          </w:p>
          <w:p w14:paraId="77E2921D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644B1EB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Donner aux apprenants inscrits un tableau de bord avec leurs formations et leur progression.</w:t>
            </w:r>
          </w:p>
        </w:tc>
      </w:tr>
      <w:tr w14:paraId="709C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08408FC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10</w:t>
            </w:r>
          </w:p>
        </w:tc>
        <w:tc>
          <w:tcPr>
            <w:tcW w:w="2700" w:type="dxa"/>
            <w:vAlign w:val="top"/>
          </w:tcPr>
          <w:p w14:paraId="26922355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Cours organisés par modules</w:t>
            </w:r>
          </w:p>
          <w:p w14:paraId="663A2E5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22C74D7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Afficher les leçons dans le bon ordre et débloquer les modules selon les règles de formation.</w:t>
            </w:r>
          </w:p>
        </w:tc>
      </w:tr>
      <w:tr w14:paraId="0507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6F19F42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11</w:t>
            </w:r>
          </w:p>
        </w:tc>
        <w:tc>
          <w:tcPr>
            <w:tcW w:w="2700" w:type="dxa"/>
            <w:vAlign w:val="top"/>
          </w:tcPr>
          <w:p w14:paraId="22FE2EB0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Quiz et évaluations</w:t>
            </w:r>
          </w:p>
          <w:p w14:paraId="65E8062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7D1FF64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Enregistrer les réponses, calculer le score et valider un module lorsque le seuil demandé est atteint.</w:t>
            </w:r>
          </w:p>
        </w:tc>
      </w:tr>
      <w:tr w14:paraId="6D07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791C2431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12</w:t>
            </w:r>
          </w:p>
        </w:tc>
        <w:tc>
          <w:tcPr>
            <w:tcW w:w="2700" w:type="dxa"/>
            <w:vAlign w:val="top"/>
          </w:tcPr>
          <w:p w14:paraId="1A466D21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Ressources téléchargeables</w:t>
            </w:r>
          </w:p>
          <w:p w14:paraId="5109BBB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1375484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Mettre à disposition les supports de cours uniquement aux apprenants autorisés.</w:t>
            </w:r>
          </w:p>
        </w:tc>
      </w:tr>
      <w:tr w14:paraId="74F9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2317F76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13</w:t>
            </w:r>
          </w:p>
        </w:tc>
        <w:tc>
          <w:tcPr>
            <w:tcW w:w="2700" w:type="dxa"/>
            <w:vAlign w:val="top"/>
          </w:tcPr>
          <w:p w14:paraId="6F56C4D6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Notes personnelles</w:t>
            </w:r>
          </w:p>
          <w:p w14:paraId="36B912F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59B65C9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Permettre à chaque apprenant d’écrire, sauvegarder et exporter ses notes de cours.</w:t>
            </w:r>
          </w:p>
        </w:tc>
      </w:tr>
      <w:tr w14:paraId="46D07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277E1C9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14</w:t>
            </w:r>
          </w:p>
        </w:tc>
        <w:tc>
          <w:tcPr>
            <w:tcW w:w="2700" w:type="dxa"/>
            <w:vAlign w:val="top"/>
          </w:tcPr>
          <w:p w14:paraId="50914E3D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Catalogue et filtres de formations</w:t>
            </w:r>
          </w:p>
          <w:p w14:paraId="65A1767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4D3AAC1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Afficher les formations à partir de vraies données, avec recherche et filtres par catégorie.</w:t>
            </w:r>
          </w:p>
        </w:tc>
      </w:tr>
      <w:tr w14:paraId="4B98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0E66C391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15</w:t>
            </w:r>
          </w:p>
        </w:tc>
        <w:tc>
          <w:tcPr>
            <w:tcW w:w="2700" w:type="dxa"/>
            <w:vAlign w:val="top"/>
          </w:tcPr>
          <w:p w14:paraId="51A518B3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Gestion des événements</w:t>
            </w:r>
          </w:p>
          <w:p w14:paraId="768D01E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2AD99AEA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Publier les événements, gérer les places et permettre une inscription spécifique à chaque événement.</w:t>
            </w:r>
          </w:p>
        </w:tc>
      </w:tr>
      <w:tr w14:paraId="30375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7FC"/>
            <w:vAlign w:val="top"/>
          </w:tcPr>
          <w:p w14:paraId="3D02017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16</w:t>
            </w:r>
          </w:p>
        </w:tc>
        <w:tc>
          <w:tcPr>
            <w:tcW w:w="2700" w:type="dxa"/>
            <w:vAlign w:val="top"/>
          </w:tcPr>
          <w:p w14:paraId="240F0790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Blog, galerie et contenus publics</w:t>
            </w:r>
          </w:p>
          <w:p w14:paraId="172827B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P1 - Important</w:t>
            </w:r>
          </w:p>
        </w:tc>
        <w:tc>
          <w:tcPr>
            <w:tcW w:w="6120" w:type="dxa"/>
            <w:vAlign w:val="top"/>
          </w:tcPr>
          <w:p w14:paraId="10E811D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Permettre à l’équipe de publier des articles, photos et vidéos sans modifier le code du site.</w:t>
            </w:r>
          </w:p>
        </w:tc>
      </w:tr>
      <w:tr w14:paraId="236D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4F7"/>
            <w:vAlign w:val="top"/>
          </w:tcPr>
          <w:p w14:paraId="3A6AB71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17</w:t>
            </w:r>
          </w:p>
        </w:tc>
        <w:tc>
          <w:tcPr>
            <w:tcW w:w="2700" w:type="dxa"/>
            <w:vAlign w:val="top"/>
          </w:tcPr>
          <w:p w14:paraId="4F25C66B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Paiement des formations et événements</w:t>
            </w:r>
          </w:p>
          <w:p w14:paraId="1F4D5EA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P2 - À planifier ensuite</w:t>
            </w:r>
          </w:p>
        </w:tc>
        <w:tc>
          <w:tcPr>
            <w:tcW w:w="6120" w:type="dxa"/>
            <w:vAlign w:val="top"/>
          </w:tcPr>
          <w:p w14:paraId="00467A9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Accepter et suivre les paiements selon la solution choisie : Mobile Money, carte, virement ou paiement manuel.</w:t>
            </w:r>
          </w:p>
        </w:tc>
      </w:tr>
      <w:tr w14:paraId="1806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4F7"/>
            <w:vAlign w:val="top"/>
          </w:tcPr>
          <w:p w14:paraId="2435E30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18</w:t>
            </w:r>
          </w:p>
        </w:tc>
        <w:tc>
          <w:tcPr>
            <w:tcW w:w="2700" w:type="dxa"/>
            <w:vAlign w:val="top"/>
          </w:tcPr>
          <w:p w14:paraId="1A74BC9B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Forum de discussion</w:t>
            </w:r>
          </w:p>
          <w:p w14:paraId="1983773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P2 - À planifier ensuite</w:t>
            </w:r>
          </w:p>
        </w:tc>
        <w:tc>
          <w:tcPr>
            <w:tcW w:w="6120" w:type="dxa"/>
            <w:vAlign w:val="top"/>
          </w:tcPr>
          <w:p w14:paraId="7DF10FAA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Permettre les échanges entre apprenants, avec modération par l’équipe EDMAH.</w:t>
            </w:r>
          </w:p>
        </w:tc>
      </w:tr>
      <w:tr w14:paraId="0EC0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4F7"/>
            <w:vAlign w:val="top"/>
          </w:tcPr>
          <w:p w14:paraId="27121C3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19</w:t>
            </w:r>
          </w:p>
        </w:tc>
        <w:tc>
          <w:tcPr>
            <w:tcW w:w="2700" w:type="dxa"/>
            <w:vAlign w:val="top"/>
          </w:tcPr>
          <w:p w14:paraId="19B15FF2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Certificats</w:t>
            </w:r>
          </w:p>
          <w:p w14:paraId="041FE15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P2 - À planifier ensuite</w:t>
            </w:r>
          </w:p>
        </w:tc>
        <w:tc>
          <w:tcPr>
            <w:tcW w:w="6120" w:type="dxa"/>
            <w:vAlign w:val="top"/>
          </w:tcPr>
          <w:p w14:paraId="6F79293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Générer un certificat après validation des conditions de formation et proposer une vérification du certificat.</w:t>
            </w:r>
          </w:p>
        </w:tc>
      </w:tr>
      <w:tr w14:paraId="0745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" w:type="dxa"/>
            <w:shd w:val="clear" w:color="auto" w:fill="F2F4F7"/>
            <w:vAlign w:val="top"/>
          </w:tcPr>
          <w:p w14:paraId="4287658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20</w:t>
            </w:r>
          </w:p>
        </w:tc>
        <w:tc>
          <w:tcPr>
            <w:tcW w:w="2700" w:type="dxa"/>
            <w:vAlign w:val="top"/>
          </w:tcPr>
          <w:p w14:paraId="0FB9B2B5">
            <w:pPr>
              <w:spacing w:after="4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Statistiques et tableaux de bord</w:t>
            </w:r>
          </w:p>
          <w:p w14:paraId="5904C4DA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17"/>
              </w:rPr>
              <w:t>P2 - À planifier ensuite</w:t>
            </w:r>
          </w:p>
        </w:tc>
        <w:tc>
          <w:tcPr>
            <w:tcW w:w="6120" w:type="dxa"/>
            <w:vAlign w:val="top"/>
          </w:tcPr>
          <w:p w14:paraId="0CEC882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1"/>
              </w:rPr>
              <w:t>Suivre les inscriptions, la progression, les événements, les résultats et les abonnements.</w:t>
            </w:r>
          </w:p>
        </w:tc>
      </w:tr>
    </w:tbl>
    <w:p w14:paraId="6239E0EF">
      <w:pPr>
        <w:pStyle w:val="2"/>
        <w:rPr>
          <w:color w:val="auto"/>
        </w:rPr>
      </w:pPr>
      <w:r>
        <w:rPr>
          <w:color w:val="auto"/>
        </w:rPr>
        <w:t>Ordre recommandé de démarrage</w:t>
      </w:r>
    </w:p>
    <w:p w14:paraId="6144F999">
      <w:pPr>
        <w:pStyle w:val="33"/>
        <w:spacing w:after="80" w:line="300" w:lineRule="auto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Mettre en place les comptes, la gestion des formations et les dossiers d’inscription.</w:t>
      </w:r>
    </w:p>
    <w:p w14:paraId="04711D6F">
      <w:pPr>
        <w:pStyle w:val="33"/>
        <w:spacing w:after="80" w:line="300" w:lineRule="auto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Brancher les emails, le contact et la newsletter.</w:t>
      </w:r>
    </w:p>
    <w:p w14:paraId="63410A07">
      <w:pPr>
        <w:pStyle w:val="33"/>
        <w:spacing w:after="80" w:line="300" w:lineRule="auto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Ouvrir ensuite l’espace apprenant avec une première formation complète.</w:t>
      </w:r>
    </w:p>
    <w:p w14:paraId="3A9EE08C">
      <w:pPr>
        <w:pStyle w:val="33"/>
        <w:spacing w:after="80" w:line="300" w:lineRule="auto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Ajouter enfin les paiements, le forum, les certificats et les statistiques.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Bratsy Script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atsy Script Demo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837C9">
    <w:pPr>
      <w:pStyle w:val="24"/>
      <w:spacing w:before="80"/>
      <w:jc w:val="right"/>
    </w:pPr>
    <w:r>
      <w:rPr>
        <w:rFonts w:ascii="Calibri" w:hAnsi="Calibri"/>
        <w:b w:val="0"/>
        <w:color w:val="6B7280"/>
        <w:sz w:val="17"/>
      </w:rPr>
      <w:t>EDMAH - Priorités fonctionnelles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4AFC8">
    <w:pPr>
      <w:pStyle w:val="2"/>
      <w:pageBreakBefore w:val="0"/>
      <w:widowControl/>
      <w:kinsoku/>
      <w:wordWrap/>
      <w:overflowPunct/>
      <w:topLinePunct w:val="0"/>
      <w:bidi w:val="0"/>
      <w:adjustRightInd/>
      <w:snapToGrid/>
      <w:spacing w:line="240" w:lineRule="auto"/>
      <w:jc w:val="right"/>
      <w:textAlignment w:val="auto"/>
      <w:rPr>
        <w:rFonts w:hint="default" w:ascii="Arial" w:hAnsi="Arial" w:cs="Arial"/>
        <w:sz w:val="36"/>
        <w:szCs w:val="36"/>
      </w:rPr>
    </w:pPr>
    <w:bookmarkStart w:id="0" w:name="ARTISCODE AGENCY"/>
    <w:bookmarkEnd w:id="0"/>
    <w:r>
      <w:rPr>
        <w:rFonts w:hint="default" w:ascii="Arial" w:hAnsi="Arial" w:cs="Arial"/>
        <w:sz w:val="36"/>
        <w:szCs w:val="36"/>
      </w:rP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890905</wp:posOffset>
          </wp:positionH>
          <wp:positionV relativeFrom="paragraph">
            <wp:posOffset>235585</wp:posOffset>
          </wp:positionV>
          <wp:extent cx="1143000" cy="11430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cs="Arial"/>
        <w:color w:val="0A132A"/>
        <w:sz w:val="36"/>
        <w:szCs w:val="36"/>
      </w:rPr>
      <w:t>ARTISCODE</w:t>
    </w:r>
    <w:r>
      <w:rPr>
        <w:rFonts w:hint="default" w:ascii="Arial" w:hAnsi="Arial" w:cs="Arial"/>
        <w:color w:val="0A132A"/>
        <w:spacing w:val="-17"/>
        <w:sz w:val="36"/>
        <w:szCs w:val="36"/>
      </w:rPr>
      <w:t xml:space="preserve"> </w:t>
    </w:r>
    <w:r>
      <w:rPr>
        <w:rFonts w:hint="default" w:ascii="Arial" w:hAnsi="Arial" w:cs="Arial"/>
        <w:color w:val="0A132A"/>
        <w:spacing w:val="-2"/>
        <w:sz w:val="36"/>
        <w:szCs w:val="36"/>
      </w:rPr>
      <w:t>AGENCY</w:t>
    </w:r>
  </w:p>
  <w:p w14:paraId="7B0369FA">
    <w:pPr>
      <w:pStyle w:val="6"/>
      <w:pageBreakBefore w:val="0"/>
      <w:widowControl/>
      <w:kinsoku/>
      <w:wordWrap/>
      <w:overflowPunct/>
      <w:topLinePunct w:val="0"/>
      <w:bidi w:val="0"/>
      <w:adjustRightInd/>
      <w:snapToGrid/>
      <w:spacing w:line="240" w:lineRule="auto"/>
      <w:jc w:val="right"/>
      <w:textAlignment w:val="auto"/>
      <w:rPr>
        <w:rFonts w:hint="default" w:ascii="Arial" w:hAnsi="Arial" w:cs="Arial"/>
        <w:b/>
        <w:bCs/>
        <w:sz w:val="20"/>
        <w:szCs w:val="20"/>
      </w:rPr>
    </w:pPr>
    <w:r>
      <w:rPr>
        <w:rFonts w:hint="default" w:ascii="Arial" w:hAnsi="Arial" w:cs="Arial"/>
        <w:b/>
        <w:bCs/>
        <w:color w:val="545454"/>
        <w:sz w:val="20"/>
        <w:szCs w:val="20"/>
      </w:rPr>
      <w:t>Agence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de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Développement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Web,</w:t>
    </w:r>
    <w:r>
      <w:rPr>
        <w:rFonts w:hint="default" w:ascii="Arial" w:hAnsi="Arial" w:cs="Arial"/>
        <w:b/>
        <w:bCs/>
        <w:color w:val="545454"/>
        <w:spacing w:val="-5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Mobile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&amp;</w:t>
    </w:r>
    <w:r>
      <w:rPr>
        <w:rFonts w:hint="default" w:ascii="Arial" w:hAnsi="Arial" w:cs="Arial"/>
        <w:b/>
        <w:bCs/>
        <w:color w:val="545454"/>
        <w:spacing w:val="-5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Solutions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pacing w:val="-2"/>
        <w:sz w:val="20"/>
        <w:szCs w:val="20"/>
      </w:rPr>
      <w:t>Numériques</w:t>
    </w:r>
  </w:p>
  <w:p w14:paraId="5CC55DF6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77" w:line="240" w:lineRule="auto"/>
      <w:ind w:right="140"/>
      <w:jc w:val="right"/>
      <w:textAlignment w:val="auto"/>
      <w:rPr>
        <w:color w:val="FF6600"/>
      </w:rPr>
    </w:pPr>
    <w:r>
      <w:rPr>
        <w:color w:val="545454"/>
      </w:rPr>
      <w:t>Site web</w:t>
    </w:r>
    <w:r>
      <w:rPr>
        <w:color w:val="545454"/>
        <w:spacing w:val="-13"/>
      </w:rPr>
      <w:t xml:space="preserve"> </w:t>
    </w:r>
    <w:r>
      <w:rPr>
        <w:color w:val="545454"/>
      </w:rPr>
      <w:t>:</w:t>
    </w:r>
    <w:r>
      <w:fldChar w:fldCharType="begin"/>
    </w:r>
    <w:r>
      <w:instrText xml:space="preserve"> HYPERLINK "https://www.artiscodeagency.tech/" \h </w:instrText>
    </w:r>
    <w:r>
      <w:fldChar w:fldCharType="separate"/>
    </w:r>
    <w:r>
      <w:rPr>
        <w:color w:val="FF6600"/>
      </w:rPr>
      <w:t>www.artisc</w:t>
    </w:r>
    <w:r>
      <w:rPr>
        <w:rFonts w:hint="default"/>
        <w:color w:val="FF6600"/>
      </w:rPr>
      <w:t>o</w:t>
    </w:r>
    <w:r>
      <w:rPr>
        <w:color w:val="FF6600"/>
      </w:rPr>
      <w:t>deagency.tech</w:t>
    </w:r>
    <w:r>
      <w:rPr>
        <w:color w:val="FF6600"/>
      </w:rPr>
      <w:fldChar w:fldCharType="end"/>
    </w:r>
  </w:p>
  <w:p w14:paraId="43E4AFFD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77" w:line="240" w:lineRule="auto"/>
      <w:ind w:right="140"/>
      <w:jc w:val="right"/>
      <w:textAlignment w:val="auto"/>
    </w:pPr>
    <w:r>
      <w:rPr>
        <w:color w:val="545454"/>
      </w:rPr>
      <w:t>Contacts</w:t>
    </w:r>
    <w:r>
      <w:rPr>
        <w:color w:val="545454"/>
        <w:spacing w:val="-3"/>
      </w:rPr>
      <w:t xml:space="preserve"> </w:t>
    </w:r>
    <w:r>
      <w:rPr>
        <w:color w:val="545454"/>
      </w:rPr>
      <w:t>:</w:t>
    </w:r>
    <w:r>
      <w:rPr>
        <w:color w:val="545454"/>
        <w:spacing w:val="-3"/>
      </w:rPr>
      <w:t xml:space="preserve"> </w:t>
    </w:r>
    <w:r>
      <w:rPr>
        <w:color w:val="545454"/>
      </w:rPr>
      <w:t>698</w:t>
    </w:r>
    <w:r>
      <w:rPr>
        <w:color w:val="545454"/>
        <w:spacing w:val="-3"/>
      </w:rPr>
      <w:t xml:space="preserve"> </w:t>
    </w:r>
    <w:r>
      <w:rPr>
        <w:color w:val="545454"/>
      </w:rPr>
      <w:t>256</w:t>
    </w:r>
    <w:r>
      <w:rPr>
        <w:color w:val="545454"/>
        <w:spacing w:val="-2"/>
      </w:rPr>
      <w:t xml:space="preserve"> </w:t>
    </w:r>
    <w:r>
      <w:rPr>
        <w:color w:val="545454"/>
      </w:rPr>
      <w:t>973</w:t>
    </w:r>
    <w:r>
      <w:rPr>
        <w:rFonts w:hint="default"/>
        <w:color w:val="545454"/>
      </w:rPr>
      <w:t xml:space="preserve"> </w:t>
    </w:r>
    <w:r>
      <w:rPr>
        <w:color w:val="545454"/>
      </w:rPr>
      <w:t>/</w:t>
    </w:r>
    <w:r>
      <w:rPr>
        <w:color w:val="545454"/>
        <w:spacing w:val="-3"/>
      </w:rPr>
      <w:t xml:space="preserve"> </w:t>
    </w:r>
    <w:r>
      <w:rPr>
        <w:color w:val="545454"/>
      </w:rPr>
      <w:t>652</w:t>
    </w:r>
    <w:r>
      <w:rPr>
        <w:color w:val="545454"/>
        <w:spacing w:val="-2"/>
      </w:rPr>
      <w:t xml:space="preserve"> </w:t>
    </w:r>
    <w:r>
      <w:rPr>
        <w:color w:val="545454"/>
      </w:rPr>
      <w:t>445</w:t>
    </w:r>
    <w:r>
      <w:rPr>
        <w:color w:val="545454"/>
        <w:spacing w:val="-3"/>
      </w:rPr>
      <w:t xml:space="preserve"> </w:t>
    </w:r>
    <w:r>
      <w:rPr>
        <w:color w:val="545454"/>
        <w:spacing w:val="-5"/>
      </w:rPr>
      <w:t>709</w:t>
    </w:r>
  </w:p>
  <w:p w14:paraId="786D7D46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3" w:line="240" w:lineRule="auto"/>
      <w:ind w:right="140"/>
      <w:jc w:val="right"/>
      <w:textAlignment w:val="auto"/>
    </w:pPr>
    <w:r>
      <w:rPr>
        <w:color w:val="545454"/>
      </w:rPr>
      <w:t>Localisation</w:t>
    </w:r>
    <w:r>
      <w:rPr>
        <w:color w:val="545454"/>
        <w:spacing w:val="-7"/>
      </w:rPr>
      <w:t xml:space="preserve"> </w:t>
    </w:r>
    <w:r>
      <w:rPr>
        <w:color w:val="545454"/>
      </w:rPr>
      <w:t>:</w:t>
    </w:r>
    <w:r>
      <w:rPr>
        <w:color w:val="545454"/>
        <w:spacing w:val="-6"/>
      </w:rPr>
      <w:t xml:space="preserve"> </w:t>
    </w:r>
    <w:r>
      <w:rPr>
        <w:color w:val="545454"/>
      </w:rPr>
      <w:t>Bertoua,</w:t>
    </w:r>
    <w:r>
      <w:rPr>
        <w:color w:val="545454"/>
        <w:spacing w:val="-6"/>
      </w:rPr>
      <w:t xml:space="preserve"> </w:t>
    </w:r>
    <w:r>
      <w:rPr>
        <w:color w:val="545454"/>
      </w:rPr>
      <w:t>Ekounou</w:t>
    </w:r>
    <w:r>
      <w:rPr>
        <w:color w:val="545454"/>
        <w:spacing w:val="-6"/>
      </w:rPr>
      <w:t xml:space="preserve"> </w:t>
    </w:r>
    <w:r>
      <w:rPr>
        <w:color w:val="545454"/>
      </w:rPr>
      <w:t>(près</w:t>
    </w:r>
    <w:r>
      <w:rPr>
        <w:color w:val="545454"/>
        <w:spacing w:val="-7"/>
      </w:rPr>
      <w:t xml:space="preserve"> </w:t>
    </w:r>
    <w:r>
      <w:rPr>
        <w:color w:val="545454"/>
      </w:rPr>
      <w:t>de</w:t>
    </w:r>
    <w:r>
      <w:rPr>
        <w:color w:val="545454"/>
        <w:spacing w:val="-6"/>
      </w:rPr>
      <w:t xml:space="preserve"> </w:t>
    </w:r>
    <w:r>
      <w:rPr>
        <w:color w:val="545454"/>
      </w:rPr>
      <w:t>la</w:t>
    </w:r>
    <w:r>
      <w:rPr>
        <w:color w:val="545454"/>
        <w:spacing w:val="-6"/>
      </w:rPr>
      <w:t xml:space="preserve"> </w:t>
    </w:r>
    <w:r>
      <w:rPr>
        <w:color w:val="545454"/>
      </w:rPr>
      <w:t>Régionale</w:t>
    </w:r>
    <w:r>
      <w:rPr>
        <w:color w:val="545454"/>
        <w:spacing w:val="-6"/>
      </w:rPr>
      <w:t xml:space="preserve"> </w:t>
    </w:r>
    <w:r>
      <w:rPr>
        <w:color w:val="545454"/>
        <w:spacing w:val="-2"/>
      </w:rPr>
      <w:t>Meuble)</w: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539750</wp:posOffset>
              </wp:positionH>
              <wp:positionV relativeFrom="paragraph">
                <wp:posOffset>237490</wp:posOffset>
              </wp:positionV>
              <wp:extent cx="6480175" cy="28575"/>
              <wp:effectExtent l="0" t="0" r="15875" b="9525"/>
              <wp:wrapTopAndBottom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1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28575">
                            <a:moveTo>
                              <a:pt x="64800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480000" y="0"/>
                            </a:lnTo>
                            <a:lnTo>
                              <a:pt x="6480000" y="28575"/>
                            </a:lnTo>
                            <a:close/>
                          </a:path>
                        </a:pathLst>
                      </a:custGeom>
                      <a:solidFill>
                        <a:srgbClr val="FF66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2.5pt;margin-top:18.7pt;height:2.25pt;width:510.25pt;mso-position-horizontal-relative:page;mso-wrap-distance-bottom:0pt;mso-wrap-distance-top:0pt;z-index:-251656192;mso-width-relative:page;mso-height-relative:page;" fillcolor="#FF6600" filled="t" stroked="f" coordsize="6480175,28575" o:gfxdata="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11x2gAA&#10;AAkBAAAPAAAAAAAAAAEAIAAAACIAAABkcnMvZG93bnJldi54bWxQSwECFAAUAAAACACHTuJAAVgT&#10;axwCAADkBAAADgAAAAAAAAABACAAAAApAQAAZHJzL2Uyb0RvYy54bWxQSwUGAAAAAAYABgBZAQAA&#10;twUAAAAA&#10;" path="m6480000,28575l0,28575,0,0,6480000,0,6480000,28575xe">
              <v:fill on="t" focussize="0,0"/>
              <v:stroke on="f"/>
              <v:imagedata o:title=""/>
              <o:lock v:ext="edit" aspectratio="f"/>
              <v:textbox inset="0mm,0mm,0mm,0mm"/>
              <w10:wrap type="topAndBottom"/>
            </v:shape>
          </w:pict>
        </mc:Fallback>
      </mc:AlternateContent>
    </w:r>
    <w:bookmarkStart w:id="1" w:name="Fiche d'Évaluation &amp; de Notation du Stag"/>
    <w:bookmarkEnd w:id="1"/>
    <w:r>
      <w:rPr>
        <w:rFonts w:hint="default" w:ascii="Times New Roman" w:hAnsi="Times New Roman" w:cs="Times New Roman"/>
        <w:sz w:val="24"/>
        <w:szCs w:val="24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766445</wp:posOffset>
          </wp:positionH>
          <wp:positionV relativeFrom="page">
            <wp:posOffset>2927985</wp:posOffset>
          </wp:positionV>
          <wp:extent cx="5996305" cy="6278880"/>
          <wp:effectExtent l="0" t="0" r="4445" b="762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96305" cy="6278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26C58E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BF4BF3"/>
    <w:rsid w:val="12972790"/>
    <w:rsid w:val="4EB6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Theme="minorEastAsia" w:cstheme="minorBidi"/>
      <w:color w:val="1F2937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520</Words>
  <Characters>2931</Characters>
  <Lines>0</Lines>
  <Paragraphs>0</Paragraphs>
  <TotalTime>0</TotalTime>
  <ScaleCrop>false</ScaleCrop>
  <LinksUpToDate>false</LinksUpToDate>
  <CharactersWithSpaces>3358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EDMAH</dc:creator>
  <dc:description>generated by python-docx</dc:description>
  <cp:lastModifiedBy>Kapel Ange</cp:lastModifiedBy>
  <dcterms:modified xsi:type="dcterms:W3CDTF">2026-08-24T14:48:16Z</dcterms:modified>
  <dc:subject>Fonctionnalités à réaliser pour EDMAH</dc:subject>
  <dc:title>Fonctionnalités EDMAH priorisées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eyJoZGlkIjoiMzdjMWQ1ZGJmOTRjZTlhNGQ1ZTQ4MzliMzdlNjdhMjYiLCJ1c2VySWQiOiIxNjc4NTM4ODg5MzM5NiJ9</vt:lpwstr>
  </property>
  <property fmtid="{D5CDD505-2E9C-101B-9397-08002B2CF9AE}" pid="3" name="KSOProductBuildVer">
    <vt:lpwstr>1036-12.1.0.28032</vt:lpwstr>
  </property>
  <property fmtid="{D5CDD505-2E9C-101B-9397-08002B2CF9AE}" pid="4" name="ICV">
    <vt:lpwstr>0A9D798AFD38405899CFED19B6AE2D81_12</vt:lpwstr>
  </property>
</Properties>
</file>