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ADFE1">
      <w:pPr>
        <w:spacing w:before="560" w:after="160"/>
        <w:jc w:val="center"/>
        <w:rPr>
          <w:rFonts w:hint="default" w:ascii="Arial" w:hAnsi="Arial" w:cs="Arial"/>
          <w:b/>
          <w:bCs w:val="0"/>
          <w:color w:val="auto"/>
          <w:sz w:val="28"/>
          <w:szCs w:val="28"/>
        </w:rPr>
      </w:pPr>
      <w:r>
        <w:rPr>
          <w:rFonts w:hint="default" w:ascii="Arial" w:hAnsi="Arial" w:cs="Arial"/>
          <w:b/>
          <w:bCs w:val="0"/>
          <w:color w:val="auto"/>
          <w:sz w:val="28"/>
          <w:szCs w:val="28"/>
        </w:rPr>
        <w:t>EDMAH</w:t>
      </w:r>
    </w:p>
    <w:p w14:paraId="27CECA89">
      <w:pPr>
        <w:spacing w:after="160"/>
        <w:jc w:val="center"/>
        <w:rPr>
          <w:color w:val="auto"/>
        </w:rPr>
      </w:pPr>
      <w:r>
        <w:rPr>
          <w:rFonts w:ascii="Calibri" w:hAnsi="Calibri"/>
          <w:b/>
          <w:color w:val="auto"/>
          <w:sz w:val="56"/>
        </w:rPr>
        <w:t>Planification du développement</w:t>
      </w:r>
    </w:p>
    <w:p w14:paraId="20B6BE61">
      <w:pPr>
        <w:spacing w:after="400"/>
        <w:jc w:val="center"/>
        <w:rPr>
          <w:rFonts w:hint="default"/>
          <w:b/>
          <w:bCs/>
          <w:color w:val="auto"/>
        </w:rPr>
      </w:pPr>
      <w:r>
        <w:rPr>
          <w:rFonts w:ascii="Calibri" w:hAnsi="Calibri"/>
          <w:b/>
          <w:bCs/>
          <w:color w:val="auto"/>
          <w:sz w:val="26"/>
        </w:rPr>
        <w:t>Architecture Django + Django REST Framework</w:t>
      </w:r>
    </w:p>
    <w:p w14:paraId="65B5FD46">
      <w:pPr>
        <w:spacing w:after="240"/>
        <w:rPr>
          <w:color w:val="auto"/>
        </w:rPr>
      </w:pPr>
      <w:r>
        <w:rPr>
          <w:rFonts w:ascii="Calibri" w:hAnsi="Calibri"/>
          <w:b/>
          <w:color w:val="auto"/>
          <w:sz w:val="24"/>
          <w:szCs w:val="24"/>
        </w:rPr>
        <w:t>Objectif :</w:t>
      </w:r>
      <w:r>
        <w:rPr>
          <w:rFonts w:ascii="Calibri" w:hAnsi="Calibri"/>
          <w:b/>
          <w:color w:val="auto"/>
          <w:sz w:val="22"/>
        </w:rPr>
        <w:t xml:space="preserve"> </w:t>
      </w:r>
      <w:r>
        <w:rPr>
          <w:rFonts w:ascii="Calibri" w:hAnsi="Calibri"/>
          <w:b w:val="0"/>
          <w:color w:val="auto"/>
          <w:sz w:val="22"/>
        </w:rPr>
        <w:t>livrer progressivement un site public, une gestion administrative et un espace apprenant sécurisé.</w:t>
      </w:r>
    </w:p>
    <w:p w14:paraId="591CE8C6">
      <w:pPr>
        <w:pStyle w:val="2"/>
        <w:rPr>
          <w:color w:val="auto"/>
        </w:rPr>
      </w:pPr>
      <w:r>
        <w:rPr>
          <w:color w:val="auto"/>
        </w:rPr>
        <w:t>Choix technique retenu</w:t>
      </w:r>
    </w:p>
    <w:p w14:paraId="747C0518">
      <w:pPr>
        <w:spacing w:after="60"/>
        <w:rPr>
          <w:color w:val="auto"/>
        </w:rPr>
      </w:pPr>
      <w:r>
        <w:rPr>
          <w:rFonts w:ascii="Calibri" w:hAnsi="Calibri"/>
          <w:b/>
          <w:color w:val="auto"/>
          <w:sz w:val="21"/>
        </w:rPr>
        <w:t xml:space="preserve">Back-end : </w:t>
      </w:r>
      <w:r>
        <w:rPr>
          <w:rFonts w:ascii="Calibri" w:hAnsi="Calibri"/>
          <w:b w:val="0"/>
          <w:color w:val="auto"/>
          <w:sz w:val="21"/>
        </w:rPr>
        <w:t>Django pour la logique métier, la gestion des utilisateurs et l’interface d’administration.</w:t>
      </w:r>
    </w:p>
    <w:p w14:paraId="7B463530">
      <w:pPr>
        <w:spacing w:after="60"/>
        <w:rPr>
          <w:color w:val="auto"/>
        </w:rPr>
      </w:pPr>
      <w:r>
        <w:rPr>
          <w:rFonts w:ascii="Calibri" w:hAnsi="Calibri"/>
          <w:b/>
          <w:color w:val="auto"/>
          <w:sz w:val="21"/>
        </w:rPr>
        <w:t xml:space="preserve">API : </w:t>
      </w:r>
      <w:r>
        <w:rPr>
          <w:rFonts w:ascii="Calibri" w:hAnsi="Calibri"/>
          <w:b w:val="0"/>
          <w:color w:val="auto"/>
          <w:sz w:val="21"/>
        </w:rPr>
        <w:t>Django REST Framework pour fournir les API utilisées par le front-end.</w:t>
      </w:r>
    </w:p>
    <w:p w14:paraId="3BF918C7">
      <w:pPr>
        <w:spacing w:after="60"/>
        <w:rPr>
          <w:color w:val="auto"/>
        </w:rPr>
      </w:pPr>
      <w:r>
        <w:rPr>
          <w:rFonts w:ascii="Calibri" w:hAnsi="Calibri"/>
          <w:b/>
          <w:color w:val="auto"/>
          <w:sz w:val="21"/>
        </w:rPr>
        <w:t xml:space="preserve">Base de données : </w:t>
      </w:r>
      <w:r>
        <w:rPr>
          <w:rFonts w:ascii="Calibri" w:hAnsi="Calibri"/>
          <w:b w:val="0"/>
          <w:color w:val="auto"/>
          <w:sz w:val="21"/>
        </w:rPr>
        <w:t>PostgreSQL pour les données de production.</w:t>
      </w:r>
    </w:p>
    <w:p w14:paraId="7500A413">
      <w:pPr>
        <w:spacing w:after="60"/>
        <w:rPr>
          <w:color w:val="auto"/>
        </w:rPr>
      </w:pPr>
      <w:r>
        <w:rPr>
          <w:rFonts w:ascii="Calibri" w:hAnsi="Calibri"/>
          <w:b/>
          <w:color w:val="auto"/>
          <w:sz w:val="21"/>
        </w:rPr>
        <w:t xml:space="preserve">Administration : </w:t>
      </w:r>
      <w:r>
        <w:rPr>
          <w:rFonts w:ascii="Calibri" w:hAnsi="Calibri"/>
          <w:b w:val="0"/>
          <w:color w:val="auto"/>
          <w:sz w:val="21"/>
        </w:rPr>
        <w:t>Django Admin pour gérer rapidement les formations, contenus, inscriptions et utilisateurs.</w:t>
      </w:r>
    </w:p>
    <w:p w14:paraId="1DD9B5C9">
      <w:pPr>
        <w:spacing w:after="60"/>
        <w:rPr>
          <w:color w:val="auto"/>
        </w:rPr>
      </w:pPr>
      <w:r>
        <w:rPr>
          <w:rFonts w:ascii="Calibri" w:hAnsi="Calibri"/>
          <w:b/>
          <w:color w:val="auto"/>
          <w:sz w:val="21"/>
        </w:rPr>
        <w:t xml:space="preserve">Fichiers : </w:t>
      </w:r>
      <w:r>
        <w:rPr>
          <w:rFonts w:ascii="Calibri" w:hAnsi="Calibri"/>
          <w:b w:val="0"/>
          <w:color w:val="auto"/>
          <w:sz w:val="21"/>
        </w:rPr>
        <w:t>Stockage privé pour les documents d’inscription et stockage adapté pour les médias publics.</w:t>
      </w:r>
    </w:p>
    <w:p w14:paraId="38452980">
      <w:pPr>
        <w:pStyle w:val="2"/>
        <w:rPr>
          <w:color w:val="auto"/>
        </w:rPr>
      </w:pPr>
      <w:r>
        <w:rPr>
          <w:color w:val="auto"/>
        </w:rPr>
        <w:t>Plan par phases</w:t>
      </w:r>
    </w:p>
    <w:p w14:paraId="3A2F54CA">
      <w:pPr>
        <w:pStyle w:val="3"/>
        <w:rPr>
          <w:color w:val="auto"/>
        </w:rPr>
      </w:pPr>
      <w:r>
        <w:rPr>
          <w:color w:val="auto"/>
        </w:rPr>
        <w:t>Phase 0 - Cadrage et préparation</w:t>
      </w:r>
    </w:p>
    <w:p w14:paraId="7FB6877B">
      <w:pPr>
        <w:spacing w:after="120"/>
        <w:rPr>
          <w:color w:val="auto"/>
        </w:rPr>
      </w:pPr>
      <w:r>
        <w:rPr>
          <w:rFonts w:ascii="Calibri" w:hAnsi="Calibri"/>
          <w:b/>
          <w:color w:val="auto"/>
          <w:sz w:val="20"/>
        </w:rPr>
        <w:t>Priorité : P0</w:t>
      </w:r>
    </w:p>
    <w:tbl>
      <w:tblPr>
        <w:tblStyle w:val="6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6510"/>
      </w:tblGrid>
      <w:tr w14:paraId="7EE88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5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FC6A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Tâche</w:t>
            </w:r>
          </w:p>
        </w:tc>
        <w:tc>
          <w:tcPr>
            <w:tcW w:w="65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54F0">
            <w:pPr>
              <w:spacing w:after="0"/>
              <w:ind w:left="881" w:leftChars="0" w:hanging="881" w:hangingChars="419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Résultat attendu</w:t>
            </w:r>
          </w:p>
        </w:tc>
      </w:tr>
      <w:tr w14:paraId="7D74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6D10952A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Valider les règles métier</w:t>
            </w:r>
          </w:p>
        </w:tc>
        <w:tc>
          <w:tcPr>
            <w:tcW w:w="6510" w:type="dxa"/>
            <w:vAlign w:val="top"/>
          </w:tcPr>
          <w:p w14:paraId="3622F35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Confirmer les formations, prix, modes, pièces demandées, règles de validation et critères du certificat.</w:t>
            </w:r>
          </w:p>
        </w:tc>
      </w:tr>
      <w:tr w14:paraId="7B6E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7CB3A627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Préparer le projet Django</w:t>
            </w:r>
          </w:p>
        </w:tc>
        <w:tc>
          <w:tcPr>
            <w:tcW w:w="6510" w:type="dxa"/>
            <w:vAlign w:val="top"/>
          </w:tcPr>
          <w:p w14:paraId="67193CB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Créer le projet, les applications Django, les environnements de configuration et le dépôt de code.</w:t>
            </w:r>
          </w:p>
        </w:tc>
      </w:tr>
      <w:tr w14:paraId="186CE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3B1457FB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Choisir les services externes</w:t>
            </w:r>
          </w:p>
        </w:tc>
        <w:tc>
          <w:tcPr>
            <w:tcW w:w="6510" w:type="dxa"/>
            <w:vAlign w:val="top"/>
          </w:tcPr>
          <w:p w14:paraId="4E3AE03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Valider la base PostgreSQL, le stockage sécurisé des fichiers, le service email et le paiement à intégrer plus tard.</w:t>
            </w:r>
          </w:p>
        </w:tc>
      </w:tr>
    </w:tbl>
    <w:p w14:paraId="566C8BAC">
      <w:pPr>
        <w:pStyle w:val="3"/>
        <w:rPr>
          <w:color w:val="auto"/>
        </w:rPr>
      </w:pPr>
      <w:r>
        <w:rPr>
          <w:color w:val="auto"/>
        </w:rPr>
        <w:t>Phase 1 - Fondations techniques et administration</w:t>
      </w:r>
    </w:p>
    <w:p w14:paraId="56ACAD1C">
      <w:pPr>
        <w:spacing w:after="120"/>
        <w:rPr>
          <w:rFonts w:ascii="Calibri" w:hAnsi="Calibri"/>
          <w:b/>
          <w:color w:val="auto"/>
          <w:sz w:val="20"/>
        </w:rPr>
      </w:pPr>
      <w:r>
        <w:rPr>
          <w:rFonts w:ascii="Calibri" w:hAnsi="Calibri"/>
          <w:b/>
          <w:color w:val="auto"/>
          <w:sz w:val="20"/>
        </w:rPr>
        <w:t>Priorité : P0</w:t>
      </w:r>
    </w:p>
    <w:p w14:paraId="4088078C">
      <w:pPr>
        <w:spacing w:after="120"/>
        <w:rPr>
          <w:rFonts w:ascii="Calibri" w:hAnsi="Calibri"/>
          <w:b/>
          <w:color w:val="auto"/>
          <w:sz w:val="20"/>
        </w:rPr>
      </w:pPr>
    </w:p>
    <w:tbl>
      <w:tblPr>
        <w:tblStyle w:val="6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6510"/>
      </w:tblGrid>
      <w:tr w14:paraId="25E4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5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CDB3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Tâche</w:t>
            </w:r>
          </w:p>
        </w:tc>
        <w:tc>
          <w:tcPr>
            <w:tcW w:w="65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DEB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Résultat attendu</w:t>
            </w:r>
          </w:p>
        </w:tc>
      </w:tr>
      <w:tr w14:paraId="18851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22F48B3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Configurer la base de données</w:t>
            </w:r>
          </w:p>
        </w:tc>
        <w:tc>
          <w:tcPr>
            <w:tcW w:w="6510" w:type="dxa"/>
            <w:vAlign w:val="top"/>
          </w:tcPr>
          <w:p w14:paraId="666EAE99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Mettre en place PostgreSQL et les modèles de base : utilisateur, rôle, formation, session et inscription.</w:t>
            </w:r>
          </w:p>
        </w:tc>
      </w:tr>
      <w:tr w14:paraId="4BEDB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790E16E8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Créer les comptes et rôles</w:t>
            </w:r>
          </w:p>
        </w:tc>
        <w:tc>
          <w:tcPr>
            <w:tcW w:w="6510" w:type="dxa"/>
            <w:vAlign w:val="top"/>
          </w:tcPr>
          <w:p w14:paraId="09365C98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Créer les rôles visiteur, candidat, apprenant, formateur et administrateur avec leurs droits.</w:t>
            </w:r>
          </w:p>
        </w:tc>
      </w:tr>
      <w:tr w14:paraId="1027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6BA6EC9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Configurer Django Admin</w:t>
            </w:r>
          </w:p>
        </w:tc>
        <w:tc>
          <w:tcPr>
            <w:tcW w:w="6510" w:type="dxa"/>
            <w:vAlign w:val="top"/>
          </w:tcPr>
          <w:p w14:paraId="0BBA902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Rendre les objets importants gérables dans l’administration : formations, événements, articles, utilisateurs et inscriptions.</w:t>
            </w:r>
          </w:p>
        </w:tc>
      </w:tr>
      <w:tr w14:paraId="56DA5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598E2CCF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Créer les API REST de base</w:t>
            </w:r>
          </w:p>
        </w:tc>
        <w:tc>
          <w:tcPr>
            <w:tcW w:w="6510" w:type="dxa"/>
            <w:vAlign w:val="top"/>
          </w:tcPr>
          <w:p w14:paraId="53D9B416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Mettre en place Django REST Framework, les sérialiseurs, permissions, pagination et documentation des API.</w:t>
            </w:r>
          </w:p>
        </w:tc>
      </w:tr>
      <w:tr w14:paraId="5094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52B0F48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Sécuriser le projet</w:t>
            </w:r>
          </w:p>
        </w:tc>
        <w:tc>
          <w:tcPr>
            <w:tcW w:w="6510" w:type="dxa"/>
            <w:vAlign w:val="top"/>
          </w:tcPr>
          <w:p w14:paraId="09976277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Ajouter authentification, validation serveur, variables secrètes, protection des fichiers et journalisation minimale.</w:t>
            </w:r>
          </w:p>
        </w:tc>
      </w:tr>
    </w:tbl>
    <w:p w14:paraId="2F28DA17">
      <w:pPr>
        <w:pStyle w:val="3"/>
        <w:rPr>
          <w:color w:val="auto"/>
        </w:rPr>
      </w:pPr>
      <w:r>
        <w:rPr>
          <w:color w:val="auto"/>
        </w:rPr>
        <w:t>Phase 2 - Site public et gestion des contenus</w:t>
      </w:r>
    </w:p>
    <w:p w14:paraId="3E6C15B8">
      <w:pPr>
        <w:spacing w:after="120"/>
        <w:rPr>
          <w:color w:val="auto"/>
        </w:rPr>
      </w:pPr>
      <w:r>
        <w:rPr>
          <w:rFonts w:ascii="Calibri" w:hAnsi="Calibri"/>
          <w:b/>
          <w:color w:val="auto"/>
          <w:sz w:val="20"/>
        </w:rPr>
        <w:t>Priorité : P0</w:t>
      </w:r>
    </w:p>
    <w:tbl>
      <w:tblPr>
        <w:tblStyle w:val="6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6510"/>
      </w:tblGrid>
      <w:tr w14:paraId="7E5A1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5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D8F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Tâche</w:t>
            </w:r>
          </w:p>
        </w:tc>
        <w:tc>
          <w:tcPr>
            <w:tcW w:w="65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D707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Résultat attendu</w:t>
            </w:r>
          </w:p>
        </w:tc>
      </w:tr>
      <w:tr w14:paraId="5BDF8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5992FA99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API des formations</w:t>
            </w:r>
          </w:p>
        </w:tc>
        <w:tc>
          <w:tcPr>
            <w:tcW w:w="6510" w:type="dxa"/>
            <w:vAlign w:val="top"/>
          </w:tcPr>
          <w:p w14:paraId="17DBD06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Fournir le catalogue, les catégories, les détails, les sessions, les prix et les filtres.</w:t>
            </w:r>
          </w:p>
        </w:tc>
      </w:tr>
      <w:tr w14:paraId="00250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6C3FFEC3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API des événements</w:t>
            </w:r>
          </w:p>
        </w:tc>
        <w:tc>
          <w:tcPr>
            <w:tcW w:w="6510" w:type="dxa"/>
            <w:vAlign w:val="top"/>
          </w:tcPr>
          <w:p w14:paraId="54B3F9A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Publier les événements, leurs dates, places, types et informations pratiques.</w:t>
            </w:r>
          </w:p>
        </w:tc>
      </w:tr>
      <w:tr w14:paraId="142A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2691A0E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API blog et galerie</w:t>
            </w:r>
          </w:p>
        </w:tc>
        <w:tc>
          <w:tcPr>
            <w:tcW w:w="6510" w:type="dxa"/>
            <w:vAlign w:val="top"/>
          </w:tcPr>
          <w:p w14:paraId="01440C45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Permettre de publier articles, catégories, tags, images et vidéos depuis l’administration.</w:t>
            </w:r>
          </w:p>
        </w:tc>
      </w:tr>
      <w:tr w14:paraId="7AF96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435F7D45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Raccorder le front-end</w:t>
            </w:r>
          </w:p>
        </w:tc>
        <w:tc>
          <w:tcPr>
            <w:tcW w:w="6510" w:type="dxa"/>
            <w:vAlign w:val="top"/>
          </w:tcPr>
          <w:p w14:paraId="11FE2FD7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Remplacer les données écrites dans les pages par les API Django et corriger les liens d’inscription existants.</w:t>
            </w:r>
          </w:p>
        </w:tc>
      </w:tr>
      <w:tr w14:paraId="5523B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2D6EEDF8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Contact et newsletter</w:t>
            </w:r>
          </w:p>
        </w:tc>
        <w:tc>
          <w:tcPr>
            <w:tcW w:w="6510" w:type="dxa"/>
            <w:vAlign w:val="top"/>
          </w:tcPr>
          <w:p w14:paraId="1FF8C59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Enregistrer les messages et abonnements, vérifier les emails et permettre une gestion dans Django Admin.</w:t>
            </w:r>
          </w:p>
        </w:tc>
      </w:tr>
    </w:tbl>
    <w:p w14:paraId="59662AB9">
      <w:pPr>
        <w:pStyle w:val="3"/>
        <w:rPr>
          <w:color w:val="auto"/>
        </w:rPr>
      </w:pPr>
      <w:r>
        <w:rPr>
          <w:color w:val="auto"/>
        </w:rPr>
        <w:t>Phase 3 - Inscription aux formations</w:t>
      </w:r>
    </w:p>
    <w:p w14:paraId="55A43F66">
      <w:pPr>
        <w:spacing w:after="120"/>
        <w:rPr>
          <w:color w:val="auto"/>
        </w:rPr>
      </w:pPr>
      <w:r>
        <w:rPr>
          <w:rFonts w:ascii="Calibri" w:hAnsi="Calibri"/>
          <w:b/>
          <w:color w:val="auto"/>
          <w:sz w:val="20"/>
        </w:rPr>
        <w:t>Priorité : P0</w:t>
      </w:r>
    </w:p>
    <w:tbl>
      <w:tblPr>
        <w:tblStyle w:val="6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6510"/>
      </w:tblGrid>
      <w:tr w14:paraId="7ADF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5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96BB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Tâche</w:t>
            </w:r>
          </w:p>
        </w:tc>
        <w:tc>
          <w:tcPr>
            <w:tcW w:w="65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3DD9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Résultat attendu</w:t>
            </w:r>
          </w:p>
        </w:tc>
      </w:tr>
      <w:tr w14:paraId="451C1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52B61FE9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API du formulaire multi-étapes</w:t>
            </w:r>
          </w:p>
        </w:tc>
        <w:tc>
          <w:tcPr>
            <w:tcW w:w="6510" w:type="dxa"/>
            <w:vAlign w:val="top"/>
          </w:tcPr>
          <w:p w14:paraId="60B4EA2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Enregistrer identité, formation choisie, mode de formation, motivations et acceptation des conditions.</w:t>
            </w:r>
          </w:p>
        </w:tc>
      </w:tr>
      <w:tr w14:paraId="70843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4AC6F511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Gestion des documents</w:t>
            </w:r>
          </w:p>
        </w:tc>
        <w:tc>
          <w:tcPr>
            <w:tcW w:w="6510" w:type="dxa"/>
            <w:vAlign w:val="top"/>
          </w:tcPr>
          <w:p w14:paraId="207F6CC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Téléverser les pièces justificatives avec contrôle de format, taille, accès privé et traçabilité.</w:t>
            </w:r>
          </w:p>
        </w:tc>
      </w:tr>
      <w:tr w14:paraId="7606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08A910A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Traitement des dossiers</w:t>
            </w:r>
          </w:p>
        </w:tc>
        <w:tc>
          <w:tcPr>
            <w:tcW w:w="6510" w:type="dxa"/>
            <w:vAlign w:val="top"/>
          </w:tcPr>
          <w:p w14:paraId="70086DB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Donner à l’administration des statuts clairs : reçu, en cours, complément demandé, accepté ou refusé.</w:t>
            </w:r>
          </w:p>
        </w:tc>
      </w:tr>
      <w:tr w14:paraId="76FA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12241F19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Emails automatiques</w:t>
            </w:r>
          </w:p>
        </w:tc>
        <w:tc>
          <w:tcPr>
            <w:tcW w:w="6510" w:type="dxa"/>
            <w:vAlign w:val="top"/>
          </w:tcPr>
          <w:p w14:paraId="197A4985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Envoyer confirmation de dépôt, demande de complément et décision au candidat.</w:t>
            </w:r>
          </w:p>
        </w:tc>
      </w:tr>
      <w:tr w14:paraId="407E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0D63F1D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Inscription événement</w:t>
            </w:r>
          </w:p>
        </w:tc>
        <w:tc>
          <w:tcPr>
            <w:tcW w:w="6510" w:type="dxa"/>
            <w:vAlign w:val="top"/>
          </w:tcPr>
          <w:p w14:paraId="0A0961D5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Créer un parcours distinct, lié à un événement, avec contrôle du nombre de places.</w:t>
            </w:r>
          </w:p>
        </w:tc>
      </w:tr>
    </w:tbl>
    <w:p w14:paraId="3ADFAA7C">
      <w:pPr>
        <w:pStyle w:val="3"/>
        <w:rPr>
          <w:color w:val="auto"/>
        </w:rPr>
      </w:pPr>
      <w:r>
        <w:rPr>
          <w:color w:val="auto"/>
        </w:rPr>
        <w:t>Phase 4 - Espace apprenant et cours</w:t>
      </w:r>
    </w:p>
    <w:p w14:paraId="411AC2C5">
      <w:pPr>
        <w:spacing w:after="120"/>
        <w:rPr>
          <w:color w:val="auto"/>
        </w:rPr>
      </w:pPr>
      <w:r>
        <w:rPr>
          <w:rFonts w:ascii="Calibri" w:hAnsi="Calibri"/>
          <w:b/>
          <w:color w:val="auto"/>
          <w:sz w:val="20"/>
        </w:rPr>
        <w:t>Priorité : P1</w:t>
      </w:r>
    </w:p>
    <w:tbl>
      <w:tblPr>
        <w:tblStyle w:val="6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6510"/>
      </w:tblGrid>
      <w:tr w14:paraId="20E9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5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3B5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Tâche</w:t>
            </w:r>
          </w:p>
        </w:tc>
        <w:tc>
          <w:tcPr>
            <w:tcW w:w="65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2E16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Résultat attendu</w:t>
            </w:r>
          </w:p>
        </w:tc>
      </w:tr>
      <w:tr w14:paraId="6E7C8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52E394C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Tableau de bord apprenant</w:t>
            </w:r>
          </w:p>
        </w:tc>
        <w:tc>
          <w:tcPr>
            <w:tcW w:w="6510" w:type="dxa"/>
            <w:vAlign w:val="top"/>
          </w:tcPr>
          <w:p w14:paraId="10746687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Afficher les formations suivies, les modules disponibles, la progression et les actions à faire.</w:t>
            </w:r>
          </w:p>
        </w:tc>
      </w:tr>
      <w:tr w14:paraId="370AB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5CFF3A3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Modules et leçons</w:t>
            </w:r>
          </w:p>
        </w:tc>
        <w:tc>
          <w:tcPr>
            <w:tcW w:w="6510" w:type="dxa"/>
            <w:vAlign w:val="top"/>
          </w:tcPr>
          <w:p w14:paraId="3D71940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Créer les contenus de cours, organiser leur ordre et contrôler le déblocage des modules.</w:t>
            </w:r>
          </w:p>
        </w:tc>
      </w:tr>
      <w:tr w14:paraId="40A62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2C4A18C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Ressources protégées</w:t>
            </w:r>
          </w:p>
        </w:tc>
        <w:tc>
          <w:tcPr>
            <w:tcW w:w="6510" w:type="dxa"/>
            <w:vAlign w:val="top"/>
          </w:tcPr>
          <w:p w14:paraId="38E382E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Donner accès aux documents et vidéos uniquement aux apprenants autorisés.</w:t>
            </w:r>
          </w:p>
        </w:tc>
      </w:tr>
      <w:tr w14:paraId="2F0B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0521EF15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Quiz et progression</w:t>
            </w:r>
          </w:p>
        </w:tc>
        <w:tc>
          <w:tcPr>
            <w:tcW w:w="6510" w:type="dxa"/>
            <w:vAlign w:val="top"/>
          </w:tcPr>
          <w:p w14:paraId="102C3A89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Enregistrer réponses, scores, tentatives et validation des modules selon le seuil défini.</w:t>
            </w:r>
          </w:p>
        </w:tc>
      </w:tr>
      <w:tr w14:paraId="478AC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5AF826C4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Notes personnelles</w:t>
            </w:r>
          </w:p>
        </w:tc>
        <w:tc>
          <w:tcPr>
            <w:tcW w:w="6510" w:type="dxa"/>
            <w:vAlign w:val="top"/>
          </w:tcPr>
          <w:p w14:paraId="60588126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Sauvegarder les notes privées de l’apprenant et permettre leur export.</w:t>
            </w:r>
          </w:p>
        </w:tc>
      </w:tr>
    </w:tbl>
    <w:p w14:paraId="35A50BDA">
      <w:pPr>
        <w:pStyle w:val="3"/>
        <w:rPr>
          <w:color w:val="auto"/>
        </w:rPr>
      </w:pPr>
      <w:r>
        <w:rPr>
          <w:color w:val="auto"/>
        </w:rPr>
        <w:t>Phase 5 - Fonctions avancées</w:t>
      </w:r>
    </w:p>
    <w:p w14:paraId="401F6C8E">
      <w:pPr>
        <w:spacing w:after="120"/>
        <w:rPr>
          <w:color w:val="auto"/>
        </w:rPr>
      </w:pPr>
      <w:r>
        <w:rPr>
          <w:rFonts w:ascii="Calibri" w:hAnsi="Calibri"/>
          <w:b/>
          <w:color w:val="auto"/>
          <w:sz w:val="20"/>
        </w:rPr>
        <w:t>Priorité : P2</w:t>
      </w:r>
    </w:p>
    <w:tbl>
      <w:tblPr>
        <w:tblStyle w:val="6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6510"/>
      </w:tblGrid>
      <w:tr w14:paraId="2311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5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6ED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Tâche</w:t>
            </w:r>
          </w:p>
        </w:tc>
        <w:tc>
          <w:tcPr>
            <w:tcW w:w="65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B626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Résultat attendu</w:t>
            </w:r>
          </w:p>
        </w:tc>
      </w:tr>
      <w:tr w14:paraId="5B648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5BC16B55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Paiement</w:t>
            </w:r>
          </w:p>
        </w:tc>
        <w:tc>
          <w:tcPr>
            <w:tcW w:w="6510" w:type="dxa"/>
            <w:vAlign w:val="top"/>
          </w:tcPr>
          <w:p w14:paraId="0F2BD666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Intégrer le moyen retenu : paiement manuel, Mobile Money, carte ou virement, puis suivre son état.</w:t>
            </w:r>
          </w:p>
        </w:tc>
      </w:tr>
      <w:tr w14:paraId="5403D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012DFE8F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Certificats</w:t>
            </w:r>
          </w:p>
        </w:tc>
        <w:tc>
          <w:tcPr>
            <w:tcW w:w="6510" w:type="dxa"/>
            <w:vAlign w:val="top"/>
          </w:tcPr>
          <w:p w14:paraId="3FCE2470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Produire un certificat après contrôle des prérequis et proposer une page de vérification.</w:t>
            </w:r>
          </w:p>
        </w:tc>
      </w:tr>
      <w:tr w14:paraId="02B4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2A91BBE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Forum et modération</w:t>
            </w:r>
          </w:p>
        </w:tc>
        <w:tc>
          <w:tcPr>
            <w:tcW w:w="6510" w:type="dxa"/>
            <w:vAlign w:val="top"/>
          </w:tcPr>
          <w:p w14:paraId="4453423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Permettre les échanges, la signalisation et la modération par les administrateurs ou formateurs.</w:t>
            </w:r>
          </w:p>
        </w:tc>
      </w:tr>
      <w:tr w14:paraId="1214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527AF8C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Statistiques</w:t>
            </w:r>
          </w:p>
        </w:tc>
        <w:tc>
          <w:tcPr>
            <w:tcW w:w="6510" w:type="dxa"/>
            <w:vAlign w:val="top"/>
          </w:tcPr>
          <w:p w14:paraId="2B29371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Afficher les indicateurs utiles : inscriptions, dossiers, progression, résultats et événements.</w:t>
            </w:r>
          </w:p>
        </w:tc>
      </w:tr>
    </w:tbl>
    <w:p w14:paraId="351B73CF">
      <w:pPr>
        <w:pStyle w:val="3"/>
        <w:rPr>
          <w:color w:val="auto"/>
        </w:rPr>
      </w:pPr>
      <w:r>
        <w:rPr>
          <w:color w:val="auto"/>
        </w:rPr>
        <w:t>Phase 6 - Recette et mise en ligne</w:t>
      </w:r>
    </w:p>
    <w:p w14:paraId="7C1F6D9D">
      <w:pPr>
        <w:spacing w:after="120"/>
        <w:rPr>
          <w:color w:val="auto"/>
        </w:rPr>
      </w:pPr>
      <w:r>
        <w:rPr>
          <w:rFonts w:ascii="Calibri" w:hAnsi="Calibri"/>
          <w:b/>
          <w:color w:val="auto"/>
          <w:sz w:val="20"/>
        </w:rPr>
        <w:t>Priorité : P0</w:t>
      </w:r>
    </w:p>
    <w:tbl>
      <w:tblPr>
        <w:tblStyle w:val="6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6510"/>
      </w:tblGrid>
      <w:tr w14:paraId="7F37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5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461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Tâche</w:t>
            </w:r>
          </w:p>
        </w:tc>
        <w:tc>
          <w:tcPr>
            <w:tcW w:w="65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4BC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1"/>
              </w:rPr>
              <w:t>Résultat attendu</w:t>
            </w:r>
          </w:p>
        </w:tc>
      </w:tr>
      <w:tr w14:paraId="7438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073DB615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Tests complets</w:t>
            </w:r>
          </w:p>
        </w:tc>
        <w:tc>
          <w:tcPr>
            <w:tcW w:w="6510" w:type="dxa"/>
            <w:vAlign w:val="top"/>
          </w:tcPr>
          <w:p w14:paraId="0AEB4851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Tester les parcours visiteur, candidat, apprenant, formateur et administrateur sur ordinateur et mobile.</w:t>
            </w:r>
          </w:p>
        </w:tc>
      </w:tr>
      <w:tr w14:paraId="0D8A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56CC254C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Recette métier</w:t>
            </w:r>
          </w:p>
        </w:tc>
        <w:tc>
          <w:tcPr>
            <w:tcW w:w="6510" w:type="dxa"/>
            <w:vAlign w:val="top"/>
          </w:tcPr>
          <w:p w14:paraId="76FBC40E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Faire valider les écrans et règles par l’équipe EDMAH, puis corriger les anomalies prioritaires.</w:t>
            </w:r>
          </w:p>
        </w:tc>
      </w:tr>
      <w:tr w14:paraId="3EE08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7BC477FF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Préparer la production</w:t>
            </w:r>
          </w:p>
        </w:tc>
        <w:tc>
          <w:tcPr>
            <w:tcW w:w="6510" w:type="dxa"/>
            <w:vAlign w:val="top"/>
          </w:tcPr>
          <w:p w14:paraId="61B38E52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Configurer le domaine, HTTPS, sauvegardes, surveillance, emails de production et accès administrateurs.</w:t>
            </w:r>
          </w:p>
        </w:tc>
      </w:tr>
      <w:tr w14:paraId="67B0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vAlign w:val="top"/>
          </w:tcPr>
          <w:p w14:paraId="20AAD62B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20"/>
              </w:rPr>
              <w:t>Former l’équipe</w:t>
            </w:r>
          </w:p>
        </w:tc>
        <w:tc>
          <w:tcPr>
            <w:tcW w:w="6510" w:type="dxa"/>
            <w:vAlign w:val="top"/>
          </w:tcPr>
          <w:p w14:paraId="1D632175">
            <w:pPr>
              <w:spacing w:after="0"/>
              <w:rPr>
                <w:color w:val="auto"/>
              </w:rPr>
            </w:pPr>
            <w:r>
              <w:rPr>
                <w:rFonts w:ascii="Calibri" w:hAnsi="Calibri"/>
                <w:b w:val="0"/>
                <w:color w:val="auto"/>
                <w:sz w:val="20"/>
              </w:rPr>
              <w:t>Montrer comment gérer les contenus, dossiers, événements, utilisateurs et demandes reçues.</w:t>
            </w:r>
          </w:p>
        </w:tc>
      </w:tr>
    </w:tbl>
    <w:p w14:paraId="0622868E">
      <w:pPr>
        <w:pStyle w:val="2"/>
        <w:rPr>
          <w:color w:val="auto"/>
        </w:rPr>
      </w:pPr>
      <w:r>
        <w:rPr>
          <w:color w:val="auto"/>
        </w:rPr>
        <w:t>Règles de réalisation</w:t>
      </w:r>
    </w:p>
    <w:p w14:paraId="27414103">
      <w:pPr>
        <w:pStyle w:val="33"/>
        <w:spacing w:after="80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Commencer par les tâches P0 : elles sont nécessaires avant toute ouverture au public.</w:t>
      </w:r>
    </w:p>
    <w:p w14:paraId="63FB3D52">
      <w:pPr>
        <w:pStyle w:val="33"/>
        <w:spacing w:after="80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Chaque API doit être testée, documentée et protégée par les permissions Django appropriées.</w:t>
      </w:r>
    </w:p>
    <w:p w14:paraId="768E0B88">
      <w:pPr>
        <w:pStyle w:val="33"/>
        <w:spacing w:after="80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Les documents personnels déposés par les candidats ne doivent jamais être accessibles publiquement.</w:t>
      </w:r>
    </w:p>
    <w:p w14:paraId="1B1BEADE">
      <w:pPr>
        <w:pStyle w:val="33"/>
        <w:spacing w:after="80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Le front-end est raccordé phase par phase : aucune simulation ne doit rester sur une fonction livrée.</w:t>
      </w:r>
    </w:p>
    <w:p w14:paraId="4C5FEFE3">
      <w:pPr>
        <w:pStyle w:val="33"/>
        <w:spacing w:after="80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À la fin de chaque phase, une démonstration et une validation métier sont prévues avant de poursuivre.</w:t>
      </w:r>
    </w:p>
    <w:p w14:paraId="3AED2325">
      <w:pPr>
        <w:pStyle w:val="2"/>
        <w:rPr>
          <w:color w:val="auto"/>
        </w:rPr>
      </w:pPr>
      <w:r>
        <w:rPr>
          <w:color w:val="auto"/>
        </w:rPr>
        <w:t>Livrables attendus à la fin du projet</w:t>
      </w:r>
    </w:p>
    <w:p w14:paraId="401370F7">
      <w:pPr>
        <w:pStyle w:val="33"/>
        <w:spacing w:after="80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Une administration Django utilisable par l’équipe EDMAH.</w:t>
      </w:r>
    </w:p>
    <w:p w14:paraId="6446A265">
      <w:pPr>
        <w:pStyle w:val="33"/>
        <w:spacing w:after="80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Des API Django REST Framework documentées et utilisées par le site.</w:t>
      </w:r>
    </w:p>
    <w:p w14:paraId="4100BE60">
      <w:pPr>
        <w:pStyle w:val="33"/>
        <w:spacing w:after="80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Un parcours d’inscription sécurisé et traçable.</w:t>
      </w:r>
    </w:p>
    <w:p w14:paraId="60F49A3B">
      <w:pPr>
        <w:pStyle w:val="33"/>
        <w:spacing w:after="80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Un espace apprenant fonctionnel pour au moins une formation complète.</w:t>
      </w:r>
    </w:p>
    <w:p w14:paraId="66FE254D">
      <w:pPr>
        <w:pStyle w:val="33"/>
        <w:spacing w:after="80"/>
        <w:rPr>
          <w:color w:val="auto"/>
        </w:rPr>
      </w:pPr>
      <w:r>
        <w:rPr>
          <w:rFonts w:ascii="Calibri" w:hAnsi="Calibri"/>
          <w:b w:val="0"/>
          <w:color w:val="auto"/>
          <w:sz w:val="21"/>
        </w:rPr>
        <w:t>Une version prête à être mise en ligne, avec sauvegarde, HTTPS et accès administrateurs configurés.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Bratsy Script Dem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ratsy Script Demo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ucida Calligraphy">
    <w:altName w:val="Mongolian Baiti"/>
    <w:panose1 w:val="03010101010101010101"/>
    <w:charset w:val="00"/>
    <w:family w:val="auto"/>
    <w:pitch w:val="default"/>
    <w:sig w:usb0="00000000" w:usb1="00000000" w:usb2="00000000" w:usb3="00000000" w:csb0="2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EA954">
    <w:pPr>
      <w:pStyle w:val="24"/>
      <w:jc w:val="right"/>
    </w:pPr>
    <w:r>
      <w:rPr>
        <w:rFonts w:ascii="Calibri" w:hAnsi="Calibri"/>
        <w:b w:val="0"/>
        <w:color w:val="6B7280"/>
        <w:sz w:val="17"/>
      </w:rPr>
      <w:t>EDMAH - Planification Django + DRF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4AFC8">
    <w:pPr>
      <w:pStyle w:val="2"/>
      <w:pageBreakBefore w:val="0"/>
      <w:widowControl/>
      <w:kinsoku/>
      <w:wordWrap/>
      <w:overflowPunct/>
      <w:topLinePunct w:val="0"/>
      <w:bidi w:val="0"/>
      <w:adjustRightInd/>
      <w:snapToGrid/>
      <w:spacing w:line="240" w:lineRule="auto"/>
      <w:jc w:val="right"/>
      <w:textAlignment w:val="auto"/>
      <w:rPr>
        <w:rFonts w:hint="default" w:ascii="Arial" w:hAnsi="Arial" w:cs="Arial"/>
        <w:sz w:val="36"/>
        <w:szCs w:val="36"/>
      </w:rPr>
    </w:pPr>
    <w:bookmarkStart w:id="2" w:name="_GoBack"/>
    <w:bookmarkStart w:id="0" w:name="ARTISCODE AGENCY"/>
    <w:bookmarkEnd w:id="0"/>
    <w:r>
      <w:rPr>
        <w:rFonts w:hint="default" w:ascii="Arial" w:hAnsi="Arial" w:cs="Arial"/>
        <w:sz w:val="36"/>
        <w:szCs w:val="36"/>
      </w:rP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890905</wp:posOffset>
          </wp:positionH>
          <wp:positionV relativeFrom="paragraph">
            <wp:posOffset>235585</wp:posOffset>
          </wp:positionV>
          <wp:extent cx="1143000" cy="114300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Arial" w:hAnsi="Arial" w:cs="Arial"/>
        <w:color w:val="0A132A"/>
        <w:sz w:val="36"/>
        <w:szCs w:val="36"/>
      </w:rPr>
      <w:t>ARTISCODE</w:t>
    </w:r>
    <w:r>
      <w:rPr>
        <w:rFonts w:hint="default" w:ascii="Arial" w:hAnsi="Arial" w:cs="Arial"/>
        <w:color w:val="0A132A"/>
        <w:spacing w:val="-17"/>
        <w:sz w:val="36"/>
        <w:szCs w:val="36"/>
      </w:rPr>
      <w:t xml:space="preserve"> </w:t>
    </w:r>
    <w:r>
      <w:rPr>
        <w:rFonts w:hint="default" w:ascii="Arial" w:hAnsi="Arial" w:cs="Arial"/>
        <w:color w:val="0A132A"/>
        <w:spacing w:val="-2"/>
        <w:sz w:val="36"/>
        <w:szCs w:val="36"/>
      </w:rPr>
      <w:t>AGENCY</w:t>
    </w:r>
  </w:p>
  <w:p w14:paraId="7B0369FA">
    <w:pPr>
      <w:pStyle w:val="6"/>
      <w:pageBreakBefore w:val="0"/>
      <w:widowControl/>
      <w:kinsoku/>
      <w:wordWrap/>
      <w:overflowPunct/>
      <w:topLinePunct w:val="0"/>
      <w:bidi w:val="0"/>
      <w:adjustRightInd/>
      <w:snapToGrid/>
      <w:spacing w:line="240" w:lineRule="auto"/>
      <w:jc w:val="right"/>
      <w:textAlignment w:val="auto"/>
      <w:rPr>
        <w:rFonts w:hint="default" w:ascii="Arial" w:hAnsi="Arial" w:cs="Arial"/>
        <w:b/>
        <w:bCs/>
        <w:sz w:val="20"/>
        <w:szCs w:val="20"/>
      </w:rPr>
    </w:pPr>
    <w:r>
      <w:rPr>
        <w:rFonts w:hint="default" w:ascii="Arial" w:hAnsi="Arial" w:cs="Arial"/>
        <w:b/>
        <w:bCs/>
        <w:color w:val="545454"/>
        <w:sz w:val="20"/>
        <w:szCs w:val="20"/>
      </w:rPr>
      <w:t>Agence</w:t>
    </w:r>
    <w:r>
      <w:rPr>
        <w:rFonts w:hint="default" w:ascii="Arial" w:hAnsi="Arial" w:cs="Arial"/>
        <w:b/>
        <w:bCs/>
        <w:color w:val="545454"/>
        <w:spacing w:val="-6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de</w:t>
    </w:r>
    <w:r>
      <w:rPr>
        <w:rFonts w:hint="default" w:ascii="Arial" w:hAnsi="Arial" w:cs="Arial"/>
        <w:b/>
        <w:bCs/>
        <w:color w:val="545454"/>
        <w:spacing w:val="-6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Développement</w:t>
    </w:r>
    <w:r>
      <w:rPr>
        <w:rFonts w:hint="default" w:ascii="Arial" w:hAnsi="Arial" w:cs="Arial"/>
        <w:b/>
        <w:bCs/>
        <w:color w:val="545454"/>
        <w:spacing w:val="-6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Web,</w:t>
    </w:r>
    <w:r>
      <w:rPr>
        <w:rFonts w:hint="default" w:ascii="Arial" w:hAnsi="Arial" w:cs="Arial"/>
        <w:b/>
        <w:bCs/>
        <w:color w:val="545454"/>
        <w:spacing w:val="-5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Mobile</w:t>
    </w:r>
    <w:r>
      <w:rPr>
        <w:rFonts w:hint="default" w:ascii="Arial" w:hAnsi="Arial" w:cs="Arial"/>
        <w:b/>
        <w:bCs/>
        <w:color w:val="545454"/>
        <w:spacing w:val="-6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&amp;</w:t>
    </w:r>
    <w:r>
      <w:rPr>
        <w:rFonts w:hint="default" w:ascii="Arial" w:hAnsi="Arial" w:cs="Arial"/>
        <w:b/>
        <w:bCs/>
        <w:color w:val="545454"/>
        <w:spacing w:val="-5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z w:val="20"/>
        <w:szCs w:val="20"/>
      </w:rPr>
      <w:t>Solutions</w:t>
    </w:r>
    <w:r>
      <w:rPr>
        <w:rFonts w:hint="default" w:ascii="Arial" w:hAnsi="Arial" w:cs="Arial"/>
        <w:b/>
        <w:bCs/>
        <w:color w:val="545454"/>
        <w:spacing w:val="-6"/>
        <w:sz w:val="20"/>
        <w:szCs w:val="20"/>
      </w:rPr>
      <w:t xml:space="preserve"> </w:t>
    </w:r>
    <w:r>
      <w:rPr>
        <w:rFonts w:hint="default" w:ascii="Arial" w:hAnsi="Arial" w:cs="Arial"/>
        <w:b/>
        <w:bCs/>
        <w:color w:val="545454"/>
        <w:spacing w:val="-2"/>
        <w:sz w:val="20"/>
        <w:szCs w:val="20"/>
      </w:rPr>
      <w:t>Numériques</w:t>
    </w:r>
  </w:p>
  <w:p w14:paraId="5CC55DF6">
    <w:pPr>
      <w:pStyle w:val="21"/>
      <w:pageBreakBefore w:val="0"/>
      <w:widowControl/>
      <w:kinsoku/>
      <w:wordWrap/>
      <w:overflowPunct/>
      <w:topLinePunct w:val="0"/>
      <w:bidi w:val="0"/>
      <w:adjustRightInd/>
      <w:snapToGrid/>
      <w:spacing w:before="77" w:line="240" w:lineRule="auto"/>
      <w:ind w:right="140"/>
      <w:jc w:val="right"/>
      <w:textAlignment w:val="auto"/>
      <w:rPr>
        <w:color w:val="FF6600"/>
      </w:rPr>
    </w:pPr>
    <w:r>
      <w:rPr>
        <w:color w:val="545454"/>
        <w:lang/>
      </w:rPr>
      <w:t>Site web</w:t>
    </w:r>
    <w:r>
      <w:rPr>
        <w:color w:val="545454"/>
        <w:spacing w:val="-13"/>
      </w:rPr>
      <w:t xml:space="preserve"> </w:t>
    </w:r>
    <w:r>
      <w:rPr>
        <w:color w:val="545454"/>
      </w:rPr>
      <w:t>:</w:t>
    </w:r>
    <w:r>
      <w:fldChar w:fldCharType="begin"/>
    </w:r>
    <w:r>
      <w:instrText xml:space="preserve"> HYPERLINK "https://www.artiscodeagency.tech/" \h </w:instrText>
    </w:r>
    <w:r>
      <w:fldChar w:fldCharType="separate"/>
    </w:r>
    <w:r>
      <w:rPr>
        <w:color w:val="FF6600"/>
      </w:rPr>
      <w:t>www.artisc</w:t>
    </w:r>
    <w:r>
      <w:rPr>
        <w:rFonts w:hint="default"/>
        <w:color w:val="FF6600"/>
        <w:lang/>
      </w:rPr>
      <w:t>o</w:t>
    </w:r>
    <w:r>
      <w:rPr>
        <w:color w:val="FF6600"/>
      </w:rPr>
      <w:t>deagency.tech</w:t>
    </w:r>
    <w:r>
      <w:rPr>
        <w:color w:val="FF6600"/>
      </w:rPr>
      <w:fldChar w:fldCharType="end"/>
    </w:r>
  </w:p>
  <w:p w14:paraId="43E4AFFD">
    <w:pPr>
      <w:pStyle w:val="21"/>
      <w:pageBreakBefore w:val="0"/>
      <w:widowControl/>
      <w:kinsoku/>
      <w:wordWrap/>
      <w:overflowPunct/>
      <w:topLinePunct w:val="0"/>
      <w:bidi w:val="0"/>
      <w:adjustRightInd/>
      <w:snapToGrid/>
      <w:spacing w:before="77" w:line="240" w:lineRule="auto"/>
      <w:ind w:right="140"/>
      <w:jc w:val="right"/>
      <w:textAlignment w:val="auto"/>
    </w:pPr>
    <w:r>
      <w:rPr>
        <w:color w:val="545454"/>
      </w:rPr>
      <w:t>Contacts</w:t>
    </w:r>
    <w:r>
      <w:rPr>
        <w:color w:val="545454"/>
        <w:spacing w:val="-3"/>
      </w:rPr>
      <w:t xml:space="preserve"> </w:t>
    </w:r>
    <w:r>
      <w:rPr>
        <w:color w:val="545454"/>
      </w:rPr>
      <w:t>:</w:t>
    </w:r>
    <w:r>
      <w:rPr>
        <w:color w:val="545454"/>
        <w:spacing w:val="-3"/>
      </w:rPr>
      <w:t xml:space="preserve"> </w:t>
    </w:r>
    <w:r>
      <w:rPr>
        <w:color w:val="545454"/>
      </w:rPr>
      <w:t>698</w:t>
    </w:r>
    <w:r>
      <w:rPr>
        <w:color w:val="545454"/>
        <w:spacing w:val="-3"/>
      </w:rPr>
      <w:t xml:space="preserve"> </w:t>
    </w:r>
    <w:r>
      <w:rPr>
        <w:color w:val="545454"/>
      </w:rPr>
      <w:t>256</w:t>
    </w:r>
    <w:r>
      <w:rPr>
        <w:color w:val="545454"/>
        <w:spacing w:val="-2"/>
      </w:rPr>
      <w:t xml:space="preserve"> </w:t>
    </w:r>
    <w:r>
      <w:rPr>
        <w:color w:val="545454"/>
      </w:rPr>
      <w:t>973</w:t>
    </w:r>
    <w:r>
      <w:rPr>
        <w:rFonts w:hint="default"/>
        <w:color w:val="545454"/>
        <w:lang/>
      </w:rPr>
      <w:t xml:space="preserve"> </w:t>
    </w:r>
    <w:r>
      <w:rPr>
        <w:color w:val="545454"/>
      </w:rPr>
      <w:t>/</w:t>
    </w:r>
    <w:r>
      <w:rPr>
        <w:color w:val="545454"/>
        <w:spacing w:val="-3"/>
      </w:rPr>
      <w:t xml:space="preserve"> </w:t>
    </w:r>
    <w:r>
      <w:rPr>
        <w:color w:val="545454"/>
      </w:rPr>
      <w:t>652</w:t>
    </w:r>
    <w:r>
      <w:rPr>
        <w:color w:val="545454"/>
        <w:spacing w:val="-2"/>
      </w:rPr>
      <w:t xml:space="preserve"> </w:t>
    </w:r>
    <w:r>
      <w:rPr>
        <w:color w:val="545454"/>
      </w:rPr>
      <w:t>445</w:t>
    </w:r>
    <w:r>
      <w:rPr>
        <w:color w:val="545454"/>
        <w:spacing w:val="-3"/>
      </w:rPr>
      <w:t xml:space="preserve"> </w:t>
    </w:r>
    <w:r>
      <w:rPr>
        <w:color w:val="545454"/>
        <w:spacing w:val="-5"/>
      </w:rPr>
      <w:t>709</w:t>
    </w:r>
  </w:p>
  <w:p w14:paraId="786D7D46">
    <w:pPr>
      <w:pStyle w:val="21"/>
      <w:pageBreakBefore w:val="0"/>
      <w:widowControl/>
      <w:kinsoku/>
      <w:wordWrap/>
      <w:overflowPunct/>
      <w:topLinePunct w:val="0"/>
      <w:bidi w:val="0"/>
      <w:adjustRightInd/>
      <w:snapToGrid/>
      <w:spacing w:before="3" w:line="240" w:lineRule="auto"/>
      <w:ind w:right="140"/>
      <w:jc w:val="right"/>
      <w:textAlignment w:val="auto"/>
    </w:pPr>
    <w:r>
      <w:rPr>
        <w:color w:val="545454"/>
      </w:rPr>
      <w:t>Localisation</w:t>
    </w:r>
    <w:r>
      <w:rPr>
        <w:color w:val="545454"/>
        <w:spacing w:val="-7"/>
      </w:rPr>
      <w:t xml:space="preserve"> </w:t>
    </w:r>
    <w:r>
      <w:rPr>
        <w:color w:val="545454"/>
      </w:rPr>
      <w:t>:</w:t>
    </w:r>
    <w:r>
      <w:rPr>
        <w:color w:val="545454"/>
        <w:spacing w:val="-6"/>
      </w:rPr>
      <w:t xml:space="preserve"> </w:t>
    </w:r>
    <w:r>
      <w:rPr>
        <w:color w:val="545454"/>
      </w:rPr>
      <w:t>Bertoua,</w:t>
    </w:r>
    <w:r>
      <w:rPr>
        <w:color w:val="545454"/>
        <w:spacing w:val="-6"/>
      </w:rPr>
      <w:t xml:space="preserve"> </w:t>
    </w:r>
    <w:r>
      <w:rPr>
        <w:color w:val="545454"/>
      </w:rPr>
      <w:t>Ekounou</w:t>
    </w:r>
    <w:r>
      <w:rPr>
        <w:color w:val="545454"/>
        <w:spacing w:val="-6"/>
      </w:rPr>
      <w:t xml:space="preserve"> </w:t>
    </w:r>
    <w:r>
      <w:rPr>
        <w:color w:val="545454"/>
      </w:rPr>
      <w:t>(près</w:t>
    </w:r>
    <w:r>
      <w:rPr>
        <w:color w:val="545454"/>
        <w:spacing w:val="-7"/>
      </w:rPr>
      <w:t xml:space="preserve"> </w:t>
    </w:r>
    <w:r>
      <w:rPr>
        <w:color w:val="545454"/>
      </w:rPr>
      <w:t>de</w:t>
    </w:r>
    <w:r>
      <w:rPr>
        <w:color w:val="545454"/>
        <w:spacing w:val="-6"/>
      </w:rPr>
      <w:t xml:space="preserve"> </w:t>
    </w:r>
    <w:r>
      <w:rPr>
        <w:color w:val="545454"/>
      </w:rPr>
      <w:t>la</w:t>
    </w:r>
    <w:r>
      <w:rPr>
        <w:color w:val="545454"/>
        <w:spacing w:val="-6"/>
      </w:rPr>
      <w:t xml:space="preserve"> </w:t>
    </w:r>
    <w:r>
      <w:rPr>
        <w:color w:val="545454"/>
      </w:rPr>
      <w:t>Régionale</w:t>
    </w:r>
    <w:r>
      <w:rPr>
        <w:color w:val="545454"/>
        <w:spacing w:val="-6"/>
      </w:rPr>
      <w:t xml:space="preserve"> </w:t>
    </w:r>
    <w:r>
      <w:rPr>
        <w:color w:val="545454"/>
        <w:spacing w:val="-2"/>
      </w:rPr>
      <w:t>Meuble)</w: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539750</wp:posOffset>
              </wp:positionH>
              <wp:positionV relativeFrom="paragraph">
                <wp:posOffset>237490</wp:posOffset>
              </wp:positionV>
              <wp:extent cx="6480175" cy="28575"/>
              <wp:effectExtent l="0" t="0" r="15875" b="9525"/>
              <wp:wrapTopAndBottom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175" cy="28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28575">
                            <a:moveTo>
                              <a:pt x="6480000" y="28575"/>
                            </a:moveTo>
                            <a:lnTo>
                              <a:pt x="0" y="28575"/>
                            </a:lnTo>
                            <a:lnTo>
                              <a:pt x="0" y="0"/>
                            </a:lnTo>
                            <a:lnTo>
                              <a:pt x="6480000" y="0"/>
                            </a:lnTo>
                            <a:lnTo>
                              <a:pt x="6480000" y="28575"/>
                            </a:lnTo>
                            <a:close/>
                          </a:path>
                        </a:pathLst>
                      </a:custGeom>
                      <a:solidFill>
                        <a:srgbClr val="FF66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42.5pt;margin-top:18.7pt;height:2.25pt;width:510.25pt;mso-position-horizontal-relative:page;mso-wrap-distance-bottom:0pt;mso-wrap-distance-top:0pt;z-index:-251656192;mso-width-relative:page;mso-height-relative:page;" fillcolor="#FF6600" filled="t" stroked="f" coordsize="6480175,28575" o:gfxdata="UEsDBAoAAAAAAIdO4kAAAAAAAAAAAAAAAAAEAAAAZHJzL1BLAwQUAAAACACHTuJAVftdcdoAAAAJ&#10;AQAADwAAAGRycy9kb3ducmV2LnhtbE2PQUvDQBSE74L/YXmCF2k30UZjzEsPghSpgra25232mYRm&#10;34bsJo3/3u1Jj8MMM9/ky8m0YqTeNZYR4nkEgri0uuEK4Wv7MktBOK9Yq9YyIfyQg2VxeZGrTNsT&#10;f9K48ZUIJewyhVB732VSurImo9zcdsTB+7a9UT7IvpK6V6dQblp5G0X30qiGw0KtOnquqTxuBoMw&#10;7Farcd99HPevO72+WU/pm3t3iNdXcfQEwtPk/8Jwxg/oUASmgx1YO9EipEm44hHuHhYgzn4cJQmI&#10;A8IifgRZ5PL/g+IXUEsDBBQAAAAIAIdO4kABWBNrHAIAAOQEAAAOAAAAZHJzL2Uyb0RvYy54bWyt&#10;VMGO2jAQvVfqP1i+lwDq0hUirKpFrCpV7Uq7/QDjOMSS7XFtQ+DvO7ZjiNgLh3KIn+PJm3lvxqye&#10;TlqRo3BegqnpbDKlRBgOjTT7mv553355pMQHZhqmwIianoWnT+vPn1a9XYo5dKAa4QiSGL/sbU27&#10;EOyyqjzvhGZ+AlYYPGzBaRZw6/ZV41iP7FpV8+l0UfXgGuuAC+/x7SYf0oHR3UMIbSu52AA/aGFC&#10;ZnVCsYCSfCetp+tUbdsKHn63rReBqJqi0pCemATxLj6r9Yot947ZTvKhBHZPCTeaNJMGk16oNiww&#10;cnDyA5WW3IGHNkw46CoLSY6gitn0xpu3jlmRtKDV3l5M9/+Plv86vjoim5rOKTFMY8NfBjfm0Zze&#10;+iXGvNlXN+w8wqj01DodV9RATsnQ88VQcQqE48vF18fp7NsDJRzP5o8PCJGlun7MDz68CEhE7PjT&#10;h9yPpiDWFcRPpkCHXY39VKmfgRLsp0v93OV+Whbid7G6CEk/qqQrhcRTDUfxDikuRBGxXvxRclPu&#10;NU6ZcfzHyHJeVpt4c1yaNhRfzsqaY8a5748cm1r4uAIvss9RfjL8YgnmH5vuQclmK5WKJni33z0r&#10;R44M3d1uFwu0IvOMwqo4EnkIItpBc8YJ6nFoaur/HpgTlKgfBmcUVYcCXAG7AlxQz5BuZUxt4Psh&#10;QCvjAKQMmXfY4PAnFcNFjbdrvE9R1z+n9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11x2gAA&#10;AAkBAAAPAAAAAAAAAAEAIAAAACIAAABkcnMvZG93bnJldi54bWxQSwECFAAUAAAACACHTuJAAVgT&#10;axwCAADkBAAADgAAAAAAAAABACAAAAApAQAAZHJzL2Uyb0RvYy54bWxQSwUGAAAAAAYABgBZAQAA&#10;twUAAAAA&#10;" path="m6480000,28575l0,28575,0,0,6480000,0,6480000,28575xe">
              <v:fill on="t" focussize="0,0"/>
              <v:stroke on="f"/>
              <v:imagedata o:title=""/>
              <o:lock v:ext="edit" aspectratio="f"/>
              <v:textbox inset="0mm,0mm,0mm,0mm"/>
              <w10:wrap type="topAndBottom"/>
            </v:shape>
          </w:pict>
        </mc:Fallback>
      </mc:AlternateContent>
    </w:r>
    <w:bookmarkStart w:id="1" w:name="Fiche d'Évaluation &amp; de Notation du Stag"/>
    <w:bookmarkEnd w:id="1"/>
    <w:r>
      <w:rPr>
        <w:rFonts w:hint="default" w:ascii="Times New Roman" w:hAnsi="Times New Roman" w:cs="Times New Roman"/>
        <w:sz w:val="24"/>
        <w:szCs w:val="24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766445</wp:posOffset>
          </wp:positionH>
          <wp:positionV relativeFrom="page">
            <wp:posOffset>2927985</wp:posOffset>
          </wp:positionV>
          <wp:extent cx="5996305" cy="6278880"/>
          <wp:effectExtent l="0" t="0" r="4445" b="762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96305" cy="6278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bookmarkEnd w:id="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B27729"/>
    <w:rsid w:val="11A71ACE"/>
    <w:rsid w:val="31056DF8"/>
    <w:rsid w:val="32E93B15"/>
    <w:rsid w:val="39127F35"/>
    <w:rsid w:val="54952530"/>
    <w:rsid w:val="5D9A4277"/>
    <w:rsid w:val="79CE3466"/>
    <w:rsid w:val="7C22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39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link w:val="40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qFormat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823</Words>
  <Characters>4940</Characters>
  <Lines>0</Lines>
  <Paragraphs>0</Paragraphs>
  <TotalTime>4</TotalTime>
  <ScaleCrop>false</ScaleCrop>
  <LinksUpToDate>false</LinksUpToDate>
  <CharactersWithSpaces>5650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EDMAH</dc:creator>
  <dc:description>generated by python-docx</dc:description>
  <cp:lastModifiedBy>Kapel Ange</cp:lastModifiedBy>
  <dcterms:modified xsi:type="dcterms:W3CDTF">2026-08-24T14:47:03Z</dcterms:modified>
  <dc:subject>Plan de développement</dc:subject>
  <dc:title>Planification du développement EDMAH - Django et DRF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eyJoZGlkIjoiMzdjMWQ1ZGJmOTRjZTlhNGQ1ZTQ4MzliMzdlNjdhMjYiLCJ1c2VySWQiOiIxNjc4NTM4ODg5MzM5NiJ9</vt:lpwstr>
  </property>
  <property fmtid="{D5CDD505-2E9C-101B-9397-08002B2CF9AE}" pid="3" name="KSOProductBuildVer">
    <vt:lpwstr>1036-12.1.0.28032</vt:lpwstr>
  </property>
  <property fmtid="{D5CDD505-2E9C-101B-9397-08002B2CF9AE}" pid="4" name="ICV">
    <vt:lpwstr>81B218C155DD45E2AEE05C9B4FBF4FB1_12</vt:lpwstr>
  </property>
</Properties>
</file>