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body>
    <w:p>
      <w:pPr>
        <w:pStyle w:val="Heading1"/>
      </w:pPr>
      <w:r>
        <w:t>DrawingML Composite Diagram Benchmark</w:t>
      </w:r>
    </w:p>
    <w:p>
      <w:r>
        <w:t>The following diagram combines an anchored shape (wp:anchor) and an inline shape group (wp:inline) in the same paragraph:</w:t>
      </w:r>
    </w:p>
    <w:p>
      <!-- 1. Floating/Anchored Drawing: Source Input Document --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342900</wp:posOffset>
            </wp:positionH>
            <wp:positionV relativeFrom="paragraph">
              <wp:posOffset>62230</wp:posOffset>
            </wp:positionV>
            <wp:extent cx="914400" cy="914400"/>
            <wp:effectExtent l="0" t="0" r="0" b="0"/>
            <wp:wrapNone/>
            <wp:docPr id="1" name="SourceDoc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foldedCorner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b/>
                          </w:rPr>
                          <w:t>Source Input Document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!-- 2. Inline Group Drawing: Process Box B1, Arrow A->B1, and Side Spec B2 -->
      <w:r>
        <w:drawing>
          <wp:inline distT="0" distB="0" distL="0" distR="0">
            <wp:extent cx="6400080" cy="6743160"/>
            <wp:effectExtent l="0" t="0" r="0" b="0"/>
            <wp:docPr id="2" name="ProcessGroup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400080" cy="6743160"/>
                      <a:chOff x="0" y="0"/>
                      <a:chExt cx="6400080" cy="6743160"/>
                    </a:xfrm>
                  </wpg:grpSpPr>
                  <!-- Background boundary rect -->
                  <wps:wsp>
                    <wps:cNvSpPr/>
                    <wps:spPr>
                      <a:xfrm>
                        <a:off x="0" y="0"/>
                        <a:ext cx="6400080" cy="6743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bodyPr/>
                  </wps:wsp>
                  <!-- Shape B1: Target Processing Unit -->
                  <wps:wsp>
                    <wps:cNvSpPr/>
                    <wps:spPr>
                      <a:xfrm>
                        <a:off x="342360" y="1256760"/>
                        <a:ext cx="2284200" cy="342360"/>
                      </a:xfrm>
                      <a:prstGeom prst="rect">
                        <a:avLst/>
                      </a:prstGeom>
                      <a:solidFill>
                        <a:srgbClr val="F8D7DA"/>
                      </a:solidFill>
                      <a:ln w="9525">
                        <a:solidFill>
                          <a:srgbClr val="721C24"/>
                        </a:solidFill>
                      </a:ln>
                    </wps:spPr>
                    <wps:txbx>
                      <w:txbxContent>
                        <w:p>
                          <w:r>
                            <w:rPr>
                              <w:b/>
                            </w:rPr>
                            <w:t>Target Processing Unit</w:t>
                          </w:r>
                        </w:p>
                      </w:txbxContent>
                    </wps:txbx>
                    <wps:bodyPr/>
                  </wps:wsp>
                  <!-- Line A -> B1: connecting bottom of SourceDoc (Y=96px) to top of Processing Unit (Y=132px) -->
                  <wps:wsp>
                    <wps:cNvSpPr/>
                    <wps:spPr>
                      <a:xfrm>
                        <a:off x="798840" y="914400"/>
                        <a:ext cx="720" cy="342360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 w="med" len="med"/>
                      </a:ln>
                    </wps:spPr>
                    <wps:bodyPr/>
                  </wps:wsp>
                  <!-- Shape B2: Side Validation Spec attached to the right of SourceDoc (X=132px, Y=84px) -->
                  <wps:wsp>
                    <wps:cNvSpPr/>
                    <wps:spPr>
                      <a:xfrm>
                        <a:off x="1256040" y="798840"/>
                        <a:ext cx="1828080" cy="343440"/>
                      </a:xfrm>
                      <a:prstGeom prst="rect">
                        <a:avLst/>
                      </a:prstGeom>
                      <a:solidFill>
                        <a:srgbClr val="E2E3E5"/>
                      </a:solidFill>
                      <a:ln w="9525">
                        <a:solidFill>
                          <a:srgbClr val="383D41"/>
                        </a:solidFill>
                      </a:ln>
                    </wps:spPr>
                    <wps:txbx>
                      <w:txbxContent>
                        <w:p>
                          <w:r>
                            <w:t>Validation Specification</w:t>
                          </w:r>
                        </w:p>
                      </w:txbxContent>
                    </wps:txbx>
                    <wps:bodyPr/>
                  </wps:wsp>
                </wpg:wgp>
              </a:graphicData>
            </a:graphic>
          </wp:inline>
        </w:drawing>
      </w:r>
    </w:p>
    <w:sectPr>
      <w:pgSz w:w="11906" w:h="16838"/>
      <w:pgMar w:top="1417" w:right="1417" w:bottom="1417" w:left="141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