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bCs/>
        </w:rPr>
        <w:t xml:space="preserve">Case 1: bold text then a plain text run.</w:t>
      </w:r>
      <w:r>
        <w:t xml:space="preserve"> Plain tail.</w:t>
      </w:r>
    </w:p>
    <w:p>
      <w:r>
        <w:rPr>
          <w:b/>
          <w:bCs/>
        </w:rPr>
        <w:t xml:space="preserve">Case 2: bold text then a plain whitespace-only run.</w:t>
      </w:r>
      <w:r>
        <w:t xml:space="preserve"> </w:t>
      </w:r>
    </w:p>
    <w:p>
      <w:r>
        <w:rPr>
          <w:i/>
          <w:iCs/>
        </w:rPr>
        <w:t xml:space="preserve">Case 3: italic text then a plain whitespace-only run.</w:t>
      </w:r>
      <w:r>
        <w:t xml:space="preserve"> </w:t>
      </w:r>
    </w:p>
    <w:p>
      <w:r>
        <w:rPr>
          <w:b/>
          <w:bCs/>
        </w:rPr>
        <w:t xml:space="preserve">Case 4: the whole paragraph is a single bold run.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Case 5: bold list item then a plain whitespace-only run.</w:t>
      </w:r>
      <w: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numbering" Target="numbering.xml"/>
</Relationships>
</file>