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Introduction</w:t>
      </w:r>
    </w:p>
    <w:p>
      <w:r>
        <w:t>Table of Contents</w:t>
      </w:r>
    </w:p>
    <w:p>
      <w:r>
        <w:t>1. Scope and Objectives</w:t>
        <w:tab/>
        <w:t>1</w:t>
      </w:r>
    </w:p>
    <w:p>
      <w:r>
        <w:t>2. Architecture Overview</w:t>
        <w:tab/>
        <w:t>2</w:t>
      </w:r>
    </w:p>
    <w:p>
      <w:pPr>
        <w:pStyle w:val="Heading1"/>
      </w:pPr>
      <w:r>
        <w:t>1. Scope and Objectives</w:t>
      </w:r>
    </w:p>
    <w:p>
      <w:r>
        <w:t>This section defines the scope of the synthetic specification.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Core Parser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</w:tbl>
    <w:p>
      <w:r>
        <w:t>Document Conclusion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