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52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Models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controllers_class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controllers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view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jquery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pPr>
              <w:jc w:val="left"/>
            </w:pPr>
            <w:r>
              <w:t xml:space="preserve">s’inscrire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pPr>
              <w:jc w:val="left"/>
            </w:pPr>
            <w:r>
              <w:t xml:space="preserve">login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pPr>
              <w:jc w:val="left"/>
            </w:pPr>
            <w:r>
              <w:t xml:space="preserve">mot de passe oublier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  <w:tc>
          <w:tcPr>
            <w:tcW w:w="957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2021-11-10T03:08:08Z</dcterms:modified>
</cp:coreProperties>
</file>