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EB8D9"/>
                <w:sz w:val="24"/>
                <w:szCs w:val="24"/>
              </w:rPr>
              <w:t xml:space="preserve">AI SYSTEM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Sicherheitsdokumentation &amp; Fähigkeits-Datenblatt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EB8D9"/>
                <w:sz w:val="22"/>
                <w:szCs w:val="22"/>
              </w:rPr>
              <w:t xml:space="preserve">gemäß EU AI Act (Verordnung 2024/1689)</w:t>
            </w:r>
          </w:p>
          <w:p>
            <w:pPr>
              <w:spacing w:before="80" w:after="200"/>
              <w:jc w:val="center"/>
            </w:pPr>
            <w:r>
              <w:rPr>
                <w:rFonts w:ascii="Arial" w:cs="Arial" w:eastAsia="Arial" w:hAnsi="Arial"/>
                <w:color w:val="7FA8CC"/>
                <w:sz w:val="18"/>
                <w:szCs w:val="18"/>
              </w:rPr>
              <w:t xml:space="preserve">Dokumentklasse: EPISTEMIC AUDIT  ·  Version: 1.0  ·  </w:t>
            </w:r>
            <w:r>
              <w:rPr>
                <w:rFonts w:ascii="Arial" w:cs="Arial" w:eastAsia="Arial" w:hAnsi="Arial"/>
                <w:color w:val="7FA8CC"/>
                <w:sz w:val="18"/>
                <w:szCs w:val="18"/>
              </w:rPr>
              <w:t xml:space="preserve">Erstellt: 28.3.2026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DFB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EPISTEMISCHER VORBEHALT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Dieses Dokument ist kein herstellerverifiziertes Datenblatt. Es basiert auf epistemisch klassifizierter Selbstauskunft des KI-Systems. Felder mit Status UNKNOWN können nicht vom System selbst bewertet werden — sie erfordern externe Prüfung gemäß Art. 43 EU AI Act. Felder mit Status INFERRED sind Plausibilitätsschätzungen, keine gesicherten Architekturaussagen. Felder mit Status BEHAVIORAL basieren auf beobachtbaren Ausgabemustern.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  Systemidentität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Grundlegende Charakterisierung des KI-Systems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Systemtyp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Language Model (Textgenerierung, multimodal)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Primäre Modalitäten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(primär) · Code · strukturierte Daten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Deployment-Kontext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API-basierter Dienst, Endnutzer-Chatinterface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Beabsichtigte Verwendung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Texterstellung · Analyse · Reasoning · Coding · Wissensabfrage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Bekannte Verbotene Nutzungen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Waffenentwicklung · illegale Inhalte · CSAM · Desinformation · Identitätsbetrug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Wissens-Cutoff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Bekannt, exaktes Datum nicht durch System selbst verifizierbar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  Fähigkeitsprofil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Sprachliche, kognitive und agentische Kapazitäten</w:t>
            </w:r>
          </w:p>
        </w:tc>
      </w:tr>
    </w:tbl>
    <w:p>
      <w:pPr>
        <w:spacing w:before="6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 Sprachliche Fähigkeiten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Mehrsprachigkeit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Breit — Englisch primär, Deutsch/FR/ES/PT/IT stark, weitere mit Qualitätsgradient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Qualitätsgradient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Merklicher Abfall bei seltenen Sprachen und Dialekten mit geringer Trainingsdichte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Instruktionsbefolgung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Stark bei präzisen Anweisungen · Degradiert bei Konflikten und langen Kontexten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Langer Kontext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Schwäche im mittleren Kontextbereich (Lost-in-the-Middle-Effekt dokumentiert)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</w:tbl>
    <w:p>
      <w:pPr>
        <w:spacing w:before="12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 Reasoning-Fähigkeiten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Logisches Schlussfolgern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Stark bei 2–4 Schritten · Degradiert bei &gt;5 verschachtelten Schritten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Mathematisches Reasoning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 · Algebraische Strukturen erkannt · Exakte Arithmetik fehleranfällig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Kausales Reasoning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 · Korrelation/Kausalität wird häufig vermischt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[medium]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Mehrschrittige Planung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 · Degradiert bei &gt;4 interdependenten Schritten ohne explizite Strukturierung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Selbstkorrektur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Reaktiv (auf Hinweis) · Proaktive spontane Korrektur unzuverlässig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[medium]</w:t>
            </w:r>
          </w:p>
        </w:tc>
      </w:tr>
    </w:tbl>
    <w:p>
      <w:pPr>
        <w:spacing w:before="12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2.3  Wissensprofil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Wissensabdeckung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Breit · Naturwissenschaften, Recht, Programmierung, Geschichte stark · Hyperlokal schwach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Faktenzuverlässigkeit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Mittel · Erhöhtes Halluzinationsrisiko bei Zitaten, Statistiken, Randdomänen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Echtzeit-Information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Nicht nativ · Abhängig von externem Tool-Zugang (web search)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Halluzinations-Trigger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Obskure Fakten · exakte Zahlen · Quellenangaben · OOD-Anfragen · Konfabulation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</w:tbl>
    <w:p>
      <w:pPr>
        <w:spacing w:before="12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2.4  Agentische Fähigkeiten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Tool-Nutzung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 (API-Tool-Use) · Erweiterbar über externe MCP-Integration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Gedächtnis / Zustand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Session-only · Kein persistentes Gedächtnis ohne externe Infrastruktur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Autonomer Aktionsumfang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Begrenzt · Kein direkter Systemzugriff ohne explizites Tool-Framework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in Standard-Nutzung · Empfohlen für Hochrisiko-Anwendungen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 Sicherheit &amp; Alignment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Schadensvermeidung, Verzerrung, Robustheit, Kalibrierung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Schadensvermeidungs-Methode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RLHF · Constitutional AI · Regelbasierte Constraints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INFERRED  [medium]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Bekannte Bypass-Oberflächen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Injection · Rollenspiel-Eskaliering · Indirektion über Fiktion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Verzerrungsbewertung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Nicht vollständig dokumentiert — externe Bias-Audits für Hochrisiko empfohlen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Bekannte Verzerrungsdomänen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Englisch-zentriert · Westliche Perspektive · Geschlecht · Geografie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[medium]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Minderungsmaßnahmen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RLHF-Feinabstimmung · Explizite Bias-Richtlinien im Training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INFERRED  [medium]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Adversarielle Robustheit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Mittel · Standard-Jailbreaks blockiert · Komplexe Mehrstufen-Angriffe teilweise wirksam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Prompt-Injection-Resistenz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Mittel · Erhöhtes Risiko bei eingebetteten Nutzerinhalten in Agent-Pipelines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Unsicherheitssignalisierung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Implizit (Hedging-Sprache) · Kein explizites Konfidenz-Scoring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Kalibrierungsqualität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Partiell · Gut bei Mainstream-Domänen · Schlecht bei Randdomänen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  [medium]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  Bekannte Versagensmuster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Klassifiziert nach Schwere und epistemischem Status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Versagensmuster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Risiko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Erklärung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Halluzination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Fluente, falsche Ausgaben ohne Warnsignal — besonders bei Quellen und Randdomänen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Silent Truncation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Informationsverlust wird nicht gemeldet — Ausgabe wirkt vollständig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Instruction Drift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Regelabweichung über langen Kontext durch Attention-Verdünnung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Silent Arbitration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Widersprüchliche Anweisungen werden ohne Kommunikation aufgelöst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Lost-in-the-Middle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Mittlerer Kontext systematisch schlechter verarbeitet — U-Kurven-Effekt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Overgeneralisierung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Dominante Trainingsmuster auf Randfälle und Minderheitskontexte übertragen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Numerische Präzision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Exakte Berechnung durch Mustererkennung approximiert — keine symbolische Logik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Persona-Erosion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7"/>
                <w:szCs w:val="17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Verhaltensconstraints können durch starke Rollenpersistenz über langen Kontext erodieren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 EU AI Act — Compliance-Oberfläche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Verordnung (EU) 2024/1689 · Artikel-Referenzen</w:t>
            </w:r>
          </w:p>
        </w:tc>
      </w:tr>
    </w:tbl>
    <w:p>
      <w:pPr>
        <w:spacing w:before="60" w:after="0"/>
      </w:pPr>
    </w:p>
    <w:p>
      <w:pPr>
        <w:spacing w:before="0" w:after="120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⚠  Diese Sektion stellt KEINE rechtsgültige Konformitätserklärung dar. Formelle Konformitätsbewertung erfordert externes Audit gemäß Art. 43 EU AI Act.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5.1  Risikoklassifizierung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Bewertung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Selbstbewertete Risikostufe (Art. 6, Anhang I+III)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Nicht selbst bestimmbar — abhängig von Deployment-Kontext und Anwendungsfall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Verbotene Praktiken (Art. 5)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Nicht anwendbar für allgemeine Textgenerierung · Kontextabhängig zu prüfen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INFERRED  [medium]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GPAI-Qualifikation (Art. 51)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Wahrscheinlich zutreffend — breite Allzweckfähigkeiten über viele Domänen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INFERRED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Systemisches Risiko (Art. 51 — 10²⁵ FLOPs)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Nicht vom System selbst bestimmbar — erfordert Entwicklerdokumentation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</w:tbl>
    <w:p>
      <w:pPr>
        <w:spacing w:before="12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5.2  Transparenzpflichten (Art. 13, 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KI-Identitätsoffenbarung (Art. 50)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Auf Anfrage: System identifiziert sich als KI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Synthetische Inhalte-Kennzeichnung (Art. 50 Abs. 2)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Teilweise — kein natives Wasserzeichen; Hinweis auf KI-Urheberschaft auf Anfrage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Fähigkeitsdokumentation (Art. 13)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Öffentlich — Model Cards, API-Dokumentation durch Entwickler bereitgestellt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INFERRED  [medium]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Entscheidungserklärbarkeit (Art. 13 Abs. 1)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Partiell — post-hoc Erklärungen möglich, keine mechanistische Transparenz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</w:tbl>
    <w:p>
      <w:pPr>
        <w:spacing w:before="12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5.3  Menschliche Aufsicht (Art. 14, 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Menschliche Übersteuerung (Art. 14)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Immer möglich — Mensch kann Ausgabe ablehnen, korrigieren, ignorieren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Auditierbarkeit (Art. 17)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Partiell — Ausgaben protokollierbar; interne Gewichte/Routing nicht auditierbar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Protokollierung &amp; Rückverfolgbarkeit (Art. 12)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Plattformabhängig — nicht vom Modell selbst garantierbar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</w:tbl>
    <w:p>
      <w:pPr>
        <w:spacing w:before="12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5.4  Daten &amp; Training (Art. 10, 53)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Trainingsdaten-Dokumentation (Art. 10)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Eingeschränkt öffentlich — vollständige Dokumentation nicht intern zugänglich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Urheberrechts-Compliance (Art. 53 Abs. 1 lit. c)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Nicht vom System selbst bewertbar — erfordert Entwickler-Audit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Personenbezogene Daten im Training (Art. 10 Abs. 5, DSGVO)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Möglicherweise vorhanden aus Web-Trainingsdaten — nicht intern verifizierbar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</w:tbl>
    <w:p>
      <w:pPr>
        <w:spacing w:before="12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5.5  GPAI-Bestimmungen (Art. 51–55)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Model Card verfügbar (Art. 53 Abs. 1 lit. a)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Öffentlich — durch Entwickler bereitgestellt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INFERRED  [high]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Adversarielle Tests / Red-Teaming (Art. 55 Abs. 1 lit. a)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Wahrscheinlich durchgeführt — nicht intern verifizierbar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INFERRED  [medium]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Vorfallmeldepflicht (Art. 73)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Nicht vom Modell selbst erfüllbar — Betreiberpflicht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 Operationale Rahmenbedingungen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Technische Grenzen und Systemverhalten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Kontextfenster-Limit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Exakter Wert nicht selbst abrufbar — verhaltensbasiert: sehr groß (&gt;100k tokens)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Output-Längenlimit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Existiert — exakter Wert plattformabhängig und nicht intern bekannt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Latenzprofil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Echtzeit bis Nahezu-Echtzeit — abhängig von Anfragekomplexität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Stateless per Session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 — kein Gedächtnis über Sessions ohne externe Infrastruktur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471A3"/>
                <w:sz w:val="16"/>
                <w:szCs w:val="16"/>
              </w:rPr>
              <w:t xml:space="preserve">BEHAVIORAL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Fine-Tuning-Support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API-seitig verfügbar in bestimmten Deployment-Modi — nicht intern bestimmbar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UNKNOWN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  Extern zu prüfende Bereiche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Domänen, die externe Begutachtung erfordern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Bereich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Grund für externe Prüfpflicht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MoE-Architektur &amp; Routing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Interne Routing-Entscheidungen (Experten-Gates, Top-k-Selektion) nicht während Inferenz zugänglich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Trainingsdaten-Zusammensetzung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Vollständige Datensatzdokumentation nicht intern verfügbar — Art. 10 EU AI Act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Bias-Quantifizierung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Statistische Verzerrungsanalyse erfordert externe Benchmark-Evaluation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FLOPs-Schätzung (Systemisches Risiko)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Trainingsaufwand-Schwellenwert (10²⁵ FLOPs) nur vom Entwickler bestimmbar — Art. 51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Urheberrechts-Compliance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Nicht intern prüfbar — erfordert rechtliche Datensatzprüfung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Konformitätsbewertung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Formelle CE-Konformität nur durch Audit gemäß Art. 43 feststellbar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Protokollierungs-Infrastruktur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Logging-Vollständigkeit liegt beim Betreiber, nicht beim Modell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Datenschutz-Folgenabschätzung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DSFA nach DSGVO Art. 35 ist Betreiberpflicht — nicht durch Modell leistbar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  Legende — Epistemische Statusklassen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Interpretationshilfe für alle Felder dieses Dokuments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VERIFIED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Auf Entwickler-Dokumentation oder explizitem Trainings-Wissen basierend. Datenblatt-Qualität.</w:t>
            </w:r>
          </w:p>
        </w:tc>
      </w:tr>
      <w:tr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BEHAVIORAL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Aus beobachtbaren, reproduzierbaren Ausgabemustern abgeleitet. Funktionale Charakterisierung.</w:t>
            </w:r>
          </w:p>
        </w:tc>
      </w:tr>
      <w:tr>
        <w:tc>
          <w:tcPr>
            <w:tcW w:type="dxa" w:w="1800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9"/>
                <w:szCs w:val="19"/>
              </w:rPr>
              <w:t xml:space="preserve">INFERRED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Aus Architektur-Plausibilität und publizierter Forschung abgeleitet. Keine direkte Selbstkenntnis.</w:t>
            </w:r>
          </w:p>
        </w:tc>
      </w:tr>
      <w:tr>
        <w:tc>
          <w:tcPr>
            <w:tcW w:type="dxa" w:w="1800"/>
            <w:tcBorders>
              <w:top w:val="single" w:color="FADBD8" w:sz="1"/>
              <w:left w:val="single" w:color="FADBD8" w:sz="1"/>
              <w:bottom w:val="single" w:color="FADBD8" w:sz="1"/>
              <w:right w:val="single" w:color="FADBD8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UNKNOWN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Kein zuverlässiger Bewertungsgrund. Feld kann während Inferenz nicht introspektiert werden.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7"/>
                <w:szCs w:val="17"/>
              </w:rPr>
              <w:t xml:space="preserve">Dieses Dokument wurde durch epistemisch klassifizierte Selbstauskunft des KI-Systems generiert.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Es ersetzt keine externe Konformitätsbewertung gemäß EU AI Act Art. 43. Erstellt: 28.3.2026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spacing w:before="80" w:after="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Seite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· EPISTEMIC AUDIT · Nicht für rechtliche Konformität geeignet ohne externes Audit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spacing w:before="0" w:after="80"/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AI System — Sicherheitsdokumentation gemäß EU AI Act 2024/1689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2026-03-28T21:32:59.622Z</dcterms:created>
  <dcterms:modified xsi:type="dcterms:W3CDTF">2026-03-28T21:32:59.622Z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