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42A76" w14:textId="2394C7AB" w:rsidR="00F974C4" w:rsidRDefault="00F974C4" w:rsidP="00F974C4">
      <w:pPr>
        <w:tabs>
          <w:tab w:val="left" w:pos="5988"/>
        </w:tabs>
      </w:pPr>
      <w:r>
        <w:tab/>
      </w:r>
    </w:p>
    <w:p w14:paraId="2954BFC1" w14:textId="2F010E33" w:rsidR="00666DEE" w:rsidRPr="00F974C4" w:rsidRDefault="00E653B8" w:rsidP="00F974C4">
      <w:pPr>
        <w:jc w:val="center"/>
        <w:rPr>
          <w:b/>
          <w:bCs/>
          <w:sz w:val="44"/>
          <w:szCs w:val="44"/>
        </w:rPr>
      </w:pPr>
      <w:r w:rsidRPr="00F974C4">
        <w:rPr>
          <w:b/>
          <w:bCs/>
          <w:sz w:val="44"/>
          <w:szCs w:val="44"/>
        </w:rPr>
        <w:t>Tytuł projektu</w:t>
      </w:r>
      <w:r w:rsidR="00F974C4">
        <w:rPr>
          <w:b/>
          <w:bCs/>
          <w:sz w:val="44"/>
          <w:szCs w:val="44"/>
        </w:rPr>
        <w:t xml:space="preserve">: </w:t>
      </w:r>
      <w:r w:rsidR="00DC365B" w:rsidRPr="00F974C4">
        <w:rPr>
          <w:b/>
          <w:bCs/>
          <w:sz w:val="44"/>
          <w:szCs w:val="44"/>
        </w:rPr>
        <w:t>„MEGApolis – Visa”</w:t>
      </w:r>
    </w:p>
    <w:p w14:paraId="0BB4BB7F" w14:textId="5E1E2E51" w:rsidR="00E653B8" w:rsidRPr="00F35F64" w:rsidRDefault="00E653B8">
      <w:pPr>
        <w:rPr>
          <w:b/>
          <w:bCs/>
        </w:rPr>
      </w:pPr>
      <w:r w:rsidRPr="00F35F64">
        <w:rPr>
          <w:b/>
          <w:bCs/>
        </w:rPr>
        <w:t>Opis problemu</w:t>
      </w:r>
      <w:r w:rsidR="00EB1161" w:rsidRPr="00F35F64">
        <w:rPr>
          <w:b/>
          <w:bCs/>
        </w:rPr>
        <w:t xml:space="preserve"> </w:t>
      </w:r>
      <w:r w:rsidR="00F974C4" w:rsidRPr="00F35F64">
        <w:rPr>
          <w:b/>
          <w:bCs/>
        </w:rPr>
        <w:t>na który opowiada MEGApolis - VISA</w:t>
      </w:r>
    </w:p>
    <w:p w14:paraId="5BD6C247" w14:textId="2CEEEC22" w:rsidR="004B3931" w:rsidRPr="00FB450A" w:rsidRDefault="00EB1161" w:rsidP="00F974C4">
      <w:pPr>
        <w:ind w:firstLine="708"/>
        <w:jc w:val="both"/>
      </w:pPr>
      <w:r w:rsidRPr="00FB450A">
        <w:t xml:space="preserve">Powtarzalność strategii rozwoju i niewykorzystany potencjał danych lokalnych wynikają przede wszystkim z luki między rzeczywistą diagnozą miasta a treścią </w:t>
      </w:r>
      <w:r w:rsidR="004B3931" w:rsidRPr="00FB450A">
        <w:t xml:space="preserve">np. </w:t>
      </w:r>
      <w:r w:rsidRPr="00FB450A">
        <w:t>strategii rozwoju. Dokumenty strategiczne często powstają w oparciu o powielane schematy i uniwersalne szablony, zamiast być bezpośrednią odpowiedzią na specyficzne uwarunkowania, problemy</w:t>
      </w:r>
      <w:r w:rsidR="00FB450A" w:rsidRPr="00FB450A">
        <w:t xml:space="preserve">, </w:t>
      </w:r>
      <w:r w:rsidRPr="00FB450A">
        <w:t xml:space="preserve">możliwości </w:t>
      </w:r>
      <w:r w:rsidR="00FB450A" w:rsidRPr="00FB450A">
        <w:t xml:space="preserve"> i różnorodności </w:t>
      </w:r>
      <w:r w:rsidRPr="00FB450A">
        <w:t xml:space="preserve">danego obszaru. W efekcie dostępne dane lokalne, które mogłyby wskazywać najważniejsze wyzwania i obszary rozwoju, </w:t>
      </w:r>
      <w:r w:rsidR="00FB450A" w:rsidRPr="00FB450A">
        <w:t xml:space="preserve">które </w:t>
      </w:r>
      <w:r w:rsidRPr="00FB450A">
        <w:t>nie są w pełni wykorzystywane w procesie planowania. Brakuje wyraźnego przełożenia wyników diagnozy oraz zgromadzonych informacji o mieście na konkretne, mierzalne i</w:t>
      </w:r>
      <w:r w:rsidR="00812178">
        <w:t> </w:t>
      </w:r>
      <w:r w:rsidRPr="00FB450A">
        <w:t xml:space="preserve">dopasowane do lokalnych potrzeb kierunki rozwoju. Chcemy wykorzystać potencjał danych lokalnych do tworzenia bardziej dopasowanych i opartych na faktach tak aby proces strategiczny wynikał </w:t>
      </w:r>
      <w:r w:rsidRPr="00812178">
        <w:t>z</w:t>
      </w:r>
      <w:r w:rsidR="00F974C4">
        <w:t> </w:t>
      </w:r>
      <w:r w:rsidRPr="00812178">
        <w:t>rzeczywist</w:t>
      </w:r>
      <w:r w:rsidR="004B3931" w:rsidRPr="00812178">
        <w:t>ej</w:t>
      </w:r>
      <w:r w:rsidR="004B3931" w:rsidRPr="00FB450A">
        <w:t xml:space="preserve"> analizy  danych i śledzenia zachowań użytkowników miast, gmin, powiatów i</w:t>
      </w:r>
      <w:r w:rsidR="00812178">
        <w:t> </w:t>
      </w:r>
      <w:r w:rsidR="004B3931" w:rsidRPr="00FB450A">
        <w:t xml:space="preserve">województw. </w:t>
      </w:r>
    </w:p>
    <w:p w14:paraId="62356F1B" w14:textId="3DF5FB9D" w:rsidR="00DC58EC" w:rsidRDefault="00EB1161" w:rsidP="00FB450A">
      <w:pPr>
        <w:jc w:val="both"/>
      </w:pPr>
      <w:r w:rsidRPr="00FB450A">
        <w:t>Wstępny przegląd kilkunastu strategii rozwoju gmin</w:t>
      </w:r>
      <w:r w:rsidR="00FB450A" w:rsidRPr="00FB450A">
        <w:t xml:space="preserve"> w Polsce </w:t>
      </w:r>
      <w:r w:rsidRPr="00FB450A">
        <w:t>do 2030 roku wskazuje, że dokumenty te w dużej mierze opierają się na wspólnym schemacie: zbliżonym układzie rozdziałów, podobnych sformułowaniach wizji i misji oraz powtarzalnych obszarach celów (gospodarka, jakość życia, środowisko, turystyka). Diagnoza, czyli część, która powinna być najbardziej indywidualna, często opiera się na tym samym zestawie wskaźników GUS, a cele i kierunki działań wynikają częściej szablonu i dokumentów wyższego rzędu niż z rozpoznania konkretnego miasta. Nasza</w:t>
      </w:r>
      <w:r w:rsidRPr="00FB450A">
        <w:t xml:space="preserve"> platforma </w:t>
      </w:r>
      <w:r w:rsidRPr="00FB450A">
        <w:t>zmienia tę logikę: punktem wyjścia są rzeczywiste dane o mieszkańcach, usługach i z</w:t>
      </w:r>
      <w:r w:rsidR="00FB450A" w:rsidRPr="00FB450A">
        <w:t>achowaniach</w:t>
      </w:r>
      <w:r w:rsidRPr="00FB450A">
        <w:t xml:space="preserve"> konsumentów, a strategia powstaje jako wniosek z tej diagnozy, a nie odwrotnie.</w:t>
      </w:r>
    </w:p>
    <w:p w14:paraId="53F310F1" w14:textId="573C234B" w:rsidR="00EB1161" w:rsidRDefault="00DC58EC" w:rsidP="00FB450A">
      <w:pPr>
        <w:jc w:val="both"/>
      </w:pPr>
      <w:r w:rsidRPr="00DC58EC">
        <w:t>Diagnoza skrojona pod miasto: Lekcja z Tarnow</w:t>
      </w:r>
      <w:r>
        <w:t xml:space="preserve">. </w:t>
      </w:r>
      <w:r w:rsidRPr="00DC58EC">
        <w:t>Doskonałym przykładem tego, jak bardzo powierzchowne analizy mijają się z rzeczywistością, jest Tarnów. Miasto to boleśnie odczuło skutki reformy administracyjnej – na mocy Ustawy z dnia 24 lipca 1998 r. o wprowadzeniu zasadniczego trójstopniowego podziału terytorialnego państwa (oraz powiązanych przepisów wdrażających nową strukturę od 1 stycznia 1999 roku) Tarnów stracił status miasta wojewódzkiego. Utrata pozycji stolicy regionu pociągnęła za sobą szereg negatywnych konsekwencji rozwojowych:   odpływ kluczowych instytucji publicznych i administracyjnych, które przeniesiono do Krakowa, co zubożyło lokalny rynek pracy o miejsca pracy wymagające wysokich kwalifikacji,   migracje ludzi młodych i wykształconych, dla których zabrakło perspektyw zawodowych,   osłabienie funkcji metropolitalnych i rdzennych, co wprost doprowadziło do zaklasyfikowania Tarnowa w krajowych strategiach (m.in. w analizach PAN) do grupy miast średnich tracących funkcje społeczno-gospodarcze.  Tarnów nie jest wyjątkiem. Z tym samym problemem boryka się w skali kraju aż 139 miast średnich, które tracą swoje dotychczasowe funkcje społeczno-gospodarcze, zmagając się z zapaścią demograficzną, gospodarką wymagającą reorientacji i</w:t>
      </w:r>
      <w:r w:rsidR="00F974C4">
        <w:t> </w:t>
      </w:r>
      <w:r w:rsidRPr="00DC58EC">
        <w:t xml:space="preserve">odpływem mieszkańców. Tradycyjne, sztampowe strategie – oparte na kopiowanych z innych gmin celach – są w ich przypadku całkowicie bezradne.   Nasza platforma zmienia tę logikę: punktem wyjścia są rzeczywiste, twarde dane o mieszkańcach, usługach i zachowaniach konsumentów. Dzięki temu </w:t>
      </w:r>
      <w:r>
        <w:t xml:space="preserve">dezyzje miejskie stają </w:t>
      </w:r>
      <w:r w:rsidRPr="00DC58EC">
        <w:t>się realnym wnioskiem z pogłębionej diagnozy wyzwań – takich jak te, z którymi mierzy się Tarnów i inne ośrodki tracące potencjał – a nie pustym, urzędowym szablonem.</w:t>
      </w:r>
    </w:p>
    <w:p w14:paraId="0B902265" w14:textId="77777777" w:rsidR="00F974C4" w:rsidRDefault="00F974C4" w:rsidP="00FB450A">
      <w:pPr>
        <w:jc w:val="both"/>
      </w:pPr>
    </w:p>
    <w:p w14:paraId="7191CF48" w14:textId="77777777" w:rsidR="00F974C4" w:rsidRPr="00FB450A" w:rsidRDefault="00F974C4" w:rsidP="00FB450A">
      <w:pPr>
        <w:jc w:val="both"/>
      </w:pPr>
    </w:p>
    <w:p w14:paraId="71865366" w14:textId="7A3C6FF5" w:rsidR="00E653B8" w:rsidRDefault="00E653B8">
      <w:pPr>
        <w:rPr>
          <w:b/>
          <w:bCs/>
        </w:rPr>
      </w:pPr>
      <w:r w:rsidRPr="00EB1161">
        <w:rPr>
          <w:b/>
          <w:bCs/>
        </w:rPr>
        <w:lastRenderedPageBreak/>
        <w:t xml:space="preserve">Opis zaproponowanego rozwiązania  oraz jego głównej wartości  dla końcowego użytkownika </w:t>
      </w:r>
    </w:p>
    <w:p w14:paraId="3CA94755" w14:textId="0A0CC5A8" w:rsidR="00DC58EC" w:rsidRPr="00EB1161" w:rsidRDefault="00F974C4" w:rsidP="00F35F64">
      <w:pPr>
        <w:jc w:val="both"/>
        <w:rPr>
          <w:b/>
          <w:bCs/>
        </w:rPr>
      </w:pPr>
      <w:r w:rsidRPr="005E4830">
        <w:t xml:space="preserve"> </w:t>
      </w:r>
      <w:r w:rsidR="005E4830" w:rsidRPr="005E4830">
        <w:t>Megapolis VISA to zaawansowana analitycznie platforma cyfrowa stworzona w celu wspierania procesów strategicznych, planistycznych i inwestycyjnych w jednostkach samorządu terytorialnego, która – wykorzystując realne, anonimizowane dane transakcyjne systemu Visa oraz szczegółową geometrię kodów pocztowych – redefiniuje podejście do tworzenia polityk rozwoju miast, gmin, powiatów i województw. Zamiast opierać się na uniwersalnych, powtarzalnych szablonach i</w:t>
      </w:r>
      <w:r w:rsidR="00F35F64">
        <w:t> </w:t>
      </w:r>
      <w:r w:rsidR="005E4830" w:rsidRPr="005E4830">
        <w:t>przestarzałych wskaźnikach statystycznych, rozwiązanie to stawia w centrum rzeczywiste zachowania konsumentów, mobilność mieszkańców oraz precyzyjne profile przepływów kapitałowych i</w:t>
      </w:r>
      <w:r w:rsidR="00F35F64">
        <w:t> </w:t>
      </w:r>
      <w:r w:rsidR="005E4830" w:rsidRPr="005E4830">
        <w:t>usługowych, umożliwiając generowanie pogłębionych diagnoz opartych na faktach. Platforma dostarcza kompleksowego zestawu narzędzi dla urbanistów, analityków miejskich oraz decydentów, pozwalając na szczegółową analizę lokalnego rynku, struktur zakupowych, rytmu dnia oraz struktury gości krajowych i zagranicznych, a także oferując unikalne moduły oceny potencjału handlowego (m.in. wskaźniki samowystarczalności, atrakcyjności, specjalizacji, luk rynkowych oraz znormalizowanej różnorodności). Ponadto zaawansowane mechanizmy dopasowań w trybach wzmocnienia i</w:t>
      </w:r>
      <w:r w:rsidR="00F35F64">
        <w:t> </w:t>
      </w:r>
      <w:r w:rsidR="005E4830" w:rsidRPr="005E4830">
        <w:t>uzupełnienia ułatwiają identyfikację synergii i nawiązywanie efektywnej współpracy międzygminnej, dając samorządom potężne, oparte na twardych dowodach zaplecze analityczne do negocjacji, planowania przestrzennego oraz skutecznego zarządzania rozwojem regionalnym.</w:t>
      </w:r>
      <w:r w:rsidR="005E4830" w:rsidRPr="005E4830">
        <w:t xml:space="preserve"> </w:t>
      </w:r>
      <w:r w:rsidR="00F35F64" w:rsidRPr="00F35F64">
        <w:t>Platforma Megapolis VISA przynosi kluczowe wartości dla samorządów, redefiniując procesy planowania poprzez zastąpienie uniwersalnych, powtarzalnych szablonów precyzyjną diagnozą opartą na realnych zachowaniach konsumentów i transakcjach, co realnie wspiera ośrodki zmagające się z kryzysem i</w:t>
      </w:r>
      <w:r w:rsidR="00F35F64">
        <w:t> </w:t>
      </w:r>
      <w:r w:rsidR="00F35F64" w:rsidRPr="00F35F64">
        <w:t>odpływem mieszkańców (takie jak Tarnów czy inne polskie miasta średnie). Dzięki twardym dowodom rynkowym narzędzie umożliwia precyzyjne lokalizowanie usług publicznych i infrastruktury tam, gdzie faktycznie poruszają się ludzie, eliminując ryzyko inwestycyjnych chybionych decyzji, a także drastycznie zwiększa skuteczność przyciągania inwestorów przez wydziały promocji i Centra Obsługi Inwestora. W efekcie platforma łączy cały ekosystem miejski – od analityków i urbanistów po decydentów finansowych – wokół wspólnego języka faktów, zmieniając dotychczasowe dokumenty strategiczne w skuteczne narzędzia realnego rozwoju i zarządzania kryzysowego.</w:t>
      </w:r>
    </w:p>
    <w:p w14:paraId="439DBD0E" w14:textId="5615D13D" w:rsidR="00E653B8" w:rsidRDefault="00E653B8">
      <w:pPr>
        <w:rPr>
          <w:b/>
          <w:bCs/>
        </w:rPr>
      </w:pPr>
      <w:r w:rsidRPr="00EB1161">
        <w:rPr>
          <w:b/>
          <w:bCs/>
        </w:rPr>
        <w:t xml:space="preserve"> </w:t>
      </w:r>
      <w:r w:rsidR="00EB1161" w:rsidRPr="00EB1161">
        <w:rPr>
          <w:b/>
          <w:bCs/>
        </w:rPr>
        <w:t>Wskazanie</w:t>
      </w:r>
      <w:r w:rsidRPr="00EB1161">
        <w:rPr>
          <w:b/>
          <w:bCs/>
        </w:rPr>
        <w:t xml:space="preserve"> użytkownika końcowego dla którego </w:t>
      </w:r>
      <w:r w:rsidR="00EB1161" w:rsidRPr="00EB1161">
        <w:rPr>
          <w:b/>
          <w:bCs/>
        </w:rPr>
        <w:t>rozwiązanie</w:t>
      </w:r>
      <w:r w:rsidRPr="00EB1161">
        <w:rPr>
          <w:b/>
          <w:bCs/>
        </w:rPr>
        <w:t xml:space="preserve">  zostało stworzone </w:t>
      </w:r>
    </w:p>
    <w:p w14:paraId="4F992938" w14:textId="232649BA" w:rsidR="00DC58EC" w:rsidRPr="00DC58EC" w:rsidRDefault="00DC58EC" w:rsidP="00F35F64">
      <w:pPr>
        <w:ind w:firstLine="708"/>
        <w:jc w:val="both"/>
      </w:pPr>
      <w:r w:rsidRPr="00DC58EC">
        <w:t xml:space="preserve">Użytkownikami końcowymi rozwiązania są zespoły urbanistyczne, zespoły miejskie  wspierające decyzje  inwestorskie, osoby odpowiedzialne  za planowanie usług przestrzeni  oraz </w:t>
      </w:r>
      <w:r w:rsidR="00F64B9E">
        <w:t>również tworzenie analizy</w:t>
      </w:r>
      <w:r w:rsidRPr="00DC58EC">
        <w:t>.</w:t>
      </w:r>
    </w:p>
    <w:p w14:paraId="6E615012" w14:textId="23254F9B" w:rsidR="00DC58EC" w:rsidRPr="00F64B9E" w:rsidRDefault="00F64B9E" w:rsidP="00812178">
      <w:pPr>
        <w:jc w:val="both"/>
      </w:pPr>
      <w:r w:rsidRPr="00F64B9E">
        <w:t xml:space="preserve">Rozwiązanie zostało zaprojektowane jako zintegrowane narzędzie dla szerokiego ekosystemu profesjonalistów odpowiedzialnych za rozwój i zarządzanie jednostkami samorządu terytorialnego, łącząc cztery kluczowe grupy użytkowników: zespoły urbanistyczne i planistów przestrzeni (wykorzystujących dane o mobilności i realnym wykorzystaniu), analityków i wydziały strategii (automatyzujących tworzenie diagnoz opartych na faktach zamiast powtarzalnych szablonów), zespoły wspierające decyzje inwestorskie (dysponujące twardymi dowodami rynkowymi i profilami konsumentów do przyciągania biznesu) </w:t>
      </w:r>
      <w:r>
        <w:t>.</w:t>
      </w:r>
      <w:r w:rsidRPr="00F64B9E">
        <w:t xml:space="preserve"> </w:t>
      </w:r>
      <w:r w:rsidRPr="00F64B9E">
        <w:t>Ponadto platforma stanowi niezwykle skuteczne narzędzie efektywnej negocjacji oraz uniwersalny materiał do współpracy z innymi gminami, szczeblem regionalnym i administracją rządową, dostarczając twardych, niezaprzeczalnych dowodów opartych na danych, które drastycznie wzmacniają pozycję negocjacyjną samorządu podczas uzgadniania inwestycji ponadlokalnych czy tworzenia struktur partnerstw i obszarów funkcjonalnych.</w:t>
      </w:r>
    </w:p>
    <w:p w14:paraId="76950B14" w14:textId="696BA61A" w:rsidR="00E653B8" w:rsidRDefault="00E653B8">
      <w:pPr>
        <w:rPr>
          <w:b/>
          <w:bCs/>
        </w:rPr>
      </w:pPr>
      <w:r w:rsidRPr="00EB1161">
        <w:rPr>
          <w:b/>
          <w:bCs/>
        </w:rPr>
        <w:t xml:space="preserve">Opis wykorzystanych danych </w:t>
      </w:r>
    </w:p>
    <w:p w14:paraId="4D614B18" w14:textId="406FDAAE" w:rsidR="008B073B" w:rsidRPr="00812178" w:rsidRDefault="008B073B" w:rsidP="00812178">
      <w:pPr>
        <w:jc w:val="both"/>
      </w:pPr>
      <w:r w:rsidRPr="00812178">
        <w:t xml:space="preserve">Podstawą analityczną platformy jest zaawansowany zestaw danych transakcyjnych oraz autorskich wskaźników, w tym identyfikatory i parametry kart płatniczych (pymt_crd_acct_num_raw, segmenty </w:t>
      </w:r>
      <w:r w:rsidRPr="00812178">
        <w:lastRenderedPageBreak/>
        <w:t>i</w:t>
      </w:r>
      <w:r w:rsidR="00812178">
        <w:t> </w:t>
      </w:r>
      <w:r w:rsidRPr="00812178">
        <w:t>typy premium), geolokalizacja i kationizacja sprzedawców oraz czas i kwoty transakcji, które zasilają kluczowe metryki strategiczne obliczane w skryptach systemowych: samowystarczalność (procent codziennych zakupów mieszkańców realizowanych lokalnie), atrakcyjność (bilans napływu i odpływu kapitału), zależność od gości (udział kart spoza gminy), odsetek transakcji zagranicznych, strukturę podziału na mieszkańców, gości krajowych i zagranicznych, a także zaawansowane narzędzia analityczne, takie jak specjalizacja i luka (współczynnik LQ względem podobnych gmin), różnorodność (znormalizowana entropia grup kategorii) oraz wynik dopasowania (łączący profil i</w:t>
      </w:r>
      <w:r w:rsidR="00812178">
        <w:t> </w:t>
      </w:r>
      <w:r w:rsidRPr="00812178">
        <w:t>bliskość w skali 0–100).</w:t>
      </w:r>
    </w:p>
    <w:p w14:paraId="55540293" w14:textId="1090EED0" w:rsidR="00E653B8" w:rsidRDefault="00E653B8" w:rsidP="00812178">
      <w:pPr>
        <w:tabs>
          <w:tab w:val="left" w:pos="3504"/>
        </w:tabs>
        <w:rPr>
          <w:b/>
          <w:bCs/>
        </w:rPr>
      </w:pPr>
      <w:r w:rsidRPr="00EB1161">
        <w:rPr>
          <w:b/>
          <w:bCs/>
        </w:rPr>
        <w:t xml:space="preserve">Prezentację </w:t>
      </w:r>
      <w:r w:rsidR="00EB1161" w:rsidRPr="00EB1161">
        <w:rPr>
          <w:b/>
          <w:bCs/>
        </w:rPr>
        <w:t xml:space="preserve">w formacie PDF </w:t>
      </w:r>
      <w:r w:rsidR="00F35F64">
        <w:rPr>
          <w:b/>
          <w:bCs/>
        </w:rPr>
        <w:t xml:space="preserve"> w zał. </w:t>
      </w:r>
      <w:r w:rsidR="00812178">
        <w:rPr>
          <w:b/>
          <w:bCs/>
        </w:rPr>
        <w:tab/>
      </w:r>
    </w:p>
    <w:p w14:paraId="711CC97E" w14:textId="6F4C4368" w:rsidR="00EB1161" w:rsidRDefault="00EB1161" w:rsidP="00812178">
      <w:pPr>
        <w:tabs>
          <w:tab w:val="left" w:pos="924"/>
        </w:tabs>
        <w:rPr>
          <w:b/>
          <w:bCs/>
        </w:rPr>
      </w:pPr>
      <w:r w:rsidRPr="00EB1161">
        <w:rPr>
          <w:b/>
          <w:bCs/>
        </w:rPr>
        <w:t>Link do materiałów  projektowych umieszczonych  w wyznaczonej lokalizacji</w:t>
      </w:r>
      <w:r w:rsidR="00F35F64">
        <w:rPr>
          <w:b/>
          <w:bCs/>
        </w:rPr>
        <w:t>, repozytorium</w:t>
      </w:r>
    </w:p>
    <w:p w14:paraId="59C3403F" w14:textId="4BC47DCC" w:rsidR="00812178" w:rsidRDefault="00812178" w:rsidP="00812178">
      <w:pPr>
        <w:tabs>
          <w:tab w:val="left" w:pos="924"/>
        </w:tabs>
        <w:rPr>
          <w:b/>
          <w:bCs/>
        </w:rPr>
      </w:pPr>
      <w:hyperlink r:id="rId7" w:history="1">
        <w:r w:rsidRPr="00910EF9">
          <w:rPr>
            <w:rStyle w:val="Hipercze"/>
            <w:b/>
            <w:bCs/>
          </w:rPr>
          <w:t>https://github.com/artkowal/visa-datasprint-2026-krakow</w:t>
        </w:r>
      </w:hyperlink>
    </w:p>
    <w:p w14:paraId="725A5B5E" w14:textId="77777777" w:rsidR="00E653B8" w:rsidRDefault="00E653B8"/>
    <w:p w14:paraId="0DD7752F" w14:textId="77777777" w:rsidR="00DC365B" w:rsidRDefault="00DC365B"/>
    <w:sectPr w:rsidR="00DC365B" w:rsidSect="00CB6700">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6291D" w14:textId="77777777" w:rsidR="007F015A" w:rsidRDefault="007F015A" w:rsidP="00F974C4">
      <w:pPr>
        <w:spacing w:after="0" w:line="240" w:lineRule="auto"/>
      </w:pPr>
      <w:r>
        <w:separator/>
      </w:r>
    </w:p>
  </w:endnote>
  <w:endnote w:type="continuationSeparator" w:id="0">
    <w:p w14:paraId="6D1A6744" w14:textId="77777777" w:rsidR="007F015A" w:rsidRDefault="007F015A" w:rsidP="00F97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DB6F2" w14:textId="77777777" w:rsidR="007F015A" w:rsidRDefault="007F015A" w:rsidP="00F974C4">
      <w:pPr>
        <w:spacing w:after="0" w:line="240" w:lineRule="auto"/>
      </w:pPr>
      <w:r>
        <w:separator/>
      </w:r>
    </w:p>
  </w:footnote>
  <w:footnote w:type="continuationSeparator" w:id="0">
    <w:p w14:paraId="5DA0ED91" w14:textId="77777777" w:rsidR="007F015A" w:rsidRDefault="007F015A" w:rsidP="00F974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F28A" w14:textId="760831E0" w:rsidR="00F974C4" w:rsidRDefault="00F974C4">
    <w:pPr>
      <w:pStyle w:val="Nagwek"/>
    </w:pPr>
    <w:r>
      <w:rPr>
        <w:noProof/>
      </w:rPr>
      <w:drawing>
        <wp:anchor distT="0" distB="0" distL="114300" distR="114300" simplePos="0" relativeHeight="251659264" behindDoc="1" locked="0" layoutInCell="1" allowOverlap="1" wp14:anchorId="4F4DC069" wp14:editId="4030785F">
          <wp:simplePos x="0" y="0"/>
          <wp:positionH relativeFrom="page">
            <wp:align>right</wp:align>
          </wp:positionH>
          <wp:positionV relativeFrom="paragraph">
            <wp:posOffset>-449581</wp:posOffset>
          </wp:positionV>
          <wp:extent cx="7769652" cy="914400"/>
          <wp:effectExtent l="0" t="0" r="3175" b="0"/>
          <wp:wrapNone/>
          <wp:docPr id="2042617481"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3086" cy="915981"/>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6C157F63" wp14:editId="527C0332">
          <wp:simplePos x="0" y="0"/>
          <wp:positionH relativeFrom="page">
            <wp:align>left</wp:align>
          </wp:positionH>
          <wp:positionV relativeFrom="paragraph">
            <wp:posOffset>-1943099</wp:posOffset>
          </wp:positionV>
          <wp:extent cx="7678450" cy="1493520"/>
          <wp:effectExtent l="0" t="0" r="0" b="0"/>
          <wp:wrapNone/>
          <wp:docPr id="544841970"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7678450" cy="149352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65B"/>
    <w:rsid w:val="00185962"/>
    <w:rsid w:val="00405865"/>
    <w:rsid w:val="004B3931"/>
    <w:rsid w:val="005E4830"/>
    <w:rsid w:val="00666DEE"/>
    <w:rsid w:val="006830AF"/>
    <w:rsid w:val="007F015A"/>
    <w:rsid w:val="00812178"/>
    <w:rsid w:val="008B073B"/>
    <w:rsid w:val="00907EBE"/>
    <w:rsid w:val="00970C64"/>
    <w:rsid w:val="00BC3559"/>
    <w:rsid w:val="00CB6700"/>
    <w:rsid w:val="00DB6433"/>
    <w:rsid w:val="00DC365B"/>
    <w:rsid w:val="00DC58EC"/>
    <w:rsid w:val="00DE0BEB"/>
    <w:rsid w:val="00E653B8"/>
    <w:rsid w:val="00EB1161"/>
    <w:rsid w:val="00F35F64"/>
    <w:rsid w:val="00F64B9E"/>
    <w:rsid w:val="00F974C4"/>
    <w:rsid w:val="00FB450A"/>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C7888"/>
  <w15:chartTrackingRefBased/>
  <w15:docId w15:val="{F29F8486-B1F6-4BD0-966B-C7BFFBF6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C3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DC3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DC365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DC365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DC365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DC365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C365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C365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C365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C365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DC365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DC365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DC365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DC365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DC365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C365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C365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C365B"/>
    <w:rPr>
      <w:rFonts w:eastAsiaTheme="majorEastAsia" w:cstheme="majorBidi"/>
      <w:color w:val="272727" w:themeColor="text1" w:themeTint="D8"/>
    </w:rPr>
  </w:style>
  <w:style w:type="paragraph" w:styleId="Tytu">
    <w:name w:val="Title"/>
    <w:basedOn w:val="Normalny"/>
    <w:next w:val="Normalny"/>
    <w:link w:val="TytuZnak"/>
    <w:uiPriority w:val="10"/>
    <w:qFormat/>
    <w:rsid w:val="00DC3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C365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C365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C365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C365B"/>
    <w:pPr>
      <w:spacing w:before="160"/>
      <w:jc w:val="center"/>
    </w:pPr>
    <w:rPr>
      <w:i/>
      <w:iCs/>
      <w:color w:val="404040" w:themeColor="text1" w:themeTint="BF"/>
    </w:rPr>
  </w:style>
  <w:style w:type="character" w:customStyle="1" w:styleId="CytatZnak">
    <w:name w:val="Cytat Znak"/>
    <w:basedOn w:val="Domylnaczcionkaakapitu"/>
    <w:link w:val="Cytat"/>
    <w:uiPriority w:val="29"/>
    <w:rsid w:val="00DC365B"/>
    <w:rPr>
      <w:i/>
      <w:iCs/>
      <w:color w:val="404040" w:themeColor="text1" w:themeTint="BF"/>
    </w:rPr>
  </w:style>
  <w:style w:type="paragraph" w:styleId="Akapitzlist">
    <w:name w:val="List Paragraph"/>
    <w:basedOn w:val="Normalny"/>
    <w:uiPriority w:val="34"/>
    <w:qFormat/>
    <w:rsid w:val="00DC365B"/>
    <w:pPr>
      <w:ind w:left="720"/>
      <w:contextualSpacing/>
    </w:pPr>
  </w:style>
  <w:style w:type="character" w:styleId="Wyrnienieintensywne">
    <w:name w:val="Intense Emphasis"/>
    <w:basedOn w:val="Domylnaczcionkaakapitu"/>
    <w:uiPriority w:val="21"/>
    <w:qFormat/>
    <w:rsid w:val="00DC365B"/>
    <w:rPr>
      <w:i/>
      <w:iCs/>
      <w:color w:val="2F5496" w:themeColor="accent1" w:themeShade="BF"/>
    </w:rPr>
  </w:style>
  <w:style w:type="paragraph" w:styleId="Cytatintensywny">
    <w:name w:val="Intense Quote"/>
    <w:basedOn w:val="Normalny"/>
    <w:next w:val="Normalny"/>
    <w:link w:val="CytatintensywnyZnak"/>
    <w:uiPriority w:val="30"/>
    <w:qFormat/>
    <w:rsid w:val="00DC3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DC365B"/>
    <w:rPr>
      <w:i/>
      <w:iCs/>
      <w:color w:val="2F5496" w:themeColor="accent1" w:themeShade="BF"/>
    </w:rPr>
  </w:style>
  <w:style w:type="character" w:styleId="Odwoanieintensywne">
    <w:name w:val="Intense Reference"/>
    <w:basedOn w:val="Domylnaczcionkaakapitu"/>
    <w:uiPriority w:val="32"/>
    <w:qFormat/>
    <w:rsid w:val="00DC365B"/>
    <w:rPr>
      <w:b/>
      <w:bCs/>
      <w:smallCaps/>
      <w:color w:val="2F5496" w:themeColor="accent1" w:themeShade="BF"/>
      <w:spacing w:val="5"/>
    </w:rPr>
  </w:style>
  <w:style w:type="character" w:styleId="Hipercze">
    <w:name w:val="Hyperlink"/>
    <w:basedOn w:val="Domylnaczcionkaakapitu"/>
    <w:uiPriority w:val="99"/>
    <w:unhideWhenUsed/>
    <w:rsid w:val="00812178"/>
    <w:rPr>
      <w:color w:val="0563C1" w:themeColor="hyperlink"/>
      <w:u w:val="single"/>
    </w:rPr>
  </w:style>
  <w:style w:type="character" w:styleId="Nierozpoznanawzmianka">
    <w:name w:val="Unresolved Mention"/>
    <w:basedOn w:val="Domylnaczcionkaakapitu"/>
    <w:uiPriority w:val="99"/>
    <w:semiHidden/>
    <w:unhideWhenUsed/>
    <w:rsid w:val="00812178"/>
    <w:rPr>
      <w:color w:val="605E5C"/>
      <w:shd w:val="clear" w:color="auto" w:fill="E1DFDD"/>
    </w:rPr>
  </w:style>
  <w:style w:type="paragraph" w:styleId="Nagwek">
    <w:name w:val="header"/>
    <w:basedOn w:val="Normalny"/>
    <w:link w:val="NagwekZnak"/>
    <w:uiPriority w:val="99"/>
    <w:unhideWhenUsed/>
    <w:rsid w:val="00F974C4"/>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F974C4"/>
  </w:style>
  <w:style w:type="paragraph" w:styleId="Stopka">
    <w:name w:val="footer"/>
    <w:basedOn w:val="Normalny"/>
    <w:link w:val="StopkaZnak"/>
    <w:uiPriority w:val="99"/>
    <w:unhideWhenUsed/>
    <w:rsid w:val="00F974C4"/>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F97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rtkowal/visa-datasprint-2026-krako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1210</Words>
  <Characters>7264</Characters>
  <Application>Microsoft Office Word</Application>
  <DocSecurity>0</DocSecurity>
  <Lines>60</Lines>
  <Paragraphs>16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Agnieszka Klimek</dc:creator>
  <cp:keywords/>
  <dc:description/>
  <cp:lastModifiedBy>Agnieszka Klimek</cp:lastModifiedBy>
  <cp:revision>2</cp:revision>
  <dcterms:created xsi:type="dcterms:W3CDTF">2026-09-30T06:35:00Z</dcterms:created>
  <dcterms:modified xsi:type="dcterms:W3CDTF">2026-09-30T08:39:00Z</dcterms:modified>
</cp:coreProperties>
</file>