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утверждена на заседании кафедры вычислительной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_ от _ мая 2024 г.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Рабочая программа дисциплины (модуля)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Код и наименование дисциплины (модуля): Численные методы решения уравнений в частных производных на Python.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Уровень высшего образования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научно-педагогических кадров в специалитете.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Направление подготовки: 01.06.01 Математика и механика. Направленность программы: Математическое моделирование, численные методы и комплексы программ (научная специальность 01.02.02).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Место дисциплины (модуля) в структуре ООП: факультатив по выбору студента, не обязателен для освоения и предназначен для углубленного изучения.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Планируемые результаты обучения по дисциплине (модулю), соотнесенные с планируемыми результатами освоения образовательной программы (компетенциями выпускников)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76.0" w:type="dxa"/>
        <w:jc w:val="center"/>
        <w:tblLayout w:type="fixed"/>
        <w:tblLook w:val="0000"/>
      </w:tblPr>
      <w:tblGrid>
        <w:gridCol w:w="3369"/>
        <w:gridCol w:w="11707"/>
        <w:tblGridChange w:id="0">
          <w:tblGrid>
            <w:gridCol w:w="3369"/>
            <w:gridCol w:w="117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Формируемые компетенции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(код компетенции)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Планируемые результаты обучения по дисциплине (модулю)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УК-1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 (УК-1) УМЕТЬ: анализировать альтернативные варианты решения исследовательских и практических задач и оценивать потенциальные выигрыши/проигрыши реализации этих вариантов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У2 (УК-1) УМЕТЬ: при решении исследовательских и практических задач генерировать новые идеи, поддающиеся операционализации исходя из наличных ресурсов и ограничений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В1 (УК-1) ВЛАДЕТЬ: навыками анализа методологических проблем, возникающих при решении исследовательских и практических задач, в том числе в междисциплинарных областях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ОПК-1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З1 (ОПК-1) ЗНАТЬ: основные понятия, результаты и задачи фундаментальной математики и механики.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ПК-1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ПК-10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В1 (ПК-1) Владеть средствами языка программирования python и вспомогательными инструментами эффективных математических вычислений и распараллеливания.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В2 (ПК-1) ВЛАДЕТЬ: методами математического моделирования.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З1 (ПК-10) Знать основные и специальные разделы численных методов решения уравнений в частных производных, возникающих при решении задач механики сплошной среды.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У1 (ПК-10) Уметь выбирать подходящие модели для решения поставленных задач механики сплошной среды и решать поставленные задачи при помощи современных программных средств</w:t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3024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Объем дисциплины (модуля) в зачетных единицах с указанием количества академических или астрономических часов, выделенных на контактную работу обучающихся с преподавателем (по видам учебных занятий) и на самостоятельную работу обучающихся: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дисциплины (модуля) составляет 2 зачетных единицы, всего 72 часа, из которых 34 часа составляет контактная работа учащегося с преподавателем (16 часов занятий лекционного типа, 18 часов занятий семинарского типа, 2 часа мероприятий принятия зачета), 38 часов  составляет  самостоятельная работа обучающихся.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Входные требования для освоения дисциплины (модуля), предварительные условия.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 чтобы формирование данной компетенции было возможно, обучающийся, приступивший к освоению программы, должен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Знать: основные численные методы решения систем уравнений в частных производных.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Уметь: программировать на Python на базовом уровне.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вспомогательными инструментами и практиками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Формат обучения.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дистанционная форма обучения, семинарские занятия.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Содержание дисциплины (модуля), структурированное по темам (Перечень тем см. Приложения).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Layout w:type="fixed"/>
        <w:tblLook w:val="0000"/>
      </w:tblPr>
      <w:tblGrid>
        <w:gridCol w:w="4077"/>
        <w:gridCol w:w="993"/>
        <w:gridCol w:w="1021"/>
        <w:gridCol w:w="991"/>
        <w:gridCol w:w="993"/>
        <w:gridCol w:w="993"/>
        <w:gridCol w:w="1701"/>
        <w:gridCol w:w="1133"/>
        <w:gridCol w:w="1135"/>
        <w:gridCol w:w="1052"/>
        <w:gridCol w:w="817"/>
        <w:tblGridChange w:id="0">
          <w:tblGrid>
            <w:gridCol w:w="4077"/>
            <w:gridCol w:w="993"/>
            <w:gridCol w:w="1021"/>
            <w:gridCol w:w="991"/>
            <w:gridCol w:w="993"/>
            <w:gridCol w:w="993"/>
            <w:gridCol w:w="1701"/>
            <w:gridCol w:w="1133"/>
            <w:gridCol w:w="1135"/>
            <w:gridCol w:w="1052"/>
            <w:gridCol w:w="817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и краткое содержание разделов и тем дисциплины (модуля),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промежуточной аттестации по дисциплине (модулю)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(часы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том числе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Контактная работа (работа во взаимодействии с преподавателем), часы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них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Самостоятельная работа обучающегося, часы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них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лекционного типа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семинарского типа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Групповые консультации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Индивидуальные консультации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Учебные занятия, направленные на проведение текущего контроля успеваемости, промежуточной аттестации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66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домашних заданий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рефератовит.п..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Численное решение задачи Коши. Метод последовательных приближений. Метод Эйлера. Метод Рунге-Кутта.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 Метод конечных разностей для нестационарных задач. Нестационарная задача теплопроводности. Волновое уравнение. Уравнение переноса. Явные и неявные разностные схемы.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Метод конечных разностей для стационарных задач. Задача теплостатики. Задача конвекции-диффузии. Уравнение Пуассона.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Основные алгоритмы решения СЛАУ. Метод Гаусса. Метод LU-разложения. Схема Холецкого. Метод прогонки. Метод простых итераций. Распараллеливание алгоритмов решения СЛАУ.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.83783783783784"/>
                <w:szCs w:val="25.8378378378378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Введение в метод конечных элементов.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.83783783783784"/>
                <w:szCs w:val="25.83783783783784"/>
                <w:rtl w:val="0"/>
              </w:rPr>
              <w:t xml:space="preserve">Основы метода конечных элементов. Метод взвешенных невязок Галеркина. Функции формы. Формирование матрицы жесткости.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6. Решение задачи статической упругости методом конечных элементов. Разновидности элементов.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7. Решение динамической задачи распространения упругих волн методом конечных элементов. Матрица масс.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8. Технология распараллеливание на видеокарте CUDA. Библиотека numba. Ускорение пройденных ранее методов решения задач механики посредством распараллеливания на CPU и GPU.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Перечень учебно-методического обеспечения для самостоятельной работы аспирантов по дисциплине (модулю):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Конспекты лекций, списки задач к лекциям, основная и дополнительная учебная литература.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Фонд оценочных средств для промежуточной аттестации по дисциплине (модулю).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компетенций: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УК-1, УК-3, ОПК-1, ПК-1.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шкал оценивания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экзамен с оценкой по пятибалльной шкале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и процедуры оценивания результатов обучения по дисциплине (модулю), характеризующих этапы формирования компетенций.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880.0" w:type="dxa"/>
        <w:jc w:val="left"/>
        <w:tblInd w:w="108.0" w:type="dxa"/>
        <w:tblLayout w:type="fixed"/>
        <w:tblLook w:val="0000"/>
      </w:tblPr>
      <w:tblGrid>
        <w:gridCol w:w="2010"/>
        <w:gridCol w:w="1245"/>
        <w:gridCol w:w="1980"/>
        <w:gridCol w:w="2130"/>
        <w:gridCol w:w="2835"/>
        <w:gridCol w:w="2295"/>
        <w:gridCol w:w="2385"/>
        <w:tblGridChange w:id="0">
          <w:tblGrid>
            <w:gridCol w:w="2010"/>
            <w:gridCol w:w="1245"/>
            <w:gridCol w:w="1980"/>
            <w:gridCol w:w="2130"/>
            <w:gridCol w:w="2835"/>
            <w:gridCol w:w="2295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РЕЗУЛЬТАТ ОБУЧЕНИЯ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по дисциплине (модулю)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КРИТЕРИИ ОЦЕНИВАНИЯ РЕЗУЛЬТАТА ОБУЧЕНИЯ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 дисциплине (модулю) и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ШКАЛА оценивания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ПРОЦЕДУРЫ ОЦЕНИВАНИЯ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У1 (УК1)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УМЕТЬ: анализировать альтернативные варианты решения исследовательских и практических задач и оценивать потенциальные выигрыши/проигрыши реализации этих вариантов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умений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Частично освоенное умение анализировать альтернативные варианты решения исследовательских и практических задач и оценивать потенциальные выигрыши/проигрыши реализации этих вариантов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успешно, но не систематически осуществляемые анализ альтернативных вариантов решения исследовательских и практических задач и оценка потенциальных выигрышей/проигрышей реализации этих вариантов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успешно, но содержащие отдельные пробелы анализ альтернативных вариантов решения исследовательских задач и оценка потенциальных выигрышей/проигрышей реализации этих вариантов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Сформированное умение анализировать альтернативные варианты решения исследовательских и практических задач и оценивать потенциальные выигрыши/проигрыши реализации этих вариантов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У2 (УК1)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УМЕТЬ: при решении исследовательских и практических задач генерировать новые идеи, поддающиеся операционализации исходя из наличных ресурсов и ограничений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умений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Частично освоенное умение при решении исследовательских и практических задач генерировать идеи, поддающиеся операционализации исходя из наличных ресурсов и ограничений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не систематически осуществляемое умение при решении исследовательских и практических задач генерировать идеи, поддающиеся операционализации исходя из наличных ресурсов и ограничений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содержащее отдельные пробелы умение при решении исследовательских и практических задач генерировать идеи, поддающиеся операционализации исходя из наличных ресурсов и ограничений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Сформированное умение при решении исследовательских и практических задач генерировать идеи, поддающиеся операционализации исходя из наличных ресурсов и ограничений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В1 (УК1)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ВЛАДЕТЬ: навыками анализа методологических проблем, возникающих при решении исследовательских и практических задач, в том числе в междисциплинарных областях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знаний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Фрагментарное применение навыков анализа методологических проблем, возникающих при решении исследовательских и практических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не систематическое применение навыков анализа методологических проблем, возникающих при решении исследовательских и практических задач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содержащее отдельные пробелы применение навыков анализа методологических проблем, возникающих при решении исследовательских и практических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Успешное и систематическое применение навыков анализа методологических проблем, возникающих при решении исследовательских и практических задач, в том числе 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3024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З1 (ОПК-1) </w:t>
            </w:r>
          </w:p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3024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ЗНАТЬ: основные понятия, результаты и задачи фундаментальной математики и механики.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знаний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Фрагментарные знания основных понятий, результатов и задач фундаментальной математики и механики.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Неполные знания основных понятий, результатов и задач фундаментальной математики и механики.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Сформированные, но содержащие отдельные пробелы знания основных понятий, результатов и задач фундаментальной математики и механики.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Сформированные и систематические знания основных понятий, результатов и задач фундаментальной математики и механики.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Итоговый экзамен (зачет)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В1 (ПК-1)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Владеть средствами языка программирования python и вспомогательными инструментами эффективных математических вычислений и распараллеливания.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навыка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Частичное владение некоторыми средствами языка программирования python и вспомогательными технологиями.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Достаточное для реализации основных алгоритмов, но содержащее существенные пробелы владение средствами языка программирования python и вспомогательными инструментами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содержащее отдельные пробелы владение средствами языка программирования python и вспомогательными инструментами эффективных математических вычислений и распараллеливания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Успешное и частично интуитивное владение средствами языка программирования python и вспомогательными инструментами эффективных математических вычислений и распараллеливания.</w:t>
            </w:r>
          </w:p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3024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В2 (ПК-1) ВЛАДЕТЬ: методами математического моделирования.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навыка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Частичное владение некоторыми методами математического моделирования.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Владение некоторыми алгоритмами и методами математического моделирования из представленных в программе курса.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Знание части алгоритмов и методов математического моделирования из представленных в программе курса.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Знание всех основных алгоритмов и методов математического моделирования из представленных в программе курса.</w:t>
            </w:r>
          </w:p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3024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З1 (ПК-10) Знать основные и специальные разделы численных методов решения уравнений в частных производных, возникающих при решении задач механики сплошной среды.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знаний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Фрагментарные представления о результатах, проблемах, методах научных исследований в области математики и смежных областях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Неполные представления о результатах, проблемах, методах научных исследований в области математики и смежных областях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Сформированные, но содержащие отдельные пробелы представления о результатах, проблемах, методах научных исследований в области математики и смежных областях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Сформированные систематические представления о результатах, проблемах, методах научных исследований в области математики и смежных областях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У2 (ПК-10) Уметь выбирать подходящие модели для решения поставленных задач механики сплошной среды и решать поставленные задачи при помощи современных программных средств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Отсутствие навыков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Фрагментарное применение навыков построения и анализа математических моделей, решения задач при помощи современных программных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не систематическое применение навыков построения и анализа математических моделей, решения задач при помощи современных программных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целом успешное, но содержащее отдельные пробелы применение навыков построения и анализа математических моделей, решения задач при помощи современных программных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Успешное и систематическое применение навыков построения и анализа математических моделей, решения задач при помощи современных программных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Анализ реализации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hd w:fill="ffffff" w:val="clear"/>
        <w:tabs>
          <w:tab w:val="left" w:leader="none" w:pos="1134"/>
        </w:tabs>
        <w:spacing w:line="240" w:lineRule="auto"/>
        <w:ind w:firstLine="56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Типовые контрольные задания или иные материалы, необходимые для оценки результатов обучения, характеризующих этапы формирования компетенций. См. Приложения.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Ресурсное обеспечение: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основной учебной литературы: см. Приложение</w:t>
      </w:r>
    </w:p>
    <w:p w:rsidR="00000000" w:rsidDel="00000000" w:rsidP="00000000" w:rsidRDefault="00000000" w:rsidRPr="00000000" w14:paraId="0000012D">
      <w:pPr>
        <w:ind w:left="360" w:firstLine="34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дополнительной учебной литературы: см. Приложения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ресурсов информационно-телекоммуникационной сети «Интернет»: см. Приложения.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материально-технической базы: аудитории для проведения лекционных занятий.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Язык преподавания: русский (при необходимости – английский).</w:t>
      </w:r>
    </w:p>
    <w:p w:rsidR="00000000" w:rsidDel="00000000" w:rsidP="00000000" w:rsidRDefault="00000000" w:rsidRPr="00000000" w14:paraId="0000013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Спецкурс программы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специалитета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полугодовой: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Численные методы решения систем уравнений в частных производных на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Антонов Артем Михайлович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курса: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спецкурсе мы будем учиться эффективно производить вычисления средствами языка Python и его библиотек на примере задач частных производных: главным образом, различных задач механики сплошной среды в линейной постановке. Мы научимся распараллеливать подобные вычисления и проводить их на GPU, корректно обрабатывать результаты вычисления и познакомимся с основными численными методами, используемыми для решения подобных задач. Спецкурс сфокусирован на практических занятиях по написанию программного кода с минимумом теоретических выкладок.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содержание курса: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991.0" w:type="dxa"/>
        <w:jc w:val="left"/>
        <w:tblLayout w:type="fixed"/>
        <w:tblLook w:val="0000"/>
      </w:tblPr>
      <w:tblGrid>
        <w:gridCol w:w="1695"/>
        <w:gridCol w:w="13296"/>
        <w:tblGridChange w:id="0">
          <w:tblGrid>
            <w:gridCol w:w="1695"/>
            <w:gridCol w:w="13296"/>
          </w:tblGrid>
        </w:tblGridChange>
      </w:tblGrid>
      <w:tr>
        <w:trPr>
          <w:cantSplit w:val="0"/>
          <w:trHeight w:val="5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923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Численное решение задачи Коши. Метод последовательных приближений. Метод Эйлера. Метод Рунге-Кутта.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923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конечных разностей для нестационарных задач. Нестационарная задача теплопроводности. Волновое уравнение. Уравнение переноса. Явные и неявные разностные схемы.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923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конечных разностей для стационарных задач. Задача теплостатики. Задача конвекции-диффузии. Уравнение Пуассона.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алгоритмы решения СЛАУ. Метод Гаусса. Метод LU-разложения. Схема Холецкого. Метод прогонки. Метод простых итераций. Распараллеливание алгоритмов решения СЛАУ.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.83783783783784"/>
                <w:szCs w:val="25.8378378378378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метод конечных элементов.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.83783783783784"/>
                <w:szCs w:val="25.83783783783784"/>
                <w:rtl w:val="0"/>
              </w:rPr>
              <w:t xml:space="preserve">Основы метода конечных элементов. Метод взвешенных невязок Галеркина. Функции формы. Формирование матрицы жесткости.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задачи статической упругости методом конечных элементов. Разновидности элементов.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динамической задачи распространения упругих волн методом конечных элементов. Матрица масс.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Технология распараллеливание на видеокарте CUDA. Библиотека numba. Ускорение пройденных ранее методов решения задач механики посредством распараллеливания на CPU и GPU.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задач для самостоятельного решения.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статическое решение задачи теплопроводности в двумерном случае на прямоугольной сетке с заданными температурными граничными условиями и свойствами теплопроводящего материала среды методом конечных разностей в данной неявной схеме.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108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реализацию предыдущей задачи с эффективным распараллеливанием на GPU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 данную задачу Коши методом Рунге-Кутта и методом Эйлера, сравнить скорость сходимости.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моделирование упругих волн, распространяющихся по двумерной среде на прямоугольной сетке с заданными условиями Дирихле на границах и свойствами упругого материала среды методом конечных разностей в явной схеме.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решение СЛАУ с положительно определенной симметричной матрицей методом Холецкого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 практических задач напрямую вытекает из тем спецкурса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основной и дополнительной учебной литературы: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Бахвалов Н. С., Жидков Н. П., Кобельков Г. М. . Численные методы  М., Лаборатория Знаний,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Васильев А.Н. Программирование на Python в примерах и задачах. М., Бомбара, 2023.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Вабищевич П.Н. Численные методы: вычислительный практикум. М., URSS, 2010.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Тихонов Н.А., Токмачев М.Г, Основы математического моделирования М.: Физический факультет МГУ, 2012.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Gabriele Lanaro, Quan Nguyen, Sakis Kasampalis, Advanced Python Programming, O’Reilly, 2019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Левин В.А., Вершинин А.В.  Численные методы, Параллельные вычисления на ЭВМ, М. Физматлиб, 2015.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Зенкевич О., Морган К. Конечные элементы и аппроксимация. М. Мир, 1986.</w:t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360" w:firstLine="0"/>
        <w:rPr>
          <w:rFonts w:ascii="Times New Roman" w:cs="Times New Roman" w:eastAsia="Times New Roman" w:hAnsi="Times New Roman"/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ресурсов информационно-телекоммуникационной сети «Интернет»: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https://numba.pydata.org/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https://numpy.org/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утверждена на заседании кафедры вычислительной механики</w:t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923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 _ от _ мая 2024 г.</w:t>
      </w:r>
    </w:p>
    <w:sectPr>
      <w:pgSz w:h="11906" w:w="16838" w:orient="landscape"/>
      <w:pgMar w:bottom="850" w:top="1135" w:left="851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24CC"/>
    <w:pPr>
      <w:widowControl w:val="1"/>
      <w:bidi w:val="0"/>
      <w:spacing w:after="0" w:before="0" w:line="276" w:lineRule="auto"/>
      <w:jc w:val="both"/>
    </w:pPr>
    <w:rPr>
      <w:rFonts w:ascii="Calibri" w:cs="Times New Roman" w:eastAsia="Calibri" w:hAnsi="Calibri" w:asciiTheme="minorHAnsi" w:eastAsiaTheme="minorHAnsi" w:hAnsiTheme="minorHAnsi"/>
      <w:color w:val="auto"/>
      <w:kern w:val="0"/>
      <w:sz w:val="22"/>
      <w:szCs w:val="22"/>
      <w:lang w:bidi="ar-SA" w:eastAsia="en-US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11" w:customStyle="1">
    <w:name w:val="Цветной список - Акцент 11"/>
    <w:basedOn w:val="Normal"/>
    <w:uiPriority w:val="99"/>
    <w:qFormat w:val="1"/>
    <w:rsid w:val="00AB24CC"/>
    <w:pPr>
      <w:spacing w:after="0" w:before="0"/>
      <w:ind w:left="720" w:hanging="0"/>
      <w:contextualSpacing w:val="1"/>
    </w:pPr>
    <w:rPr/>
  </w:style>
  <w:style w:type="paragraph" w:styleId="Style19" w:customStyle="1">
    <w:name w:val="список с точками"/>
    <w:basedOn w:val="Normal"/>
    <w:qFormat w:val="1"/>
    <w:rsid w:val="00AB24CC"/>
    <w:pPr>
      <w:widowControl w:val="0"/>
      <w:tabs>
        <w:tab w:val="clear" w:pos="708"/>
        <w:tab w:val="left" w:leader="none" w:pos="3024"/>
      </w:tabs>
      <w:suppressAutoHyphens w:val="1"/>
      <w:spacing w:line="312" w:lineRule="auto"/>
      <w:ind w:left="756" w:hanging="0"/>
    </w:pPr>
    <w:rPr>
      <w:rFonts w:ascii="Times New Roman" w:eastAsia="Lucida Sans Unicode" w:hAnsi="Times New Roman"/>
      <w:kern w:val="2"/>
      <w:sz w:val="24"/>
      <w:szCs w:val="24"/>
      <w:lang w:eastAsia="ar-SA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c8mhHJYFqgrKvy/KKhh+F9p19g==">CgMxLjA4AHIhMXFpUVlWa2syUVdGZ3dDOUJDSl9RWkhSSk45V1Bwdl9s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2016-12-05T15:39:00Z</dcterms:created>
  <dc:creator>Veronika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