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Наблюдатели и повторяющиеся события</w:t>
      </w:r>
    </w:p>
    <w:p>
      <w:r>
        <w:t>Задача: №19   |   Сведения на 9 сентября 2026 года</w:t>
      </w:r>
    </w:p>
    <w:p>
      <w:r>
        <w:t>Пояснительная записка. Решение ещё не принято. Номер документа служит только для навигации и не заменяет обозначения требований проекта.</w:t>
      </w:r>
    </w:p>
    <w:p>
      <w:pPr>
        <w:pStyle w:val="Heading2"/>
      </w:pPr>
      <w:r>
        <w:t>Что нужно решить</w:t>
      </w:r>
    </w:p>
    <w:p>
      <w:r>
        <w:t>Допустимо ли объединять несколько повторных событий в одно ожидающее событие при проверке сроков?</w:t>
      </w:r>
    </w:p>
    <w:p>
      <w:pPr>
        <w:pStyle w:val="Heading2"/>
      </w:pPr>
      <w:r>
        <w:t>Что известно сейчас</w:t>
      </w:r>
    </w:p>
    <w:p>
      <w:r>
        <w:t>Восемь прикладных счётчиков заменены признаками самого раннего события, на которое ещё нет ответа. Повторное событие не начинает срок заново, но один ответ может погасить несколько повторов. Изменена и часть правил наблюдения за событиями физического уровня. Такое упрощение не сохраняет автоматически смысл отдельного ответа на каждое событие.</w:t>
      </w:r>
    </w:p>
    <w:p>
      <w:pPr>
        <w:pStyle w:val="Heading2"/>
      </w:pPr>
      <w:r>
        <w:t>Варианты решения</w:t>
      </w:r>
    </w:p>
    <w:p>
      <w:pPr>
        <w:pStyle w:val="ListBullet"/>
      </w:pPr>
      <w:r>
        <w:t>Принять объединение повторов, если проверяемое требование допускает общий ответ.</w:t>
      </w:r>
    </w:p>
    <w:p>
      <w:pPr>
        <w:pStyle w:val="ListBullet"/>
      </w:pPr>
      <w:r>
        <w:t>Потребовать раздельного учёта событий и ответов, если срок должен соблюдаться для каждого запроса.</w:t>
      </w:r>
    </w:p>
    <w:p>
      <w:pPr>
        <w:pStyle w:val="Heading2"/>
      </w:pPr>
      <w:r>
        <w:t>На что опираться при выборе</w:t>
      </w:r>
    </w:p>
    <w:p>
      <w:r>
        <w:t>Начать с формулировки требования на обычном языке: один ответ на каждое событие или один ответ на накопившуюся потребность. Затем проверить соответствие наблюдателя этому смыслу.</w:t>
      </w:r>
    </w:p>
    <w:p>
      <w:r>
        <w:br w:type="page"/>
      </w:r>
    </w:p>
    <w:p>
      <w:pPr>
        <w:pStyle w:val="Heading1"/>
      </w:pPr>
      <w:r>
        <w:t>Проверка и запись решения</w:t>
      </w:r>
    </w:p>
    <w:p>
      <w:r>
        <w:t>Наблюдатели и повторяющиеся события</w:t>
      </w:r>
    </w:p>
    <w:p>
      <w:pPr>
        <w:pStyle w:val="Heading2"/>
      </w:pPr>
      <w:r>
        <w:t>Что проверить перед подписанием</w:t>
      </w:r>
    </w:p>
    <w:p>
      <w:r>
        <w:t>☐ Описано, какое событие начинает и какое завершает отсчёт.</w:t>
      </w:r>
    </w:p>
    <w:p>
      <w:r>
        <w:t>☐ Повтор не скрывает просроченный первый запрос.</w:t>
      </w:r>
    </w:p>
    <w:p>
      <w:r>
        <w:t>☐ Наблюдатель не мешает приёму сообщения рабочим процессом.</w:t>
      </w:r>
    </w:p>
    <w:p>
      <w:r>
        <w:t>☐ Нарушение срока остаётся обнаружимым после изменения наблюдателя.</w:t>
      </w:r>
    </w:p>
    <w:p>
      <w:pPr>
        <w:pStyle w:val="Heading2"/>
      </w:pPr>
      <w:r>
        <w:t>Кто принимает и где записать</w:t>
      </w:r>
    </w:p>
    <w:p>
      <w:r>
        <w:t>Решение принимает назначенный специалист, независимый от автора принимаемого результата; окончательный контрольный рубеж оформляет координатор на основании этих решений. Заключение сохраняется в обсуждении соответствующей задачи или изменения с точной ссылкой на проверенные файлы. Подписанный документ можно приложить к этой записи.</w:t>
      </w:r>
    </w:p>
    <w:p>
      <w:pPr>
        <w:pStyle w:val="Heading2"/>
      </w:pPr>
      <w:r>
        <w:t>Бланк заключения</w:t>
      </w:r>
    </w:p>
    <w:p>
      <w:r>
        <w:t>Для требования ____ допускается / не допускается объединение повторов. Ответ завершает ____. Наблюдатель ____ соответствует / не соответствует этому правилу.</w:t>
      </w:r>
    </w:p>
    <w:p>
      <w:r>
        <w:t>Проверяющий: ____________________    Дата: ____________________</w:t>
      </w:r>
    </w:p>
    <w:p>
      <w:r>
        <w:t>Проверенная версия и файлы: __________________________________</w:t>
      </w:r>
    </w:p>
    <w:p>
      <w:r>
        <w:t>Основания решения и ссылки: __________________________________</w:t>
      </w:r>
    </w:p>
    <w:p>
      <w:r>
        <w:t>Если нужна доработка: действие, ответственный, способ проверки: ______</w:t>
      </w:r>
    </w:p>
    <w:p>
      <w:pPr>
        <w:pStyle w:val="Heading2"/>
      </w:pPr>
      <w:r>
        <w:t>Материалы для проверки</w:t>
      </w:r>
    </w:p>
    <w:p>
      <w:r>
        <w:t>Задача №19: https://github.com/artmus208/uppaal_sdn_isac/issues/19</w:t>
      </w:r>
    </w:p>
    <w:p>
      <w:r>
        <w:rPr>
          <w:sz w:val="16"/>
        </w:rPr>
        <w:t>https://github.com/artmus208/uppaal_sdn_isac/blob/bb5741b45480944630e1116fb7435effb2026655/evidence/instantiation/20260908-p2-integrated/decisions.md</w:t>
      </w:r>
    </w:p>
    <w:p>
      <w:r>
        <w:t>Имена файлов, адреса и формальные обозначения оставлены без перевода, чтобы материал можно было найти однозначно. Техническая успешность отдельной проверки не заменяет остальные решения о приёмке.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Решение 12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ПОДГОТОВКА К ПРИЁМКЕ  •  РЕШЕНИЕ 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DejaVu Sans" w:hAnsi="DejaVu Sans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632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Наблюдатели и повторяющиеся события</dc:title>
  <dc:subject>Пояснение для независимой приёмки; не принятое решение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