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Состав проверяемых свойств</w:t>
      </w:r>
    </w:p>
    <w:p>
      <w:r>
        <w:t>Задача: №21; научные уточнения — 15, 17, 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Достаточен ли выбранный набор формул для обещанных в статье проверок?</w:t>
      </w:r>
    </w:p>
    <w:p>
      <w:pPr>
        <w:pStyle w:val="Heading2"/>
      </w:pPr>
      <w:r>
        <w:t>Что известно сейчас</w:t>
      </w:r>
    </w:p>
    <w:p>
      <w:r>
        <w:t>Подготовлена 81 формула с уникальными обозначениями и ссылками на существующие процессы. Это подтверждает определённость набора, но не его научную достаточность. Численные размеры очередей и число попыток восстановления явно не представлены. Счётчики разрешённых правил не измеряют пакеты или попытки восстановления. Требования C01 и C02 нужно связать с точным смыслом формул.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набор для явно перечисленных свойств, сохранив нерешённые требования открытыми.</w:t>
      </w:r>
    </w:p>
    <w:p>
      <w:pPr>
        <w:pStyle w:val="ListBullet"/>
      </w:pPr>
      <w:r>
        <w:t>Потребовать добавить необходимые переменные, ограничения или наблюдатели до окончательного выбора модели.</w:t>
      </w:r>
    </w:p>
    <w:p>
      <w:pPr>
        <w:pStyle w:val="Heading2"/>
      </w:pPr>
      <w:r>
        <w:t>На что опираться при выборе</w:t>
      </w:r>
    </w:p>
    <w:p>
      <w:r>
        <w:t>Составить соответствие «требование словами — формула — смысл наблюдателя — ограничение вывода». Отсутствующее численное свойство нельзя считать выполненным только из-за конечного числа классов.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Состав проверяемых свойств</w:t>
      </w:r>
    </w:p>
    <w:p>
      <w:pPr>
        <w:pStyle w:val="Heading2"/>
      </w:pPr>
      <w:r>
        <w:t>Что проверить перед подписанием</w:t>
      </w:r>
    </w:p>
    <w:p>
      <w:r>
        <w:t>☐ Различаются отсутствие взаимной блокировки, достижимость и ответ за ограниченное время.</w:t>
      </w:r>
    </w:p>
    <w:p>
      <w:r>
        <w:t>☐ Для очередей и попыток восстановления определён требуемый смысл и наличие соответствующих величин.</w:t>
      </w:r>
    </w:p>
    <w:p>
      <w:r>
        <w:t>☐ Каждая изменённая формула учитывает новые правила среды и наблюдателей.</w:t>
      </w:r>
    </w:p>
    <w:p>
      <w:r>
        <w:t>☐ Нерешённые замечания не объявлены закрытыми.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Для требований ____ принимаются формулы ____. Требования ____ остаются нерешёнными по причине ____. До окончательного выбора модели необходимы изменения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№21: https://github.com/artmus208/uppaal_sdn_isac/issues/21</w:t>
      </w:r>
    </w:p>
    <w:p>
      <w:r>
        <w:rPr>
          <w:sz w:val="16"/>
        </w:rPr>
        <w:t>https://github.com/artmus208/uppaal_sdn_isac/blob/e5d9a7abb1b64ea0879a0ded0910f0b466c9a55e/evidence/governance/20260908-gate1-readiness/readiness-matrix.json</w:t>
      </w:r>
    </w:p>
    <w:p>
      <w:r>
        <w:rPr>
          <w:sz w:val="16"/>
        </w:rPr>
        <w:t>https://github.com/artmus208/uppaal_sdn_isac/blob/bb5741b45480944630e1116fb7435effb2026655/evidence/validation/20260907-p1/validation-report.md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14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проверяемых свойств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