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Окончательное закрепление версии модели</w:t>
      </w:r>
    </w:p>
    <w:p>
      <w:r>
        <w:t>Задача: новая организационная задача; согласовать с 6 и 21   |   Сведения на 9 сентября 2026 года</w:t>
      </w:r>
    </w:p>
    <w:p>
      <w:r>
        <w:t>Пояснительная записка. Решение ещё не принято. Номер документа служит только для навигации и не заменяет обозначения требований проекта.</w:t>
      </w:r>
    </w:p>
    <w:p>
      <w:pPr>
        <w:pStyle w:val="Heading2"/>
      </w:pPr>
      <w:r>
        <w:t>Что нужно решить</w:t>
      </w:r>
    </w:p>
    <w:p>
      <w:r>
        <w:t>Выполнены ли все условия, позволяющие закрепить единую версию для последующей проверки свойств?</w:t>
      </w:r>
    </w:p>
    <w:p>
      <w:pPr>
        <w:pStyle w:val="Heading2"/>
      </w:pPr>
      <w:r>
        <w:t>Что известно сейчас</w:t>
      </w:r>
    </w:p>
    <w:p>
      <w:r>
        <w:t>Отчёт №22 предлагает точные файлы, параметры и состав модели, но сам не является решением о её окончательном закреплении. Нужны принятые научные решения и отдельная запись координатора. Исторический файл описания версии сохраняется. Его изменение может нарушить строгие проверки исходных файлов в программе создания модели.</w:t>
      </w:r>
    </w:p>
    <w:p>
      <w:pPr>
        <w:pStyle w:val="Heading2"/>
      </w:pPr>
      <w:r>
        <w:t>Варианты решения</w:t>
      </w:r>
    </w:p>
    <w:p>
      <w:pPr>
        <w:pStyle w:val="ListBullet"/>
      </w:pPr>
      <w:r>
        <w:t>После выполнения всех условий принять новую точно определённую версию отдельным изменением файлов учёта.</w:t>
      </w:r>
    </w:p>
    <w:p>
      <w:pPr>
        <w:pStyle w:val="ListBullet"/>
      </w:pPr>
      <w:r>
        <w:t>Оставить версию предварительной и перечислить конкретные невыполненные условия.</w:t>
      </w:r>
    </w:p>
    <w:p>
      <w:pPr>
        <w:pStyle w:val="Heading2"/>
      </w:pPr>
      <w:r>
        <w:t>На что опираться при выборе</w:t>
      </w:r>
    </w:p>
    <w:p>
      <w:r>
        <w:t>Не использовать частичное одобрение как разрешение на окончательное закрепление. Сначала согласовать разрешённые файлы новой задачи с задачей №6, затем проверить неизменность или обоснованное изменение всех входов.</w:t>
      </w:r>
    </w:p>
    <w:p>
      <w:r>
        <w:br w:type="page"/>
      </w:r>
    </w:p>
    <w:p>
      <w:pPr>
        <w:pStyle w:val="Heading1"/>
      </w:pPr>
      <w:r>
        <w:t>Проверка и запись решения</w:t>
      </w:r>
    </w:p>
    <w:p>
      <w:r>
        <w:t>Окончательное закрепление версии модели</w:t>
      </w:r>
    </w:p>
    <w:p>
      <w:pPr>
        <w:pStyle w:val="Heading2"/>
      </w:pPr>
      <w:r>
        <w:t>Что проверить перед подписанием</w:t>
      </w:r>
    </w:p>
    <w:p>
      <w:r>
        <w:t>☐ Есть независимые решения по параметрам, составу, взаимодействию и научному смыслу свойств.</w:t>
      </w:r>
    </w:p>
    <w:p>
      <w:r>
        <w:t>☐ Приняты материалы воспроизводимости, лицензии и выбора текста статьи.</w:t>
      </w:r>
    </w:p>
    <w:p>
      <w:r>
        <w:t>☐ Записаны версия исходников, контрольные суммы, параметры, экземпляры и формулы.</w:t>
      </w:r>
    </w:p>
    <w:p>
      <w:r>
        <w:t>☐ Устранены пересечения разрешённых файлов активных задач.</w:t>
      </w:r>
    </w:p>
    <w:p>
      <w:r>
        <w:t>☐ Решение содержит дату, принимающего и ссылки на все основания.</w:t>
      </w:r>
    </w:p>
    <w:p>
      <w:pPr>
        <w:pStyle w:val="Heading2"/>
      </w:pPr>
      <w:r>
        <w:t>Кто принимает и где записать</w:t>
      </w:r>
    </w:p>
    <w:p>
      <w:r>
        <w:t>Решение принимает назначенный специалист, независимый от автора принимаемого результата; окончательный контрольный рубеж оформляет координатор на основании этих решений. Заключение сохраняется в обсуждении соответствующей задачи или изменения с точной ссылкой на проверенные файлы. Подписанный документ можно приложить к этой записи.</w:t>
      </w:r>
    </w:p>
    <w:p>
      <w:pPr>
        <w:pStyle w:val="Heading2"/>
      </w:pPr>
      <w:r>
        <w:t>Бланк заключения</w:t>
      </w:r>
    </w:p>
    <w:p>
      <w:r>
        <w:t>Контрольный рубеж №1 пройден / не пройден. Версия исходников: ____. Основания приёмки: ____. Контрольные суммы и состав: ____. Оставшиеся условия: ____. Принимающий и дата: ____.</w:t>
      </w:r>
    </w:p>
    <w:p>
      <w:r>
        <w:t>Проверяющий: ____________________    Дата: ____________________</w:t>
      </w:r>
    </w:p>
    <w:p>
      <w:r>
        <w:t>Проверенная версия и файлы: __________________________________</w:t>
      </w:r>
    </w:p>
    <w:p>
      <w:r>
        <w:t>Основания решения и ссылки: __________________________________</w:t>
      </w:r>
    </w:p>
    <w:p>
      <w:r>
        <w:t>Если нужна доработка: действие, ответственный, способ проверки: ______</w:t>
      </w:r>
    </w:p>
    <w:p>
      <w:pPr>
        <w:pStyle w:val="Heading2"/>
      </w:pPr>
      <w:r>
        <w:t>Материалы для проверки</w:t>
      </w:r>
    </w:p>
    <w:p>
      <w:r>
        <w:rPr>
          <w:sz w:val="16"/>
        </w:rPr>
        <w:t>https://github.com/artmus208/uppaal_sdn_isac/blob/e5d9a7abb1b64ea0879a0ded0910f0b466c9a55e/evidence/governance/20260908-gate1-readiness/readiness-matrix.json</w:t>
      </w:r>
    </w:p>
    <w:p>
      <w:r>
        <w:t>Имена файлов, адреса и формальные обозначения оставлены без перевода, чтобы материал можно было найти однозначно. Техническая успешность отдельной проверки не заменяет остальные решения о приёмке.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Решение 18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ПОДГОТОВКА К ПРИЁМКЕ  •  РЕШЕНИЕ 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DejaVu Sans" w:hAnsi="DejaVu Sans"/>
      <w:sz w:val="21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632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Окончательное закрепление версии модели</dc:title>
  <dc:subject>Пояснение для независимой приёмки; не принятое решение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