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Допустимость условной модели вместо модели конкретной сети</w:t>
      </w:r>
    </w:p>
    <w:p>
      <w:r>
        <w:t>Задача: №15   |   Сведения на 10 сентября 2026 года</w:t>
      </w:r>
    </w:p>
    <w:p>
      <w:r>
        <w:t>Решение об обязательном исправлении принято пользователем 10.09.2026. Независимая приёмка выполнения ожидается.</w:t>
      </w:r>
    </w:p>
    <w:p>
      <w:pPr>
        <w:pStyle w:val="Heading2"/>
      </w:pPr>
      <w:r>
        <w:t>Что нужно решить</w:t>
      </w:r>
    </w:p>
    <w:p>
      <w:r>
        <w:t>Достаточно ли для статьи условного примера, не откалиброванного по измерениям реальной сети?</w:t>
      </w:r>
    </w:p>
    <w:p>
      <w:pPr>
        <w:pStyle w:val="Heading2"/>
      </w:pPr>
      <w:r>
        <w:t>Что известно сейчас</w:t>
      </w:r>
    </w:p>
    <w:p>
      <w:r>
        <w:t>В материалах описаны конечные состояния и методы обоснования параметров. Измерения конкретной сети и выполненное сопоставление с сетевым имитатором не представлены. Модель позволяет исследовать последствия явно заданных допущений; перенос выводов на реальную сеть требует отдельного обоснования.</w:t>
      </w:r>
    </w:p>
    <w:p>
      <w:pPr>
        <w:pStyle w:val="Heading2"/>
      </w:pPr>
      <w:r>
        <w:t>Принятое решение</w:t>
      </w:r>
    </w:p>
    <w:p>
      <w:pPr>
        <w:pStyle w:val="ListBullet"/>
      </w:pPr>
      <w:r>
        <w:t>Обязательно исправить преобразователь: при точном равенстве порогу выбирать худший соседний класс. Перенос восьми расхождений на будущую работу исключён. Непосредственное задание классов не заменяет исправление.</w:t>
      </w:r>
    </w:p>
    <w:p>
      <w:pPr>
        <w:pStyle w:val="Heading2"/>
      </w:pPr>
      <w:r>
        <w:t>На что опираться при выборе</w:t>
      </w:r>
    </w:p>
    <w:p>
      <w:r>
        <w:t>Исправление выполнено в src/uppaal_mcp/phy/alpha.py. Результаты программной проверки приведены в threshold-correction/check-results.json и журналах рядом с ним. По поручению пользователя привязка обновлена до точной новой контрольной суммы. Повторный полный набор программных проверок завершён успешно; журналы и точная версия сохранены в threshold-correction/pin-update. Модель и формулы совпадают с прежними по контрольным суммам. Старые и посторонние изменения преобразователя отклоняются. Независимая приёмка исправления и прохождение Gate 1 не заявляются.</w:t>
      </w:r>
    </w:p>
    <w:p>
      <w:r>
        <w:br w:type="page"/>
      </w:r>
    </w:p>
    <w:p>
      <w:pPr>
        <w:pStyle w:val="Heading1"/>
      </w:pPr>
      <w:r>
        <w:t>Проверка и запись решения</w:t>
      </w:r>
    </w:p>
    <w:p>
      <w:r>
        <w:t>Допустимость условной модели вместо модели конкретной сети</w:t>
      </w:r>
    </w:p>
    <w:p>
      <w:pPr>
        <w:pStyle w:val="Heading2"/>
      </w:pPr>
      <w:r>
        <w:t>Что проверить перед подписанием</w:t>
      </w:r>
    </w:p>
    <w:p>
      <w:r>
        <w:t>☐ Проверить восемь порогов снизу, на границе и сверху: 24 случая.</w:t>
      </w:r>
    </w:p>
    <w:p>
      <w:r>
        <w:t>☐ Проверить категории внутри интервалов и отдельно заданный предел возраста.</w:t>
      </w:r>
    </w:p>
    <w:p>
      <w:r>
        <w:t>☐ Сверить версию кода и журналы; записать заключение назначенного проверяющего.</w:t>
      </w:r>
    </w:p>
    <w:p>
      <w:pPr>
        <w:pStyle w:val="Heading2"/>
      </w:pPr>
      <w:r>
        <w:t>Кто принимает и где записать</w:t>
      </w:r>
    </w:p>
    <w:p>
      <w:r>
        <w:t>Решение принимает назначенный специалист, независимый от автора принимаемого результата; окончательный контрольный рубеж оформляет координатор на основании этих решений. Заключение сохраняется в обсуждении соответствующей задачи или изменения с точной ссылкой на проверенные файлы. Подписанный документ можно приложить к этой записи.</w:t>
      </w:r>
    </w:p>
    <w:p>
      <w:pPr>
        <w:pStyle w:val="Heading2"/>
      </w:pPr>
      <w:r>
        <w:t>Бланк заключения</w:t>
      </w:r>
    </w:p>
    <w:p>
      <w:r>
        <w:t>Решение пользователя от 10.09.2026: Обязательно исправить преобразователь: при точном равенстве порогу выбирать худший соседний класс. Перенос восьми расхождений на будущую работу исключён. Непосредственное задание классов не заменяет исправление. Заключение проверяющего о выполнении: ____.</w:t>
      </w:r>
    </w:p>
    <w:p>
      <w:r>
        <w:t>Проверяющий: ____________________    Дата: ____________________</w:t>
      </w:r>
    </w:p>
    <w:p>
      <w:r>
        <w:t>Проверенная версия и файлы: __________________________________</w:t>
      </w:r>
    </w:p>
    <w:p>
      <w:r>
        <w:t>Основания решения и ссылки: __________________________________</w:t>
      </w:r>
    </w:p>
    <w:p>
      <w:r>
        <w:t>Если нужна доработка: действие, ответственный, способ проверки: ______</w:t>
      </w:r>
    </w:p>
    <w:p>
      <w:pPr>
        <w:pStyle w:val="Heading2"/>
      </w:pPr>
      <w:r>
        <w:t>Материалы для проверки</w:t>
      </w:r>
    </w:p>
    <w:p>
      <w:r>
        <w:t>Задача №15: https://github.com/artmus208/uppaal_sdn_isac/issues/15</w:t>
      </w:r>
    </w:p>
    <w:p>
      <w:r>
        <w:rPr>
          <w:sz w:val="16"/>
        </w:rPr>
        <w:t>https://github.com/artmus208/uppaal_sdn_isac/blob/bb5741b45480944630e1116fb7435effb2026655/evidence/validation/20260907-p1/validation-report.md</w:t>
      </w:r>
    </w:p>
    <w:p>
      <w:r>
        <w:t>Имена файлов, адреса и формальные обозначения оставлены без перевода, чтобы материал можно было найти однозначно. Техническая успешность отдельной проверки не заменяет остальные решения о приёмке.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Решение 02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ПОДГОТОВКА К ПРИЁМКЕ  •  РЕШЕНИЕ 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DejaVu Sans" w:hAnsi="DejaVu Sans"/>
      <w:sz w:val="21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1632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16324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Допустимость условной модели вместо модели конкретной сети</dc:title>
  <dc:subject>Пояснение для независимой приёмки; не принятое решение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