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480"/>
      </w:pPr>
      <w:r>
        <w:rPr>
          <w:rFonts w:ascii="Times" w:hAnsi="Times" w:cs="Times"/>
          <w:sz w:val="46"/>
          <w:sz-cs w:val="46"/>
          <w:b/>
        </w:rPr>
        <w:t xml:space="preserve">Política de Frete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1. Formas de envio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Os pedidos realizados na loja virtual da n-1 Edições podem ser enviados através de: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Correios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Transportadoras parceiras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2. Prazo de entrega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 prazo de entrega varia de acordo com: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Localização do cliente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Modalidade de frete escolhida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 prazo estimado será informado no momento da compra.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3. Prazo de processamento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Os pedidos são processados em até </w:t>
      </w:r>
      <w:r>
        <w:rPr>
          <w:rFonts w:ascii="Times" w:hAnsi="Times" w:cs="Times"/>
          <w:sz w:val="24"/>
          <w:sz-cs w:val="24"/>
          <w:b/>
        </w:rPr>
        <w:t xml:space="preserve">2 dias úteis após confirmação do pagamento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4. Rastreamento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Quando disponível, o código de rastreamento será enviado ao cliente por e-mail.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5. Problemas na entrega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Caso o pedido apresente atraso ou extravio, o cliente deve entrar em contato pelo e-mail: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[comercial@n-1edicoes.org]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CocoaOOXMLWriter/1894.7</generator>
</meta>
</file>