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/>
        <w:contextualSpacing w:val="0"/>
        <w:rPr/>
      </w:pPr>
      <w:bookmarkStart w:colFirst="0" w:colLast="0" w:name="_qvtwrgmz61i2" w:id="0"/>
      <w:bookmarkEnd w:id="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Ansari, H. &amp; Babaii, E. (2002). Universal Characteristics of EFL/ESL Textbooks: A step towards systematic textbook evaluation.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Internet TESL Journal,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Kimmons, R. (2015). </w:t>
      </w:r>
      <w:hyperlink r:id="rId6">
        <w:r w:rsidDel="00000000" w:rsidR="00000000" w:rsidRPr="00000000">
          <w:rPr>
            <w:rtl w:val="0"/>
          </w:rPr>
          <w:t xml:space="preserve">OER quality and adaptation in K-12: Comparing teacher evaluations of copyright-restricted, open, and open/adapted textbooks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The International Review of Research in Open and Distributed Learning, 16</w:t>
      </w:r>
      <w:r w:rsidDel="00000000" w:rsidR="00000000" w:rsidRPr="00000000">
        <w:rPr>
          <w:rtl w:val="0"/>
        </w:rPr>
        <w:t xml:space="preserve">(5).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Kulm, G., Roseman, J., &amp; Treistman, M. (1999). A benchmarks-based approach to textbook evaluation.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Science Books &amp; Films, 35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(4), 147-153.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Mahmood, K. (2011). Conformity to quality characteristics of textbooks: The illusion of textbook evaluation in Pakistan.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Research and Reflections in Education,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(2), 170-190.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Mahmood, K., Iqbal, M. Z., &amp; Saeed, M. (2009). Textbook evaluation through quality indicators: the case of Pakistan.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Bulletin of Education and Research, 31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(2), 1-27.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Schader, B., Demolli, A., Devetaku, H., &amp; Gashi, N. (2008).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Quality standards for textbooks in the Republic of Kosovo.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Stein, M., Stuen, C., Carnine, D., Long, R. M. (2001). Textbook evaluation and adoption.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Reading &amp; Writing Quarterly, 17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(1), 5-23.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firstLine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rrodl.org/index.php/irrodl/article/view/2341/3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