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 data and resources provided in this online supplement are released under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CC BY license</w:t>
        </w:r>
      </w:hyperlink>
      <w:r w:rsidDel="00000000" w:rsidR="00000000" w:rsidRPr="00000000">
        <w:rPr>
          <w:rtl w:val="0"/>
        </w:rPr>
        <w:t xml:space="preserve"> and should be cited as follows: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Woodward, S., Lloyd, A., &amp; Kimmons, R. (2016). Online supplement for “Student voice in textbook evaluation: Comparing open and restricted textbooks.” Retrieved from </w:t>
      </w:r>
      <w:r w:rsidDel="00000000" w:rsidR="00000000" w:rsidRPr="00000000">
        <w:rPr>
          <w:rtl w:val="0"/>
        </w:rPr>
        <w:t xml:space="preserve">https://drive.google.com/open?id=0B4MRZPM74y16dTM1bm5Hd3RncFk</w:t>
      </w:r>
      <w:r w:rsidDel="00000000" w:rsidR="00000000" w:rsidRPr="00000000">
        <w:rPr>
          <w:rtl w:val="0"/>
        </w:rPr>
        <w:t xml:space="preserve"> . Released under CC BY 3.0.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firstLine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licenses/by/3.0/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