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45D80" w14:textId="44DAD6E0" w:rsidR="2B7D4733" w:rsidRDefault="2B7D4733" w:rsidP="2B7D4733">
      <w:pPr>
        <w:sectPr w:rsidR="2B7D4733" w:rsidSect="00A64C21">
          <w:footerReference w:type="even" r:id="rId8"/>
          <w:footerReference w:type="default" r:id="rId9"/>
          <w:pgSz w:w="11906" w:h="16838"/>
          <w:pgMar w:top="1440" w:right="1440" w:bottom="1440" w:left="1440" w:header="709" w:footer="709" w:gutter="0"/>
          <w:pgNumType w:fmt="lowerRoman" w:start="1"/>
          <w:cols w:space="708"/>
          <w:docGrid w:linePitch="360"/>
        </w:sectPr>
      </w:pPr>
    </w:p>
    <w:p w14:paraId="302C7547" w14:textId="04C7A0FE" w:rsidR="00F71BFA" w:rsidRPr="005F28FA" w:rsidRDefault="40E746F9" w:rsidP="002B5BA1">
      <w:pPr>
        <w:pStyle w:val="Title"/>
        <w:rPr>
          <w:rFonts w:ascii="Times New Roman" w:hAnsi="Times New Roman" w:cs="Times New Roman"/>
          <w:sz w:val="28"/>
          <w:szCs w:val="28"/>
          <w:lang w:eastAsia="ja-JP"/>
        </w:rPr>
      </w:pPr>
      <w:bookmarkStart w:id="0" w:name="_Toc127954653"/>
      <w:bookmarkStart w:id="1" w:name="_Toc167732850"/>
      <w:bookmarkStart w:id="2" w:name="_Toc167823394"/>
      <w:r w:rsidRPr="2B7D4733">
        <w:rPr>
          <w:rFonts w:ascii="Times New Roman" w:hAnsi="Times New Roman" w:cs="Times New Roman"/>
          <w:sz w:val="28"/>
          <w:szCs w:val="28"/>
          <w:lang w:eastAsia="ja-JP"/>
        </w:rPr>
        <w:t>Assessing the economic impact of changes to the Energy Profits Levy on UKCS investment projects</w:t>
      </w:r>
      <w:bookmarkEnd w:id="0"/>
      <w:bookmarkEnd w:id="1"/>
      <w:bookmarkEnd w:id="2"/>
    </w:p>
    <w:p w14:paraId="349BFA5D" w14:textId="77777777" w:rsidR="000C3FE0" w:rsidRPr="00F71BFA" w:rsidRDefault="000C3FE0" w:rsidP="00DF1A9D">
      <w:pPr>
        <w:jc w:val="center"/>
        <w:rPr>
          <w:sz w:val="28"/>
          <w:szCs w:val="28"/>
          <w:lang w:val="en-US" w:eastAsia="ja-JP"/>
        </w:rPr>
      </w:pPr>
    </w:p>
    <w:p w14:paraId="5EE085E5" w14:textId="0E815D05" w:rsidR="00E300A7" w:rsidRDefault="00E300A7" w:rsidP="00DF1A9D">
      <w:pPr>
        <w:jc w:val="center"/>
        <w:rPr>
          <w:sz w:val="28"/>
          <w:szCs w:val="28"/>
        </w:rPr>
      </w:pPr>
      <w:r w:rsidRPr="00402E99">
        <w:rPr>
          <w:sz w:val="28"/>
          <w:szCs w:val="28"/>
        </w:rPr>
        <w:t>Professor Alexander G. Kemp</w:t>
      </w:r>
      <w:r w:rsidR="00F55A40">
        <w:rPr>
          <w:sz w:val="28"/>
          <w:szCs w:val="28"/>
        </w:rPr>
        <w:t xml:space="preserve"> and </w:t>
      </w:r>
      <w:r w:rsidR="00DC6D29">
        <w:rPr>
          <w:sz w:val="28"/>
          <w:szCs w:val="28"/>
        </w:rPr>
        <w:t>Arturo Regalado</w:t>
      </w:r>
    </w:p>
    <w:p w14:paraId="667D804D" w14:textId="77777777" w:rsidR="00A97132" w:rsidRPr="00402E99" w:rsidRDefault="00A97132" w:rsidP="00DF1A9D">
      <w:pPr>
        <w:jc w:val="center"/>
        <w:rPr>
          <w:sz w:val="28"/>
          <w:szCs w:val="28"/>
          <w:lang w:eastAsia="ja-JP"/>
        </w:rPr>
      </w:pPr>
    </w:p>
    <w:bookmarkStart w:id="3" w:name="_Toc225227671" w:displacedByCustomXml="next"/>
    <w:sdt>
      <w:sdtPr>
        <w:rPr>
          <w:rFonts w:ascii="Times New Roman" w:eastAsiaTheme="minorEastAsia" w:hAnsi="Times New Roman" w:cs="Times New Roman"/>
          <w:color w:val="auto"/>
          <w:sz w:val="22"/>
          <w:szCs w:val="22"/>
          <w:lang w:val="en-GB"/>
        </w:rPr>
        <w:id w:val="1673531807"/>
        <w:docPartObj>
          <w:docPartGallery w:val="Table of Contents"/>
          <w:docPartUnique/>
        </w:docPartObj>
      </w:sdtPr>
      <w:sdtEndPr>
        <w:rPr>
          <w:b/>
          <w:bCs/>
          <w:noProof/>
        </w:rPr>
      </w:sdtEndPr>
      <w:sdtContent>
        <w:p w14:paraId="589DD1B0" w14:textId="1DCBE36C" w:rsidR="002664FA" w:rsidRPr="00E51118" w:rsidRDefault="002664FA" w:rsidP="008826B9">
          <w:pPr>
            <w:pStyle w:val="TOCHeading"/>
            <w:spacing w:line="360" w:lineRule="auto"/>
            <w:rPr>
              <w:sz w:val="28"/>
              <w:szCs w:val="28"/>
            </w:rPr>
          </w:pPr>
          <w:r w:rsidRPr="00E51118">
            <w:rPr>
              <w:sz w:val="28"/>
              <w:szCs w:val="28"/>
            </w:rPr>
            <w:t>Contents</w:t>
          </w:r>
        </w:p>
        <w:p w14:paraId="2BC29E06" w14:textId="0D8293EC" w:rsidR="00660789" w:rsidRDefault="002664FA">
          <w:pPr>
            <w:pStyle w:val="TOC1"/>
            <w:rPr>
              <w:rFonts w:asciiTheme="minorHAnsi" w:hAnsiTheme="minorHAnsi" w:cstheme="minorBidi"/>
              <w:noProof/>
              <w:kern w:val="2"/>
              <w:sz w:val="24"/>
              <w:lang w:val="en-GB" w:eastAsia="en-GB"/>
              <w14:ligatures w14:val="standardContextual"/>
            </w:rPr>
          </w:pPr>
          <w:r w:rsidRPr="00E51118">
            <w:rPr>
              <w:sz w:val="24"/>
              <w:szCs w:val="22"/>
            </w:rPr>
            <w:fldChar w:fldCharType="begin"/>
          </w:r>
          <w:r w:rsidRPr="00E51118">
            <w:rPr>
              <w:sz w:val="24"/>
              <w:szCs w:val="22"/>
            </w:rPr>
            <w:instrText xml:space="preserve"> TOC \o "1-3" \h \z \u </w:instrText>
          </w:r>
          <w:r w:rsidRPr="00E51118">
            <w:rPr>
              <w:sz w:val="24"/>
              <w:szCs w:val="22"/>
            </w:rPr>
            <w:fldChar w:fldCharType="separate"/>
          </w:r>
          <w:hyperlink w:anchor="_Toc167823394" w:history="1">
            <w:r w:rsidR="00660789" w:rsidRPr="0007662D">
              <w:rPr>
                <w:rStyle w:val="Hyperlink"/>
                <w:noProof/>
                <w:lang w:eastAsia="ja-JP"/>
              </w:rPr>
              <w:t>Assessing the economic impact of changes to the Energy Profits Levy on UKCS investment projects</w:t>
            </w:r>
            <w:r w:rsidR="00660789">
              <w:rPr>
                <w:noProof/>
                <w:webHidden/>
              </w:rPr>
              <w:tab/>
            </w:r>
            <w:r w:rsidR="00660789">
              <w:rPr>
                <w:noProof/>
                <w:webHidden/>
              </w:rPr>
              <w:fldChar w:fldCharType="begin"/>
            </w:r>
            <w:r w:rsidR="00660789">
              <w:rPr>
                <w:noProof/>
                <w:webHidden/>
              </w:rPr>
              <w:instrText xml:space="preserve"> PAGEREF _Toc167823394 \h </w:instrText>
            </w:r>
            <w:r w:rsidR="00660789">
              <w:rPr>
                <w:noProof/>
                <w:webHidden/>
              </w:rPr>
            </w:r>
            <w:r w:rsidR="00660789">
              <w:rPr>
                <w:noProof/>
                <w:webHidden/>
              </w:rPr>
              <w:fldChar w:fldCharType="separate"/>
            </w:r>
            <w:r w:rsidR="00660789">
              <w:rPr>
                <w:noProof/>
                <w:webHidden/>
              </w:rPr>
              <w:t>i</w:t>
            </w:r>
            <w:r w:rsidR="00660789">
              <w:rPr>
                <w:noProof/>
                <w:webHidden/>
              </w:rPr>
              <w:fldChar w:fldCharType="end"/>
            </w:r>
          </w:hyperlink>
        </w:p>
        <w:p w14:paraId="643514C9" w14:textId="6E3C3729" w:rsidR="00660789" w:rsidRDefault="00660789">
          <w:pPr>
            <w:pStyle w:val="TOC1"/>
            <w:rPr>
              <w:rFonts w:asciiTheme="minorHAnsi" w:hAnsiTheme="minorHAnsi" w:cstheme="minorBidi"/>
              <w:noProof/>
              <w:kern w:val="2"/>
              <w:sz w:val="24"/>
              <w:lang w:val="en-GB" w:eastAsia="en-GB"/>
              <w14:ligatures w14:val="standardContextual"/>
            </w:rPr>
          </w:pPr>
          <w:hyperlink w:anchor="_Toc167823395" w:history="1">
            <w:r w:rsidRPr="0007662D">
              <w:rPr>
                <w:rStyle w:val="Hyperlink"/>
                <w:noProof/>
              </w:rPr>
              <w:t>Section 1. Introduction</w:t>
            </w:r>
            <w:r>
              <w:rPr>
                <w:noProof/>
                <w:webHidden/>
              </w:rPr>
              <w:tab/>
            </w:r>
            <w:r>
              <w:rPr>
                <w:noProof/>
                <w:webHidden/>
              </w:rPr>
              <w:fldChar w:fldCharType="begin"/>
            </w:r>
            <w:r>
              <w:rPr>
                <w:noProof/>
                <w:webHidden/>
              </w:rPr>
              <w:instrText xml:space="preserve"> PAGEREF _Toc167823395 \h </w:instrText>
            </w:r>
            <w:r>
              <w:rPr>
                <w:noProof/>
                <w:webHidden/>
              </w:rPr>
            </w:r>
            <w:r>
              <w:rPr>
                <w:noProof/>
                <w:webHidden/>
              </w:rPr>
              <w:fldChar w:fldCharType="separate"/>
            </w:r>
            <w:r>
              <w:rPr>
                <w:noProof/>
                <w:webHidden/>
              </w:rPr>
              <w:t>1</w:t>
            </w:r>
            <w:r>
              <w:rPr>
                <w:noProof/>
                <w:webHidden/>
              </w:rPr>
              <w:fldChar w:fldCharType="end"/>
            </w:r>
          </w:hyperlink>
        </w:p>
        <w:p w14:paraId="636B3D3B" w14:textId="4ECD09C6" w:rsidR="00660789" w:rsidRDefault="00660789">
          <w:pPr>
            <w:pStyle w:val="TOC1"/>
            <w:rPr>
              <w:rFonts w:asciiTheme="minorHAnsi" w:hAnsiTheme="minorHAnsi" w:cstheme="minorBidi"/>
              <w:noProof/>
              <w:kern w:val="2"/>
              <w:sz w:val="24"/>
              <w:lang w:val="en-GB" w:eastAsia="en-GB"/>
              <w14:ligatures w14:val="standardContextual"/>
            </w:rPr>
          </w:pPr>
          <w:hyperlink w:anchor="_Toc167823396" w:history="1">
            <w:r w:rsidRPr="0007662D">
              <w:rPr>
                <w:rStyle w:val="Hyperlink"/>
                <w:noProof/>
              </w:rPr>
              <w:t>Section 2. Data and Methodology</w:t>
            </w:r>
            <w:r>
              <w:rPr>
                <w:noProof/>
                <w:webHidden/>
              </w:rPr>
              <w:tab/>
            </w:r>
            <w:r>
              <w:rPr>
                <w:noProof/>
                <w:webHidden/>
              </w:rPr>
              <w:fldChar w:fldCharType="begin"/>
            </w:r>
            <w:r>
              <w:rPr>
                <w:noProof/>
                <w:webHidden/>
              </w:rPr>
              <w:instrText xml:space="preserve"> PAGEREF _Toc167823396 \h </w:instrText>
            </w:r>
            <w:r>
              <w:rPr>
                <w:noProof/>
                <w:webHidden/>
              </w:rPr>
            </w:r>
            <w:r>
              <w:rPr>
                <w:noProof/>
                <w:webHidden/>
              </w:rPr>
              <w:fldChar w:fldCharType="separate"/>
            </w:r>
            <w:r>
              <w:rPr>
                <w:noProof/>
                <w:webHidden/>
              </w:rPr>
              <w:t>3</w:t>
            </w:r>
            <w:r>
              <w:rPr>
                <w:noProof/>
                <w:webHidden/>
              </w:rPr>
              <w:fldChar w:fldCharType="end"/>
            </w:r>
          </w:hyperlink>
        </w:p>
        <w:p w14:paraId="2418F4F3" w14:textId="6B98AB8D" w:rsidR="00660789" w:rsidRDefault="00660789">
          <w:pPr>
            <w:pStyle w:val="TOC1"/>
            <w:rPr>
              <w:rFonts w:asciiTheme="minorHAnsi" w:hAnsiTheme="minorHAnsi" w:cstheme="minorBidi"/>
              <w:noProof/>
              <w:kern w:val="2"/>
              <w:sz w:val="24"/>
              <w:lang w:val="en-GB" w:eastAsia="en-GB"/>
              <w14:ligatures w14:val="standardContextual"/>
            </w:rPr>
          </w:pPr>
          <w:hyperlink w:anchor="_Toc167823397" w:history="1">
            <w:r w:rsidRPr="0007662D">
              <w:rPr>
                <w:rStyle w:val="Hyperlink"/>
                <w:noProof/>
              </w:rPr>
              <w:t>Section 3. Results and Discussion</w:t>
            </w:r>
            <w:r>
              <w:rPr>
                <w:noProof/>
                <w:webHidden/>
              </w:rPr>
              <w:tab/>
            </w:r>
            <w:r>
              <w:rPr>
                <w:noProof/>
                <w:webHidden/>
              </w:rPr>
              <w:fldChar w:fldCharType="begin"/>
            </w:r>
            <w:r>
              <w:rPr>
                <w:noProof/>
                <w:webHidden/>
              </w:rPr>
              <w:instrText xml:space="preserve"> PAGEREF _Toc167823397 \h </w:instrText>
            </w:r>
            <w:r>
              <w:rPr>
                <w:noProof/>
                <w:webHidden/>
              </w:rPr>
            </w:r>
            <w:r>
              <w:rPr>
                <w:noProof/>
                <w:webHidden/>
              </w:rPr>
              <w:fldChar w:fldCharType="separate"/>
            </w:r>
            <w:r>
              <w:rPr>
                <w:noProof/>
                <w:webHidden/>
              </w:rPr>
              <w:t>5</w:t>
            </w:r>
            <w:r>
              <w:rPr>
                <w:noProof/>
                <w:webHidden/>
              </w:rPr>
              <w:fldChar w:fldCharType="end"/>
            </w:r>
          </w:hyperlink>
        </w:p>
        <w:p w14:paraId="6C79D30F" w14:textId="3EC31365" w:rsidR="00660789" w:rsidRDefault="00660789">
          <w:pPr>
            <w:pStyle w:val="TOC2"/>
            <w:tabs>
              <w:tab w:val="right" w:leader="dot" w:pos="9016"/>
            </w:tabs>
            <w:rPr>
              <w:rFonts w:asciiTheme="minorHAnsi" w:hAnsiTheme="minorHAnsi" w:cstheme="minorBidi"/>
              <w:noProof/>
              <w:kern w:val="2"/>
              <w:lang w:eastAsia="en-GB"/>
              <w14:ligatures w14:val="standardContextual"/>
            </w:rPr>
          </w:pPr>
          <w:hyperlink w:anchor="_Toc167823398" w:history="1">
            <w:r w:rsidRPr="0007662D">
              <w:rPr>
                <w:rStyle w:val="Hyperlink"/>
                <w:noProof/>
              </w:rPr>
              <w:t>Section 3.1 Impact of EPL for different investment start up dates.</w:t>
            </w:r>
            <w:r>
              <w:rPr>
                <w:noProof/>
                <w:webHidden/>
              </w:rPr>
              <w:tab/>
            </w:r>
            <w:r>
              <w:rPr>
                <w:noProof/>
                <w:webHidden/>
              </w:rPr>
              <w:fldChar w:fldCharType="begin"/>
            </w:r>
            <w:r>
              <w:rPr>
                <w:noProof/>
                <w:webHidden/>
              </w:rPr>
              <w:instrText xml:space="preserve"> PAGEREF _Toc167823398 \h </w:instrText>
            </w:r>
            <w:r>
              <w:rPr>
                <w:noProof/>
                <w:webHidden/>
              </w:rPr>
            </w:r>
            <w:r>
              <w:rPr>
                <w:noProof/>
                <w:webHidden/>
              </w:rPr>
              <w:fldChar w:fldCharType="separate"/>
            </w:r>
            <w:r>
              <w:rPr>
                <w:noProof/>
                <w:webHidden/>
              </w:rPr>
              <w:t>5</w:t>
            </w:r>
            <w:r>
              <w:rPr>
                <w:noProof/>
                <w:webHidden/>
              </w:rPr>
              <w:fldChar w:fldCharType="end"/>
            </w:r>
          </w:hyperlink>
        </w:p>
        <w:p w14:paraId="18A2DCEA" w14:textId="32D2F562" w:rsidR="00660789" w:rsidRDefault="00660789">
          <w:pPr>
            <w:pStyle w:val="TOC2"/>
            <w:tabs>
              <w:tab w:val="right" w:leader="dot" w:pos="9016"/>
            </w:tabs>
            <w:rPr>
              <w:rFonts w:asciiTheme="minorHAnsi" w:hAnsiTheme="minorHAnsi" w:cstheme="minorBidi"/>
              <w:noProof/>
              <w:kern w:val="2"/>
              <w:lang w:eastAsia="en-GB"/>
              <w14:ligatures w14:val="standardContextual"/>
            </w:rPr>
          </w:pPr>
          <w:hyperlink w:anchor="_Toc167823399" w:history="1">
            <w:r w:rsidRPr="0007662D">
              <w:rPr>
                <w:rStyle w:val="Hyperlink"/>
                <w:noProof/>
              </w:rPr>
              <w:t>Section 3.2 Impact of EPL on cash flows under different tax cases arrangements.</w:t>
            </w:r>
            <w:r>
              <w:rPr>
                <w:noProof/>
                <w:webHidden/>
              </w:rPr>
              <w:tab/>
            </w:r>
            <w:r>
              <w:rPr>
                <w:noProof/>
                <w:webHidden/>
              </w:rPr>
              <w:fldChar w:fldCharType="begin"/>
            </w:r>
            <w:r>
              <w:rPr>
                <w:noProof/>
                <w:webHidden/>
              </w:rPr>
              <w:instrText xml:space="preserve"> PAGEREF _Toc167823399 \h </w:instrText>
            </w:r>
            <w:r>
              <w:rPr>
                <w:noProof/>
                <w:webHidden/>
              </w:rPr>
            </w:r>
            <w:r>
              <w:rPr>
                <w:noProof/>
                <w:webHidden/>
              </w:rPr>
              <w:fldChar w:fldCharType="separate"/>
            </w:r>
            <w:r>
              <w:rPr>
                <w:noProof/>
                <w:webHidden/>
              </w:rPr>
              <w:t>9</w:t>
            </w:r>
            <w:r>
              <w:rPr>
                <w:noProof/>
                <w:webHidden/>
              </w:rPr>
              <w:fldChar w:fldCharType="end"/>
            </w:r>
          </w:hyperlink>
        </w:p>
        <w:p w14:paraId="3B01B73A" w14:textId="5EC2C521" w:rsidR="00660789" w:rsidRDefault="00660789">
          <w:pPr>
            <w:pStyle w:val="TOC1"/>
            <w:rPr>
              <w:rFonts w:asciiTheme="minorHAnsi" w:hAnsiTheme="minorHAnsi" w:cstheme="minorBidi"/>
              <w:noProof/>
              <w:kern w:val="2"/>
              <w:sz w:val="24"/>
              <w:lang w:val="en-GB" w:eastAsia="en-GB"/>
              <w14:ligatures w14:val="standardContextual"/>
            </w:rPr>
          </w:pPr>
          <w:hyperlink w:anchor="_Toc167823400" w:history="1">
            <w:r w:rsidRPr="0007662D">
              <w:rPr>
                <w:rStyle w:val="Hyperlink"/>
                <w:noProof/>
              </w:rPr>
              <w:t>Section 4 Concluding remarks and observations</w:t>
            </w:r>
            <w:r>
              <w:rPr>
                <w:noProof/>
                <w:webHidden/>
              </w:rPr>
              <w:tab/>
            </w:r>
            <w:r>
              <w:rPr>
                <w:noProof/>
                <w:webHidden/>
              </w:rPr>
              <w:fldChar w:fldCharType="begin"/>
            </w:r>
            <w:r>
              <w:rPr>
                <w:noProof/>
                <w:webHidden/>
              </w:rPr>
              <w:instrText xml:space="preserve"> PAGEREF _Toc167823400 \h </w:instrText>
            </w:r>
            <w:r>
              <w:rPr>
                <w:noProof/>
                <w:webHidden/>
              </w:rPr>
            </w:r>
            <w:r>
              <w:rPr>
                <w:noProof/>
                <w:webHidden/>
              </w:rPr>
              <w:fldChar w:fldCharType="separate"/>
            </w:r>
            <w:r>
              <w:rPr>
                <w:noProof/>
                <w:webHidden/>
              </w:rPr>
              <w:t>16</w:t>
            </w:r>
            <w:r>
              <w:rPr>
                <w:noProof/>
                <w:webHidden/>
              </w:rPr>
              <w:fldChar w:fldCharType="end"/>
            </w:r>
          </w:hyperlink>
        </w:p>
        <w:p w14:paraId="3982340A" w14:textId="4BDF0B14" w:rsidR="002664FA" w:rsidRPr="00E51118" w:rsidRDefault="002664FA" w:rsidP="008826B9">
          <w:pPr>
            <w:spacing w:line="360" w:lineRule="auto"/>
            <w:rPr>
              <w:sz w:val="22"/>
              <w:szCs w:val="22"/>
            </w:rPr>
          </w:pPr>
          <w:r w:rsidRPr="00E51118">
            <w:rPr>
              <w:noProof/>
              <w:sz w:val="22"/>
              <w:szCs w:val="22"/>
            </w:rPr>
            <w:fldChar w:fldCharType="end"/>
          </w:r>
        </w:p>
      </w:sdtContent>
    </w:sdt>
    <w:p w14:paraId="4F7AABFD" w14:textId="77777777" w:rsidR="002F3EEA" w:rsidRPr="00E51118" w:rsidRDefault="002F3EEA" w:rsidP="006F6E89">
      <w:pPr>
        <w:spacing w:line="360" w:lineRule="auto"/>
        <w:jc w:val="both"/>
        <w:rPr>
          <w:bCs/>
          <w:lang w:eastAsia="ja-JP"/>
        </w:rPr>
      </w:pPr>
    </w:p>
    <w:bookmarkEnd w:id="3"/>
    <w:p w14:paraId="3024ED51" w14:textId="77777777" w:rsidR="002F3EEA" w:rsidRPr="00506F32" w:rsidRDefault="002F3EEA" w:rsidP="2B7D4733">
      <w:pPr>
        <w:spacing w:line="360" w:lineRule="auto"/>
        <w:rPr>
          <w:sz w:val="28"/>
          <w:szCs w:val="28"/>
          <w:lang w:eastAsia="ja-JP"/>
        </w:rPr>
        <w:sectPr w:rsidR="002F3EEA" w:rsidRPr="00506F32" w:rsidSect="00DF1A9D">
          <w:footerReference w:type="default" r:id="rId10"/>
          <w:type w:val="continuous"/>
          <w:pgSz w:w="11906" w:h="16838"/>
          <w:pgMar w:top="1440" w:right="1440" w:bottom="1440" w:left="1440" w:header="708" w:footer="708" w:gutter="0"/>
          <w:pgNumType w:fmt="lowerRoman" w:start="1"/>
          <w:cols w:space="708"/>
          <w:docGrid w:linePitch="360"/>
        </w:sectPr>
      </w:pPr>
    </w:p>
    <w:p w14:paraId="60282180" w14:textId="77777777" w:rsidR="00744B66" w:rsidRPr="00744B66" w:rsidRDefault="00744B66" w:rsidP="00DD22BB">
      <w:pPr>
        <w:pStyle w:val="Heading1"/>
      </w:pPr>
      <w:bookmarkStart w:id="4" w:name="_Toc167823395"/>
      <w:r>
        <w:lastRenderedPageBreak/>
        <w:t>Section 1. Introduction</w:t>
      </w:r>
      <w:bookmarkEnd w:id="4"/>
    </w:p>
    <w:p w14:paraId="7E9A0902" w14:textId="6B14326D" w:rsidR="00744B66" w:rsidRPr="00E51118" w:rsidRDefault="031016E7" w:rsidP="00B85AD6">
      <w:pPr>
        <w:spacing w:before="120" w:after="120" w:line="360" w:lineRule="auto"/>
        <w:ind w:firstLine="720"/>
        <w:jc w:val="both"/>
        <w:rPr>
          <w:rFonts w:eastAsia="Calibri"/>
        </w:rPr>
      </w:pPr>
      <w:r w:rsidRPr="00E51118">
        <w:rPr>
          <w:rFonts w:eastAsia="Calibri"/>
        </w:rPr>
        <w:t xml:space="preserve">On 26 May 2022, the United Kingdom announced </w:t>
      </w:r>
      <w:r w:rsidR="6650C6EF" w:rsidRPr="00E51118">
        <w:rPr>
          <w:rFonts w:eastAsia="Calibri"/>
        </w:rPr>
        <w:t xml:space="preserve">the </w:t>
      </w:r>
      <w:r w:rsidRPr="00E51118">
        <w:rPr>
          <w:rFonts w:eastAsia="Calibri"/>
        </w:rPr>
        <w:t xml:space="preserve">introduction of </w:t>
      </w:r>
      <w:r w:rsidR="4C050685" w:rsidRPr="00E51118">
        <w:rPr>
          <w:rFonts w:eastAsia="Calibri"/>
        </w:rPr>
        <w:t xml:space="preserve">temporary </w:t>
      </w:r>
      <w:r w:rsidRPr="00E51118">
        <w:rPr>
          <w:rFonts w:eastAsia="Calibri"/>
        </w:rPr>
        <w:t xml:space="preserve">Energy Profits Levy (EPL) to tax profits </w:t>
      </w:r>
      <w:r w:rsidR="5C2140DF" w:rsidRPr="00E51118">
        <w:rPr>
          <w:rFonts w:eastAsia="Calibri"/>
        </w:rPr>
        <w:t>of oil and gas companies operating in the UK Continental Shelf</w:t>
      </w:r>
      <w:r w:rsidR="005A77DE">
        <w:rPr>
          <w:rFonts w:eastAsia="Calibri"/>
        </w:rPr>
        <w:t xml:space="preserve"> (UKCS)</w:t>
      </w:r>
      <w:r w:rsidR="5C2140DF" w:rsidRPr="00E51118">
        <w:rPr>
          <w:rFonts w:eastAsia="Calibri"/>
        </w:rPr>
        <w:t xml:space="preserve">. The </w:t>
      </w:r>
      <w:r w:rsidR="34DEDDC7" w:rsidRPr="00E51118">
        <w:rPr>
          <w:rFonts w:eastAsia="Calibri"/>
        </w:rPr>
        <w:t xml:space="preserve">EPL was an answer to record profits being reported by major </w:t>
      </w:r>
      <w:r w:rsidR="06932387" w:rsidRPr="00E51118">
        <w:rPr>
          <w:rFonts w:eastAsia="Calibri"/>
        </w:rPr>
        <w:t xml:space="preserve">oil and gas </w:t>
      </w:r>
      <w:r w:rsidR="34DEDDC7" w:rsidRPr="00E51118">
        <w:rPr>
          <w:rFonts w:eastAsia="Calibri"/>
        </w:rPr>
        <w:t>compa</w:t>
      </w:r>
      <w:r w:rsidR="16BC8D7F" w:rsidRPr="00E51118">
        <w:rPr>
          <w:rFonts w:eastAsia="Calibri"/>
        </w:rPr>
        <w:t>nies</w:t>
      </w:r>
      <w:r w:rsidR="79F033E4" w:rsidRPr="00E51118">
        <w:rPr>
          <w:rFonts w:eastAsia="Calibri"/>
        </w:rPr>
        <w:t xml:space="preserve"> due to a high price </w:t>
      </w:r>
      <w:proofErr w:type="spellStart"/>
      <w:r w:rsidR="79F033E4" w:rsidRPr="00E51118">
        <w:rPr>
          <w:rFonts w:eastAsia="Calibri"/>
        </w:rPr>
        <w:t>environement</w:t>
      </w:r>
      <w:proofErr w:type="spellEnd"/>
      <w:r w:rsidR="00744B66" w:rsidRPr="00E51118">
        <w:rPr>
          <w:rFonts w:eastAsia="Calibri"/>
          <w:vertAlign w:val="superscript"/>
        </w:rPr>
        <w:footnoteReference w:id="1"/>
      </w:r>
      <w:r w:rsidR="00744B66" w:rsidRPr="00E51118">
        <w:rPr>
          <w:rFonts w:eastAsia="Calibri"/>
        </w:rPr>
        <w:t>.</w:t>
      </w:r>
      <w:r w:rsidR="00B85AD6" w:rsidRPr="00E51118">
        <w:rPr>
          <w:rFonts w:eastAsia="Calibri"/>
        </w:rPr>
        <w:t xml:space="preserve"> In its original desig</w:t>
      </w:r>
      <w:r w:rsidR="00A407BA" w:rsidRPr="00E51118">
        <w:rPr>
          <w:rFonts w:eastAsia="Calibri"/>
        </w:rPr>
        <w:t>n</w:t>
      </w:r>
      <w:r w:rsidR="00D744FA" w:rsidRPr="00E51118">
        <w:rPr>
          <w:rFonts w:eastAsia="Calibri"/>
        </w:rPr>
        <w:t xml:space="preserve">, </w:t>
      </w:r>
      <w:r w:rsidR="00B85AD6" w:rsidRPr="00E51118">
        <w:rPr>
          <w:rFonts w:eastAsia="Calibri"/>
        </w:rPr>
        <w:t>t</w:t>
      </w:r>
      <w:r w:rsidR="00744B66" w:rsidRPr="00E51118">
        <w:rPr>
          <w:rFonts w:eastAsia="Calibri"/>
        </w:rPr>
        <w:t>he scheme</w:t>
      </w:r>
      <w:r w:rsidR="00B85AD6" w:rsidRPr="00E51118">
        <w:rPr>
          <w:rFonts w:eastAsia="Calibri"/>
        </w:rPr>
        <w:t xml:space="preserve"> set </w:t>
      </w:r>
      <w:r w:rsidR="00744B66" w:rsidRPr="00E51118">
        <w:rPr>
          <w:rFonts w:eastAsia="Calibri"/>
        </w:rPr>
        <w:t xml:space="preserve">a temporary 25% levy on oil and gas ring fence profits with an investment allowance of 80% in addition to the existing Ring Fence Corporation Tax (CT) and Supplementary Charge (SC). The levy was due to expire by December 2025. </w:t>
      </w:r>
    </w:p>
    <w:p w14:paraId="71CEBC16" w14:textId="33891D3A" w:rsidR="00DD0795" w:rsidRPr="00E51118" w:rsidRDefault="00744B66" w:rsidP="00744B66">
      <w:pPr>
        <w:spacing w:before="120" w:after="120" w:line="360" w:lineRule="auto"/>
        <w:ind w:firstLine="720"/>
        <w:jc w:val="both"/>
        <w:rPr>
          <w:rFonts w:eastAsia="Calibri"/>
        </w:rPr>
      </w:pPr>
      <w:r w:rsidRPr="00E51118">
        <w:rPr>
          <w:rFonts w:eastAsia="Calibri"/>
        </w:rPr>
        <w:t xml:space="preserve">However, </w:t>
      </w:r>
      <w:r w:rsidR="00AB0D29" w:rsidRPr="00E51118">
        <w:rPr>
          <w:rFonts w:eastAsia="Calibri"/>
        </w:rPr>
        <w:t>the EPL</w:t>
      </w:r>
      <w:r w:rsidR="00D744FA" w:rsidRPr="00E51118">
        <w:rPr>
          <w:rFonts w:eastAsia="Calibri"/>
        </w:rPr>
        <w:t xml:space="preserve"> has</w:t>
      </w:r>
      <w:r w:rsidR="00AB0D29" w:rsidRPr="00E51118">
        <w:rPr>
          <w:rFonts w:eastAsia="Calibri"/>
        </w:rPr>
        <w:t xml:space="preserve"> </w:t>
      </w:r>
      <w:r w:rsidR="00F0601B" w:rsidRPr="00E51118">
        <w:rPr>
          <w:rFonts w:eastAsia="Calibri"/>
        </w:rPr>
        <w:t xml:space="preserve">since been amended </w:t>
      </w:r>
      <w:r w:rsidR="00E748B3" w:rsidRPr="00E51118">
        <w:rPr>
          <w:rFonts w:eastAsia="Calibri"/>
        </w:rPr>
        <w:t xml:space="preserve">twice </w:t>
      </w:r>
      <w:r w:rsidR="00B74533" w:rsidRPr="00E51118">
        <w:rPr>
          <w:rFonts w:eastAsia="Calibri"/>
        </w:rPr>
        <w:t xml:space="preserve">with </w:t>
      </w:r>
      <w:r w:rsidR="00590854" w:rsidRPr="00E51118">
        <w:rPr>
          <w:rFonts w:eastAsia="Calibri"/>
        </w:rPr>
        <w:t>significant</w:t>
      </w:r>
      <w:r w:rsidR="00B74533" w:rsidRPr="00E51118">
        <w:rPr>
          <w:rFonts w:eastAsia="Calibri"/>
        </w:rPr>
        <w:t xml:space="preserve"> changes to its provisions.</w:t>
      </w:r>
      <w:r w:rsidR="00D744FA" w:rsidRPr="00E51118">
        <w:rPr>
          <w:rFonts w:eastAsia="Calibri"/>
        </w:rPr>
        <w:t xml:space="preserve"> I</w:t>
      </w:r>
      <w:r w:rsidR="00905A61" w:rsidRPr="00E51118">
        <w:rPr>
          <w:rFonts w:eastAsia="Calibri"/>
        </w:rPr>
        <w:t>n the Autumn Statement of November 2022</w:t>
      </w:r>
      <w:r w:rsidR="00905A61" w:rsidRPr="00E51118">
        <w:rPr>
          <w:rFonts w:eastAsia="Calibri"/>
          <w:vertAlign w:val="superscript"/>
        </w:rPr>
        <w:footnoteReference w:id="2"/>
      </w:r>
      <w:r w:rsidR="001C219C" w:rsidRPr="00E51118">
        <w:rPr>
          <w:rFonts w:eastAsia="Calibri"/>
        </w:rPr>
        <w:t xml:space="preserve"> </w:t>
      </w:r>
      <w:r w:rsidR="00F261E7">
        <w:rPr>
          <w:rFonts w:eastAsia="Calibri"/>
        </w:rPr>
        <w:t xml:space="preserve">it was announced that </w:t>
      </w:r>
      <w:r w:rsidR="001C219C" w:rsidRPr="00E51118">
        <w:rPr>
          <w:rFonts w:eastAsia="Calibri"/>
        </w:rPr>
        <w:t xml:space="preserve">EPL rate </w:t>
      </w:r>
      <w:r w:rsidR="00F261E7">
        <w:rPr>
          <w:rFonts w:eastAsia="Calibri"/>
        </w:rPr>
        <w:t xml:space="preserve">would increase </w:t>
      </w:r>
      <w:r w:rsidR="001C219C" w:rsidRPr="00E51118">
        <w:rPr>
          <w:rFonts w:eastAsia="Calibri"/>
        </w:rPr>
        <w:t>from 25% to 35% from January 2023</w:t>
      </w:r>
      <w:r w:rsidR="00F261E7">
        <w:rPr>
          <w:rFonts w:eastAsia="Calibri"/>
        </w:rPr>
        <w:t xml:space="preserve">, </w:t>
      </w:r>
      <w:r w:rsidR="001C219C" w:rsidRPr="00E51118">
        <w:rPr>
          <w:rFonts w:eastAsia="Calibri"/>
        </w:rPr>
        <w:t xml:space="preserve">and </w:t>
      </w:r>
      <w:r w:rsidR="00F261E7">
        <w:rPr>
          <w:rFonts w:eastAsia="Calibri"/>
        </w:rPr>
        <w:t>its durati</w:t>
      </w:r>
      <w:r w:rsidR="00E90485">
        <w:rPr>
          <w:rFonts w:eastAsia="Calibri"/>
        </w:rPr>
        <w:t>on extended</w:t>
      </w:r>
      <w:r w:rsidR="001C219C" w:rsidRPr="00E51118">
        <w:rPr>
          <w:rFonts w:eastAsia="Calibri"/>
        </w:rPr>
        <w:t xml:space="preserve"> to 31</w:t>
      </w:r>
      <w:r w:rsidR="001C219C" w:rsidRPr="00E51118">
        <w:rPr>
          <w:rFonts w:eastAsia="Calibri"/>
          <w:vertAlign w:val="superscript"/>
        </w:rPr>
        <w:t>st</w:t>
      </w:r>
      <w:r w:rsidR="001C219C" w:rsidRPr="00E51118">
        <w:rPr>
          <w:rFonts w:eastAsia="Calibri"/>
        </w:rPr>
        <w:t xml:space="preserve"> March 2028. The investment allowance </w:t>
      </w:r>
      <w:r w:rsidR="00222A8F" w:rsidRPr="00E51118">
        <w:rPr>
          <w:rFonts w:eastAsia="Calibri"/>
        </w:rPr>
        <w:t xml:space="preserve">was reduced </w:t>
      </w:r>
      <w:r w:rsidR="001C219C" w:rsidRPr="00E51118">
        <w:rPr>
          <w:rFonts w:eastAsia="Calibri"/>
        </w:rPr>
        <w:t xml:space="preserve">to 29% to maintain the same cash value of relief given through the allowance. </w:t>
      </w:r>
      <w:r w:rsidR="00222A8F" w:rsidRPr="00E51118">
        <w:rPr>
          <w:rFonts w:eastAsia="Calibri"/>
        </w:rPr>
        <w:t xml:space="preserve">An 80% </w:t>
      </w:r>
      <w:r w:rsidR="001C219C" w:rsidRPr="00E51118">
        <w:rPr>
          <w:rFonts w:eastAsia="Calibri"/>
        </w:rPr>
        <w:t>investment allowance</w:t>
      </w:r>
      <w:r w:rsidR="00222A8F" w:rsidRPr="00E51118">
        <w:rPr>
          <w:rFonts w:eastAsia="Calibri"/>
        </w:rPr>
        <w:t xml:space="preserve"> was </w:t>
      </w:r>
      <w:r w:rsidR="001C219C" w:rsidRPr="00E51118">
        <w:rPr>
          <w:rFonts w:eastAsia="Calibri"/>
        </w:rPr>
        <w:t xml:space="preserve">given for expenditures </w:t>
      </w:r>
      <w:r w:rsidR="00D54304" w:rsidRPr="00E51118">
        <w:rPr>
          <w:rFonts w:eastAsia="Calibri"/>
        </w:rPr>
        <w:t xml:space="preserve">related to </w:t>
      </w:r>
      <w:r w:rsidR="001C219C" w:rsidRPr="00E51118">
        <w:rPr>
          <w:rFonts w:eastAsia="Calibri"/>
        </w:rPr>
        <w:t>decarbonisation of oil and gas production.</w:t>
      </w:r>
      <w:r w:rsidR="00B54A2C" w:rsidRPr="00E51118">
        <w:rPr>
          <w:rFonts w:eastAsia="Calibri"/>
        </w:rPr>
        <w:t xml:space="preserve"> </w:t>
      </w:r>
      <w:r w:rsidR="00747111" w:rsidRPr="00E51118">
        <w:rPr>
          <w:rFonts w:eastAsia="Calibri"/>
        </w:rPr>
        <w:t xml:space="preserve">Then, in the </w:t>
      </w:r>
      <w:r w:rsidR="008F79DA" w:rsidRPr="00E51118">
        <w:rPr>
          <w:rFonts w:eastAsia="Calibri"/>
        </w:rPr>
        <w:t xml:space="preserve">2024 </w:t>
      </w:r>
      <w:r w:rsidR="00747111" w:rsidRPr="00E51118">
        <w:rPr>
          <w:rFonts w:eastAsia="Calibri"/>
        </w:rPr>
        <w:t>Spring Budget</w:t>
      </w:r>
      <w:r w:rsidR="008F6E87" w:rsidRPr="00E51118">
        <w:rPr>
          <w:rStyle w:val="FootnoteReference"/>
          <w:rFonts w:eastAsia="Calibri"/>
        </w:rPr>
        <w:footnoteReference w:id="3"/>
      </w:r>
      <w:r w:rsidR="00747111" w:rsidRPr="00E51118">
        <w:rPr>
          <w:rFonts w:eastAsia="Calibri"/>
        </w:rPr>
        <w:t xml:space="preserve">, it was announced that the </w:t>
      </w:r>
      <w:r w:rsidR="00F814B6" w:rsidRPr="00E51118">
        <w:rPr>
          <w:rFonts w:eastAsia="Calibri"/>
        </w:rPr>
        <w:t xml:space="preserve">EPL will be extended by one year </w:t>
      </w:r>
      <w:r w:rsidR="0057051D" w:rsidRPr="00E51118">
        <w:rPr>
          <w:rFonts w:eastAsia="Calibri"/>
        </w:rPr>
        <w:t>to March 2029</w:t>
      </w:r>
      <w:r w:rsidR="009B741E" w:rsidRPr="00E51118">
        <w:rPr>
          <w:rFonts w:eastAsia="Calibri"/>
        </w:rPr>
        <w:t xml:space="preserve"> and that the </w:t>
      </w:r>
      <w:r w:rsidR="00396B11" w:rsidRPr="00E51118">
        <w:rPr>
          <w:rFonts w:eastAsia="Calibri"/>
        </w:rPr>
        <w:t>Spring Finance Bill will include legislation supporting</w:t>
      </w:r>
      <w:r w:rsidR="00BD7BE5" w:rsidRPr="00E51118">
        <w:rPr>
          <w:rFonts w:eastAsia="Calibri"/>
        </w:rPr>
        <w:t xml:space="preserve"> </w:t>
      </w:r>
      <w:r w:rsidR="0029333A" w:rsidRPr="00E51118">
        <w:rPr>
          <w:rFonts w:eastAsia="Calibri"/>
        </w:rPr>
        <w:t>the Energy Security Investment Mechanism (ESIM)</w:t>
      </w:r>
      <w:r w:rsidR="009B741E" w:rsidRPr="00E51118">
        <w:rPr>
          <w:rStyle w:val="FootnoteReference"/>
          <w:rFonts w:eastAsia="Calibri"/>
        </w:rPr>
        <w:t xml:space="preserve"> </w:t>
      </w:r>
      <w:r w:rsidR="009B741E" w:rsidRPr="00E51118">
        <w:rPr>
          <w:rStyle w:val="FootnoteReference"/>
          <w:rFonts w:eastAsia="Calibri"/>
        </w:rPr>
        <w:footnoteReference w:id="4"/>
      </w:r>
      <w:r w:rsidR="00B108E5" w:rsidRPr="00E51118">
        <w:rPr>
          <w:rFonts w:eastAsia="Calibri"/>
        </w:rPr>
        <w:t xml:space="preserve">, which sets a price </w:t>
      </w:r>
      <w:r w:rsidR="00D74C3B" w:rsidRPr="00E51118">
        <w:rPr>
          <w:rFonts w:eastAsia="Calibri"/>
        </w:rPr>
        <w:t xml:space="preserve">threshold </w:t>
      </w:r>
      <w:r w:rsidR="009B741E" w:rsidRPr="00E51118">
        <w:rPr>
          <w:rFonts w:eastAsia="Calibri"/>
        </w:rPr>
        <w:t xml:space="preserve">that will remove the EPL if triggered. </w:t>
      </w:r>
    </w:p>
    <w:p w14:paraId="4902CEC0" w14:textId="30F36A04" w:rsidR="00A845A1" w:rsidRPr="00E51118" w:rsidRDefault="002928B9" w:rsidP="00A845A1">
      <w:pPr>
        <w:spacing w:before="120" w:after="120" w:line="360" w:lineRule="auto"/>
        <w:ind w:firstLine="720"/>
        <w:jc w:val="both"/>
        <w:rPr>
          <w:rFonts w:eastAsia="Calibri"/>
        </w:rPr>
      </w:pPr>
      <w:r w:rsidRPr="00E51118">
        <w:rPr>
          <w:rFonts w:eastAsia="Calibri"/>
        </w:rPr>
        <w:t xml:space="preserve">Adding to the uncertainty, </w:t>
      </w:r>
      <w:r w:rsidR="00C05D0D" w:rsidRPr="00E51118">
        <w:rPr>
          <w:rFonts w:eastAsia="Calibri"/>
        </w:rPr>
        <w:t xml:space="preserve">earlier this year </w:t>
      </w:r>
      <w:r w:rsidRPr="00E51118">
        <w:rPr>
          <w:rFonts w:eastAsia="Calibri"/>
        </w:rPr>
        <w:t>t</w:t>
      </w:r>
      <w:r w:rsidR="00F07CD8" w:rsidRPr="00E51118">
        <w:rPr>
          <w:rFonts w:eastAsia="Calibri"/>
        </w:rPr>
        <w:t xml:space="preserve">he Labour Party </w:t>
      </w:r>
      <w:r w:rsidRPr="00E51118">
        <w:rPr>
          <w:rFonts w:eastAsia="Calibri"/>
        </w:rPr>
        <w:t xml:space="preserve">published a </w:t>
      </w:r>
      <w:r w:rsidR="00181812" w:rsidRPr="00E51118">
        <w:rPr>
          <w:rFonts w:eastAsia="Calibri"/>
        </w:rPr>
        <w:t>revised “green investment plan”</w:t>
      </w:r>
      <w:r w:rsidRPr="00E51118">
        <w:rPr>
          <w:rStyle w:val="FootnoteReference"/>
          <w:rFonts w:eastAsia="Calibri"/>
        </w:rPr>
        <w:footnoteReference w:id="5"/>
      </w:r>
      <w:r w:rsidRPr="00E51118">
        <w:rPr>
          <w:rFonts w:eastAsia="Calibri"/>
        </w:rPr>
        <w:t xml:space="preserve"> </w:t>
      </w:r>
      <w:r w:rsidR="00015F1B">
        <w:rPr>
          <w:rFonts w:eastAsia="Calibri"/>
        </w:rPr>
        <w:t>with significant changes to the</w:t>
      </w:r>
      <w:r w:rsidR="00093E7A" w:rsidRPr="00E51118">
        <w:rPr>
          <w:rFonts w:eastAsia="Calibri"/>
        </w:rPr>
        <w:t xml:space="preserve"> EPL</w:t>
      </w:r>
      <w:r w:rsidR="00181812" w:rsidRPr="00E51118">
        <w:rPr>
          <w:rFonts w:eastAsia="Calibri"/>
        </w:rPr>
        <w:t>.</w:t>
      </w:r>
      <w:r w:rsidR="00D710E5" w:rsidRPr="00E51118">
        <w:rPr>
          <w:rFonts w:eastAsia="Calibri"/>
        </w:rPr>
        <w:t xml:space="preserve"> The plan </w:t>
      </w:r>
      <w:r w:rsidR="00015F1B">
        <w:rPr>
          <w:rFonts w:eastAsia="Calibri"/>
        </w:rPr>
        <w:t>proposed</w:t>
      </w:r>
      <w:r w:rsidR="00D710E5" w:rsidRPr="00E51118">
        <w:rPr>
          <w:rFonts w:eastAsia="Calibri"/>
        </w:rPr>
        <w:t xml:space="preserve"> increasing the rate from 35% to </w:t>
      </w:r>
      <w:r w:rsidR="003F2A65" w:rsidRPr="00E51118">
        <w:rPr>
          <w:rFonts w:eastAsia="Calibri"/>
        </w:rPr>
        <w:t xml:space="preserve">38%, taking the headline tax rate to 78%. </w:t>
      </w:r>
      <w:r w:rsidR="0001701D" w:rsidRPr="00E51118">
        <w:rPr>
          <w:rFonts w:eastAsia="Calibri"/>
        </w:rPr>
        <w:t xml:space="preserve">An early version of the plan even </w:t>
      </w:r>
      <w:r w:rsidR="00DA0E8E" w:rsidRPr="00E51118">
        <w:rPr>
          <w:rFonts w:eastAsia="Calibri"/>
        </w:rPr>
        <w:t>suggested</w:t>
      </w:r>
      <w:r w:rsidR="0001701D" w:rsidRPr="00E51118">
        <w:rPr>
          <w:rFonts w:eastAsia="Calibri"/>
        </w:rPr>
        <w:t xml:space="preserve"> that the rate would be backdated to January 2022</w:t>
      </w:r>
      <w:r w:rsidR="0001701D" w:rsidRPr="00E51118">
        <w:rPr>
          <w:rStyle w:val="FootnoteReference"/>
          <w:rFonts w:eastAsia="Calibri"/>
        </w:rPr>
        <w:footnoteReference w:id="6"/>
      </w:r>
      <w:r w:rsidR="005775E6" w:rsidRPr="00E51118">
        <w:rPr>
          <w:rFonts w:eastAsia="Calibri"/>
        </w:rPr>
        <w:t xml:space="preserve">. </w:t>
      </w:r>
      <w:r w:rsidR="003E4B62">
        <w:rPr>
          <w:rFonts w:eastAsia="Calibri"/>
        </w:rPr>
        <w:t xml:space="preserve">The plan mentioned that “loopholes” in the Levy will be </w:t>
      </w:r>
      <w:proofErr w:type="spellStart"/>
      <w:r w:rsidR="003E4B62">
        <w:rPr>
          <w:rFonts w:eastAsia="Calibri"/>
        </w:rPr>
        <w:t>tack</w:t>
      </w:r>
      <w:r w:rsidR="00CB23B5">
        <w:rPr>
          <w:rFonts w:eastAsia="Calibri"/>
        </w:rPr>
        <w:t>eled</w:t>
      </w:r>
      <w:proofErr w:type="spellEnd"/>
      <w:r w:rsidR="00CB23B5">
        <w:rPr>
          <w:rFonts w:eastAsia="Calibri"/>
        </w:rPr>
        <w:t xml:space="preserve">, likely meaning the removal of the </w:t>
      </w:r>
      <w:r w:rsidR="00540699" w:rsidRPr="00E51118">
        <w:rPr>
          <w:rFonts w:eastAsia="Calibri"/>
        </w:rPr>
        <w:t xml:space="preserve">investment allowance for EPL. </w:t>
      </w:r>
      <w:r w:rsidR="0004664D" w:rsidRPr="00E51118">
        <w:rPr>
          <w:rFonts w:eastAsia="Calibri"/>
        </w:rPr>
        <w:t xml:space="preserve">There is </w:t>
      </w:r>
      <w:r w:rsidR="00390339">
        <w:rPr>
          <w:rFonts w:eastAsia="Calibri"/>
        </w:rPr>
        <w:t>a possibility</w:t>
      </w:r>
      <w:r w:rsidR="0004664D" w:rsidRPr="00E51118">
        <w:rPr>
          <w:rFonts w:eastAsia="Calibri"/>
        </w:rPr>
        <w:t xml:space="preserve">, however, that the </w:t>
      </w:r>
      <w:r w:rsidR="00FB58E6" w:rsidRPr="00E51118">
        <w:rPr>
          <w:rFonts w:eastAsia="Calibri"/>
        </w:rPr>
        <w:t xml:space="preserve">capital allowance </w:t>
      </w:r>
      <w:r w:rsidR="007A4E87" w:rsidRPr="00E51118">
        <w:rPr>
          <w:rFonts w:eastAsia="Calibri"/>
        </w:rPr>
        <w:t xml:space="preserve">for EPL could </w:t>
      </w:r>
      <w:r w:rsidR="007A4E87" w:rsidRPr="00E51118">
        <w:rPr>
          <w:rFonts w:eastAsia="Calibri"/>
        </w:rPr>
        <w:lastRenderedPageBreak/>
        <w:t xml:space="preserve">also be </w:t>
      </w:r>
      <w:r w:rsidR="00390339">
        <w:rPr>
          <w:rFonts w:eastAsia="Calibri"/>
        </w:rPr>
        <w:t>scraped</w:t>
      </w:r>
      <w:r w:rsidR="008D2BFF" w:rsidRPr="00E51118">
        <w:rPr>
          <w:rFonts w:eastAsia="Calibri"/>
        </w:rPr>
        <w:t>, deviating significantly from traditional UK oil and gas tax regime</w:t>
      </w:r>
      <w:r w:rsidR="00390339">
        <w:rPr>
          <w:rFonts w:eastAsia="Calibri"/>
        </w:rPr>
        <w:t xml:space="preserve"> practice of allowing capital costs to be deducted </w:t>
      </w:r>
      <w:r w:rsidR="007A4E87" w:rsidRPr="00E51118">
        <w:rPr>
          <w:rFonts w:eastAsia="Calibri"/>
        </w:rPr>
        <w:t>when calculating profits</w:t>
      </w:r>
      <w:r w:rsidR="0064654B" w:rsidRPr="00E51118">
        <w:rPr>
          <w:rFonts w:eastAsia="Calibri"/>
        </w:rPr>
        <w:t>.</w:t>
      </w:r>
    </w:p>
    <w:p w14:paraId="7211A104" w14:textId="67790431" w:rsidR="00990C00" w:rsidRPr="00E51118" w:rsidRDefault="007F4232" w:rsidP="00990C00">
      <w:pPr>
        <w:spacing w:before="120" w:after="120" w:line="360" w:lineRule="auto"/>
        <w:ind w:firstLine="720"/>
        <w:jc w:val="both"/>
        <w:rPr>
          <w:rFonts w:eastAsia="Calibri"/>
        </w:rPr>
      </w:pPr>
      <w:r>
        <w:rPr>
          <w:rFonts w:eastAsia="Calibri"/>
        </w:rPr>
        <w:t>The amount of changes</w:t>
      </w:r>
      <w:r w:rsidR="006B539D" w:rsidRPr="00E51118">
        <w:rPr>
          <w:rFonts w:eastAsia="Calibri"/>
        </w:rPr>
        <w:t xml:space="preserve"> </w:t>
      </w:r>
      <w:r>
        <w:rPr>
          <w:rFonts w:eastAsia="Calibri"/>
        </w:rPr>
        <w:t>has</w:t>
      </w:r>
      <w:r w:rsidR="006B539D" w:rsidRPr="00E51118">
        <w:rPr>
          <w:rFonts w:eastAsia="Calibri"/>
        </w:rPr>
        <w:t xml:space="preserve"> raised concerns </w:t>
      </w:r>
      <w:r w:rsidR="00990C00" w:rsidRPr="00E51118">
        <w:rPr>
          <w:rFonts w:eastAsia="Calibri"/>
        </w:rPr>
        <w:t xml:space="preserve">over the stability and predictability of the </w:t>
      </w:r>
      <w:r>
        <w:rPr>
          <w:rFonts w:eastAsia="Calibri"/>
        </w:rPr>
        <w:t xml:space="preserve">UKCS </w:t>
      </w:r>
      <w:r w:rsidR="00990C00" w:rsidRPr="00E51118">
        <w:rPr>
          <w:rFonts w:eastAsia="Calibri"/>
        </w:rPr>
        <w:t xml:space="preserve">tax environment, which </w:t>
      </w:r>
      <w:r>
        <w:rPr>
          <w:rFonts w:eastAsia="Calibri"/>
        </w:rPr>
        <w:t>is</w:t>
      </w:r>
      <w:r w:rsidR="00990C00" w:rsidRPr="00E51118">
        <w:rPr>
          <w:rFonts w:eastAsia="Calibri"/>
        </w:rPr>
        <w:t xml:space="preserve"> crucial for long-term investment decisions in the oil and gas sector.</w:t>
      </w:r>
      <w:r w:rsidR="00DE7BA9" w:rsidRPr="00E51118">
        <w:rPr>
          <w:rFonts w:eastAsia="Calibri"/>
        </w:rPr>
        <w:t xml:space="preserve"> Trade body Offshore </w:t>
      </w:r>
      <w:r w:rsidR="00292D15" w:rsidRPr="00E51118">
        <w:rPr>
          <w:rFonts w:eastAsia="Calibri"/>
        </w:rPr>
        <w:t xml:space="preserve">Energies UK (OEUK) has called </w:t>
      </w:r>
      <w:r w:rsidR="00B14493" w:rsidRPr="00E51118">
        <w:rPr>
          <w:rFonts w:eastAsia="Calibri"/>
        </w:rPr>
        <w:t xml:space="preserve">for </w:t>
      </w:r>
      <w:r w:rsidR="006B539D" w:rsidRPr="00E51118">
        <w:rPr>
          <w:rFonts w:eastAsia="Calibri"/>
        </w:rPr>
        <w:t xml:space="preserve">the </w:t>
      </w:r>
      <w:r w:rsidR="00F77419" w:rsidRPr="00E51118">
        <w:rPr>
          <w:rStyle w:val="FootnoteReference"/>
          <w:rFonts w:eastAsia="Calibri"/>
        </w:rPr>
        <w:footnoteReference w:id="7"/>
      </w:r>
      <w:r w:rsidR="00B14493" w:rsidRPr="00E51118">
        <w:rPr>
          <w:rFonts w:eastAsia="Calibri"/>
        </w:rPr>
        <w:t xml:space="preserve">stability of the tax regime </w:t>
      </w:r>
      <w:r w:rsidR="006B539D" w:rsidRPr="00E51118">
        <w:rPr>
          <w:rFonts w:eastAsia="Calibri"/>
        </w:rPr>
        <w:t xml:space="preserve">to support </w:t>
      </w:r>
      <w:proofErr w:type="gramStart"/>
      <w:r w:rsidR="006B539D" w:rsidRPr="00E51118">
        <w:rPr>
          <w:rFonts w:eastAsia="Calibri"/>
        </w:rPr>
        <w:t>investment</w:t>
      </w:r>
      <w:r>
        <w:rPr>
          <w:rFonts w:eastAsia="Calibri"/>
        </w:rPr>
        <w:t xml:space="preserve">, </w:t>
      </w:r>
      <w:r w:rsidR="00F77419" w:rsidRPr="00E51118">
        <w:rPr>
          <w:rFonts w:eastAsia="Calibri"/>
        </w:rPr>
        <w:t>and</w:t>
      </w:r>
      <w:proofErr w:type="gramEnd"/>
      <w:r w:rsidR="00F77419" w:rsidRPr="00E51118">
        <w:rPr>
          <w:rFonts w:eastAsia="Calibri"/>
        </w:rPr>
        <w:t xml:space="preserve"> published an industry </w:t>
      </w:r>
      <w:proofErr w:type="spellStart"/>
      <w:r w:rsidR="00F77419" w:rsidRPr="00E51118">
        <w:rPr>
          <w:rFonts w:eastAsia="Calibri"/>
        </w:rPr>
        <w:t>manifiesto</w:t>
      </w:r>
      <w:proofErr w:type="spellEnd"/>
      <w:r w:rsidR="00F77419" w:rsidRPr="00E51118">
        <w:rPr>
          <w:rFonts w:eastAsia="Calibri"/>
        </w:rPr>
        <w:t xml:space="preserve"> to </w:t>
      </w:r>
      <w:r w:rsidR="00DA3920" w:rsidRPr="00E51118">
        <w:rPr>
          <w:rFonts w:eastAsia="Calibri"/>
        </w:rPr>
        <w:t>highlight the importance of the sector within the UK economy</w:t>
      </w:r>
      <w:r w:rsidR="00DA3920" w:rsidRPr="00E51118">
        <w:rPr>
          <w:rStyle w:val="FootnoteReference"/>
          <w:rFonts w:eastAsia="Calibri"/>
        </w:rPr>
        <w:footnoteReference w:id="8"/>
      </w:r>
      <w:r w:rsidR="0080618D" w:rsidRPr="00E51118">
        <w:rPr>
          <w:rFonts w:eastAsia="Calibri"/>
        </w:rPr>
        <w:t xml:space="preserve">. The </w:t>
      </w:r>
      <w:proofErr w:type="spellStart"/>
      <w:r w:rsidR="0080618D" w:rsidRPr="00E51118">
        <w:rPr>
          <w:rFonts w:eastAsia="Calibri"/>
        </w:rPr>
        <w:t>Governement</w:t>
      </w:r>
      <w:proofErr w:type="spellEnd"/>
      <w:r w:rsidR="004115F6" w:rsidRPr="00E51118">
        <w:rPr>
          <w:rFonts w:eastAsia="Calibri"/>
        </w:rPr>
        <w:t xml:space="preserve"> has defended th</w:t>
      </w:r>
      <w:r w:rsidR="004E65DB" w:rsidRPr="00E51118">
        <w:rPr>
          <w:rFonts w:eastAsia="Calibri"/>
        </w:rPr>
        <w:t xml:space="preserve">e changes </w:t>
      </w:r>
      <w:r w:rsidR="00FE2F75" w:rsidRPr="00E51118">
        <w:rPr>
          <w:rFonts w:eastAsia="Calibri"/>
        </w:rPr>
        <w:t xml:space="preserve">by </w:t>
      </w:r>
      <w:r w:rsidR="004E65DB" w:rsidRPr="00E51118">
        <w:rPr>
          <w:rFonts w:eastAsia="Calibri"/>
        </w:rPr>
        <w:t xml:space="preserve">stating that the </w:t>
      </w:r>
      <w:proofErr w:type="gramStart"/>
      <w:r>
        <w:rPr>
          <w:rFonts w:eastAsia="Calibri"/>
        </w:rPr>
        <w:t>one</w:t>
      </w:r>
      <w:r w:rsidR="00FE2F75" w:rsidRPr="00E51118">
        <w:rPr>
          <w:rFonts w:eastAsia="Calibri"/>
        </w:rPr>
        <w:t xml:space="preserve"> year</w:t>
      </w:r>
      <w:proofErr w:type="gramEnd"/>
      <w:r w:rsidR="00FE2F75" w:rsidRPr="00E51118">
        <w:rPr>
          <w:rFonts w:eastAsia="Calibri"/>
        </w:rPr>
        <w:t xml:space="preserve"> extension to the Levy will raise an additional </w:t>
      </w:r>
      <w:r w:rsidR="00FE2F75" w:rsidRPr="00E51118">
        <w:rPr>
          <w:sz w:val="22"/>
          <w:szCs w:val="22"/>
        </w:rPr>
        <w:t>£</w:t>
      </w:r>
      <w:r w:rsidR="00FE2F75" w:rsidRPr="00E51118">
        <w:rPr>
          <w:rFonts w:eastAsia="Calibri"/>
        </w:rPr>
        <w:t xml:space="preserve">1.5 billion, and </w:t>
      </w:r>
      <w:r w:rsidR="007367A2" w:rsidRPr="00E51118">
        <w:rPr>
          <w:rFonts w:eastAsia="Calibri"/>
        </w:rPr>
        <w:t xml:space="preserve">that certainty is given with the ESIM which puts a price floor for to the EPL. </w:t>
      </w:r>
    </w:p>
    <w:p w14:paraId="295B0EF1" w14:textId="7509A218" w:rsidR="00990C00" w:rsidRDefault="008153BE" w:rsidP="00990C00">
      <w:pPr>
        <w:spacing w:before="120" w:after="120" w:line="360" w:lineRule="auto"/>
        <w:ind w:firstLine="720"/>
        <w:jc w:val="both"/>
        <w:rPr>
          <w:rFonts w:eastAsia="Calibri"/>
        </w:rPr>
      </w:pPr>
      <w:r>
        <w:rPr>
          <w:rFonts w:eastAsia="Calibri"/>
        </w:rPr>
        <w:t>Industry</w:t>
      </w:r>
      <w:r w:rsidR="00002235" w:rsidRPr="00E51118">
        <w:rPr>
          <w:rFonts w:eastAsia="Calibri"/>
        </w:rPr>
        <w:t>,</w:t>
      </w:r>
      <w:r>
        <w:rPr>
          <w:rFonts w:eastAsia="Calibri"/>
        </w:rPr>
        <w:t xml:space="preserve"> however, has been vocal about</w:t>
      </w:r>
      <w:r w:rsidR="00002235" w:rsidRPr="00E51118">
        <w:rPr>
          <w:rFonts w:eastAsia="Calibri"/>
        </w:rPr>
        <w:t xml:space="preserve"> </w:t>
      </w:r>
      <w:r w:rsidR="00D8693E" w:rsidRPr="00E51118">
        <w:rPr>
          <w:rFonts w:eastAsia="Calibri"/>
        </w:rPr>
        <w:t xml:space="preserve">the </w:t>
      </w:r>
      <w:r w:rsidR="00125AEC" w:rsidRPr="00E51118">
        <w:rPr>
          <w:rFonts w:eastAsia="Calibri"/>
        </w:rPr>
        <w:t xml:space="preserve">negative effects of the </w:t>
      </w:r>
      <w:r w:rsidR="00D8693E" w:rsidRPr="00E51118">
        <w:rPr>
          <w:rFonts w:eastAsia="Calibri"/>
        </w:rPr>
        <w:t xml:space="preserve">EPL </w:t>
      </w:r>
      <w:r w:rsidR="00125AEC" w:rsidRPr="00E51118">
        <w:rPr>
          <w:rFonts w:eastAsia="Calibri"/>
        </w:rPr>
        <w:t xml:space="preserve">across the UKCS. </w:t>
      </w:r>
      <w:r w:rsidR="001779ED" w:rsidRPr="00E51118">
        <w:rPr>
          <w:rFonts w:eastAsia="Calibri"/>
        </w:rPr>
        <w:t>Companies</w:t>
      </w:r>
      <w:r w:rsidR="00D8693E" w:rsidRPr="00E51118">
        <w:rPr>
          <w:rFonts w:eastAsia="Calibri"/>
        </w:rPr>
        <w:t xml:space="preserve"> </w:t>
      </w:r>
      <w:r w:rsidR="001779ED" w:rsidRPr="00E51118">
        <w:rPr>
          <w:rFonts w:eastAsia="Calibri"/>
        </w:rPr>
        <w:t>have made decisions</w:t>
      </w:r>
      <w:r w:rsidR="00D8693E" w:rsidRPr="00E51118">
        <w:rPr>
          <w:rFonts w:eastAsia="Calibri"/>
        </w:rPr>
        <w:t xml:space="preserve"> to diversify away from the UKCS</w:t>
      </w:r>
      <w:r w:rsidR="00D8693E" w:rsidRPr="00E51118">
        <w:rPr>
          <w:rStyle w:val="FootnoteReference"/>
          <w:rFonts w:eastAsia="Calibri"/>
        </w:rPr>
        <w:footnoteReference w:id="9"/>
      </w:r>
      <w:r w:rsidR="00D8693E" w:rsidRPr="00E51118">
        <w:rPr>
          <w:rFonts w:eastAsia="Calibri"/>
        </w:rPr>
        <w:t xml:space="preserve">. </w:t>
      </w:r>
      <w:r w:rsidR="003A45CF" w:rsidRPr="00E51118">
        <w:rPr>
          <w:rFonts w:eastAsia="Calibri"/>
        </w:rPr>
        <w:t>Investment cuts have been announced</w:t>
      </w:r>
      <w:r w:rsidR="00137ACB" w:rsidRPr="00E51118">
        <w:rPr>
          <w:rFonts w:eastAsia="Calibri"/>
        </w:rPr>
        <w:t xml:space="preserve"> by important North Sea operators</w:t>
      </w:r>
      <w:r w:rsidR="00137ACB" w:rsidRPr="00E51118">
        <w:rPr>
          <w:rFonts w:eastAsia="Calibri"/>
          <w:vertAlign w:val="superscript"/>
        </w:rPr>
        <w:footnoteReference w:id="10"/>
      </w:r>
      <w:r w:rsidR="00137ACB" w:rsidRPr="00E51118">
        <w:rPr>
          <w:rFonts w:eastAsia="Calibri"/>
        </w:rPr>
        <w:t>.</w:t>
      </w:r>
      <w:r w:rsidR="001779ED" w:rsidRPr="00E51118">
        <w:rPr>
          <w:rFonts w:eastAsia="Calibri"/>
        </w:rPr>
        <w:t xml:space="preserve"> </w:t>
      </w:r>
      <w:r w:rsidR="007140F8" w:rsidRPr="00E51118">
        <w:rPr>
          <w:rFonts w:eastAsia="Calibri"/>
        </w:rPr>
        <w:t xml:space="preserve">Lack of new investment has resulted in </w:t>
      </w:r>
      <w:r w:rsidR="00C45F1B" w:rsidRPr="00E51118">
        <w:rPr>
          <w:rFonts w:eastAsia="Calibri"/>
        </w:rPr>
        <w:t>reduced</w:t>
      </w:r>
      <w:r w:rsidR="00B948BA" w:rsidRPr="00E51118">
        <w:rPr>
          <w:rFonts w:eastAsia="Calibri"/>
        </w:rPr>
        <w:t xml:space="preserve"> </w:t>
      </w:r>
      <w:r w:rsidR="00C3704E" w:rsidRPr="00E51118">
        <w:rPr>
          <w:rFonts w:eastAsia="Calibri"/>
        </w:rPr>
        <w:t>capacity of the Forties Pipeline System</w:t>
      </w:r>
      <w:r w:rsidR="00C3704E" w:rsidRPr="00E51118">
        <w:rPr>
          <w:rStyle w:val="FootnoteReference"/>
          <w:rFonts w:eastAsia="Calibri"/>
        </w:rPr>
        <w:footnoteReference w:id="11"/>
      </w:r>
      <w:r w:rsidR="00780726" w:rsidRPr="00E51118">
        <w:rPr>
          <w:rFonts w:eastAsia="Calibri"/>
        </w:rPr>
        <w:t xml:space="preserve">. </w:t>
      </w:r>
      <w:r w:rsidR="001779ED" w:rsidRPr="00E51118">
        <w:rPr>
          <w:rFonts w:eastAsia="Calibri"/>
        </w:rPr>
        <w:t xml:space="preserve"> </w:t>
      </w:r>
      <w:r>
        <w:rPr>
          <w:rFonts w:eastAsia="Calibri"/>
        </w:rPr>
        <w:t>Energy</w:t>
      </w:r>
      <w:r w:rsidR="00C45F1B" w:rsidRPr="00E51118">
        <w:rPr>
          <w:rFonts w:eastAsia="Calibri"/>
        </w:rPr>
        <w:t xml:space="preserve"> consultancies like </w:t>
      </w:r>
      <w:proofErr w:type="spellStart"/>
      <w:r w:rsidR="00C45F1B" w:rsidRPr="00E51118">
        <w:rPr>
          <w:rFonts w:eastAsia="Calibri"/>
        </w:rPr>
        <w:t>Rystad</w:t>
      </w:r>
      <w:proofErr w:type="spellEnd"/>
      <w:r w:rsidR="00527C97" w:rsidRPr="00E51118">
        <w:rPr>
          <w:rStyle w:val="FootnoteReference"/>
          <w:rFonts w:eastAsia="Calibri"/>
        </w:rPr>
        <w:footnoteReference w:id="12"/>
      </w:r>
      <w:r w:rsidR="001A5F5A" w:rsidRPr="00E51118">
        <w:rPr>
          <w:rFonts w:eastAsia="Calibri"/>
        </w:rPr>
        <w:t xml:space="preserve">, </w:t>
      </w:r>
      <w:r w:rsidR="00C45F1B" w:rsidRPr="00E51118">
        <w:rPr>
          <w:rFonts w:eastAsia="Calibri"/>
        </w:rPr>
        <w:t xml:space="preserve">and </w:t>
      </w:r>
      <w:r w:rsidR="001A5F5A" w:rsidRPr="00E51118">
        <w:rPr>
          <w:rFonts w:eastAsia="Calibri"/>
        </w:rPr>
        <w:t xml:space="preserve">investment bank </w:t>
      </w:r>
      <w:r w:rsidR="00C45F1B" w:rsidRPr="00E51118">
        <w:rPr>
          <w:rFonts w:eastAsia="Calibri"/>
        </w:rPr>
        <w:t>Stifel</w:t>
      </w:r>
      <w:r w:rsidR="001A5F5A" w:rsidRPr="00E51118">
        <w:rPr>
          <w:rStyle w:val="FootnoteReference"/>
          <w:rFonts w:eastAsia="Calibri"/>
        </w:rPr>
        <w:footnoteReference w:id="13"/>
      </w:r>
      <w:r w:rsidR="00C45F1B" w:rsidRPr="00E51118">
        <w:rPr>
          <w:rFonts w:eastAsia="Calibri"/>
        </w:rPr>
        <w:t xml:space="preserve"> </w:t>
      </w:r>
      <w:r w:rsidR="001A5F5A" w:rsidRPr="00E51118">
        <w:rPr>
          <w:rFonts w:eastAsia="Calibri"/>
        </w:rPr>
        <w:t xml:space="preserve">have warned of the negative impact of the EPL. </w:t>
      </w:r>
      <w:r w:rsidR="005D1795" w:rsidRPr="00E51118">
        <w:rPr>
          <w:rFonts w:eastAsia="Calibri"/>
        </w:rPr>
        <w:t>T</w:t>
      </w:r>
      <w:r w:rsidR="006B539D" w:rsidRPr="00E51118">
        <w:rPr>
          <w:rFonts w:eastAsia="Calibri"/>
        </w:rPr>
        <w:t>he prospect of a tougher tax regime if the Labour proposal materiali</w:t>
      </w:r>
      <w:r>
        <w:rPr>
          <w:rFonts w:eastAsia="Calibri"/>
        </w:rPr>
        <w:t>s</w:t>
      </w:r>
      <w:r w:rsidR="006B539D" w:rsidRPr="00E51118">
        <w:rPr>
          <w:rFonts w:eastAsia="Calibri"/>
        </w:rPr>
        <w:t xml:space="preserve">es, </w:t>
      </w:r>
      <w:r w:rsidR="00E67846" w:rsidRPr="00E51118">
        <w:rPr>
          <w:rFonts w:eastAsia="Calibri"/>
        </w:rPr>
        <w:t xml:space="preserve">has </w:t>
      </w:r>
      <w:r w:rsidR="00BE14F5">
        <w:rPr>
          <w:rFonts w:eastAsia="Calibri"/>
        </w:rPr>
        <w:t>resulted</w:t>
      </w:r>
      <w:r w:rsidR="00E67846" w:rsidRPr="00E51118">
        <w:rPr>
          <w:rFonts w:eastAsia="Calibri"/>
        </w:rPr>
        <w:t xml:space="preserve"> in </w:t>
      </w:r>
      <w:r w:rsidR="001A5F5A" w:rsidRPr="00E51118">
        <w:rPr>
          <w:rFonts w:eastAsia="Calibri"/>
        </w:rPr>
        <w:t xml:space="preserve">further backlash </w:t>
      </w:r>
      <w:r w:rsidR="00E67846" w:rsidRPr="00E51118">
        <w:rPr>
          <w:rFonts w:eastAsia="Calibri"/>
        </w:rPr>
        <w:t>from industry</w:t>
      </w:r>
      <w:r w:rsidR="00BE14F5">
        <w:rPr>
          <w:rFonts w:eastAsia="Calibri"/>
        </w:rPr>
        <w:t>.</w:t>
      </w:r>
      <w:r w:rsidR="001A5F5A" w:rsidRPr="00E51118">
        <w:rPr>
          <w:rFonts w:eastAsia="Calibri"/>
        </w:rPr>
        <w:t xml:space="preserve"> </w:t>
      </w:r>
      <w:r w:rsidR="00BE14F5">
        <w:rPr>
          <w:rFonts w:eastAsia="Calibri"/>
        </w:rPr>
        <w:t xml:space="preserve">Estimates by </w:t>
      </w:r>
      <w:r w:rsidR="001A5F5A" w:rsidRPr="00E51118">
        <w:rPr>
          <w:rFonts w:eastAsia="Calibri"/>
        </w:rPr>
        <w:t xml:space="preserve">Wood Mackenzie </w:t>
      </w:r>
      <w:r w:rsidR="00BE14F5">
        <w:rPr>
          <w:rFonts w:eastAsia="Calibri"/>
        </w:rPr>
        <w:t xml:space="preserve">suggest that </w:t>
      </w:r>
      <w:r w:rsidR="00EB72CF" w:rsidRPr="00E51118">
        <w:rPr>
          <w:rFonts w:eastAsia="Calibri"/>
        </w:rPr>
        <w:t xml:space="preserve">North Sea producers </w:t>
      </w:r>
      <w:r w:rsidR="00137D68" w:rsidRPr="00E51118">
        <w:rPr>
          <w:rFonts w:eastAsia="Calibri"/>
        </w:rPr>
        <w:t>could freeze investment until the EPL sunset in 2029.</w:t>
      </w:r>
    </w:p>
    <w:p w14:paraId="354D3AE6" w14:textId="68B2FDED" w:rsidR="001A1A8F" w:rsidRPr="001A1A8F" w:rsidRDefault="001A1A8F" w:rsidP="001A1A8F">
      <w:pPr>
        <w:spacing w:before="120" w:after="120" w:line="360" w:lineRule="auto"/>
        <w:ind w:firstLine="720"/>
        <w:jc w:val="both"/>
        <w:rPr>
          <w:rFonts w:eastAsia="Calibri"/>
        </w:rPr>
      </w:pPr>
      <w:r w:rsidRPr="001A1A8F">
        <w:rPr>
          <w:rFonts w:eastAsia="Calibri"/>
        </w:rPr>
        <w:t xml:space="preserve">In this short note, we extend our previous </w:t>
      </w:r>
      <w:r w:rsidR="008D1C7E">
        <w:rPr>
          <w:rFonts w:eastAsia="Calibri"/>
        </w:rPr>
        <w:t>study</w:t>
      </w:r>
      <w:r w:rsidRPr="001A1A8F">
        <w:rPr>
          <w:rStyle w:val="FootnoteReference"/>
          <w:rFonts w:eastAsia="Calibri"/>
        </w:rPr>
        <w:footnoteReference w:id="14"/>
      </w:r>
      <w:r w:rsidRPr="001A1A8F">
        <w:rPr>
          <w:rFonts w:eastAsia="Calibri"/>
        </w:rPr>
        <w:t xml:space="preserve"> of the </w:t>
      </w:r>
      <w:r>
        <w:rPr>
          <w:rFonts w:eastAsia="Calibri"/>
        </w:rPr>
        <w:t xml:space="preserve">EPL </w:t>
      </w:r>
      <w:r w:rsidRPr="001A1A8F">
        <w:rPr>
          <w:rFonts w:eastAsia="Calibri"/>
        </w:rPr>
        <w:t xml:space="preserve">impact on UKCS investment to </w:t>
      </w:r>
      <w:proofErr w:type="spellStart"/>
      <w:r w:rsidR="008D1C7E">
        <w:rPr>
          <w:rFonts w:eastAsia="Calibri"/>
        </w:rPr>
        <w:t>to</w:t>
      </w:r>
      <w:proofErr w:type="spellEnd"/>
      <w:r w:rsidR="008D1C7E">
        <w:rPr>
          <w:rFonts w:eastAsia="Calibri"/>
        </w:rPr>
        <w:t xml:space="preserve"> analyse the effect of the </w:t>
      </w:r>
      <w:proofErr w:type="gramStart"/>
      <w:r w:rsidR="008D1C7E">
        <w:rPr>
          <w:rFonts w:eastAsia="Calibri"/>
        </w:rPr>
        <w:t>one year</w:t>
      </w:r>
      <w:proofErr w:type="gramEnd"/>
      <w:r w:rsidR="008D1C7E">
        <w:rPr>
          <w:rFonts w:eastAsia="Calibri"/>
        </w:rPr>
        <w:t xml:space="preserve"> extension to the Levy and what the </w:t>
      </w:r>
      <w:r w:rsidR="00142E0F">
        <w:rPr>
          <w:rFonts w:eastAsia="Calibri"/>
        </w:rPr>
        <w:t>potential impact would be</w:t>
      </w:r>
      <w:r w:rsidR="005676EB">
        <w:rPr>
          <w:rFonts w:eastAsia="Calibri"/>
        </w:rPr>
        <w:t xml:space="preserve"> if changes like the ones propose by the Labour party were to occur. </w:t>
      </w:r>
    </w:p>
    <w:p w14:paraId="6ED9559B" w14:textId="77777777" w:rsidR="001A1A8F" w:rsidRPr="001A1A8F" w:rsidRDefault="001A1A8F" w:rsidP="001A1A8F">
      <w:pPr>
        <w:spacing w:before="120" w:after="120" w:line="360" w:lineRule="auto"/>
        <w:ind w:firstLine="720"/>
        <w:jc w:val="both"/>
        <w:rPr>
          <w:rFonts w:eastAsia="Calibri"/>
        </w:rPr>
      </w:pPr>
    </w:p>
    <w:p w14:paraId="3EDF2523" w14:textId="7763380C" w:rsidR="00E51118" w:rsidRPr="00F127F6" w:rsidRDefault="001A1A8F" w:rsidP="00F127F6">
      <w:pPr>
        <w:spacing w:before="120" w:after="120" w:line="360" w:lineRule="auto"/>
        <w:ind w:firstLine="720"/>
        <w:jc w:val="both"/>
        <w:rPr>
          <w:rFonts w:eastAsia="Calibri"/>
        </w:rPr>
      </w:pPr>
      <w:r w:rsidRPr="001A1A8F">
        <w:rPr>
          <w:rFonts w:eastAsia="Calibri"/>
        </w:rPr>
        <w:lastRenderedPageBreak/>
        <w:t xml:space="preserve">We achieve this by developing a simplified economic model of three oil fields designed to be representative of recent UKCS assets. Our contribution to the ongoing debate involves examining </w:t>
      </w:r>
      <w:r w:rsidR="005676EB">
        <w:rPr>
          <w:rFonts w:eastAsia="Calibri"/>
        </w:rPr>
        <w:t xml:space="preserve">if delaying investment and field start-up </w:t>
      </w:r>
      <w:r w:rsidRPr="001A1A8F">
        <w:rPr>
          <w:rFonts w:eastAsia="Calibri"/>
        </w:rPr>
        <w:t xml:space="preserve">could improve or worsen project economics. </w:t>
      </w:r>
      <w:r w:rsidR="00944D82">
        <w:rPr>
          <w:rFonts w:eastAsia="Calibri"/>
        </w:rPr>
        <w:t>In addition, w</w:t>
      </w:r>
      <w:r w:rsidRPr="001A1A8F">
        <w:rPr>
          <w:rFonts w:eastAsia="Calibri"/>
        </w:rPr>
        <w:t>e evaluate the changes in post-tax Net Present Value (NPV) and tax paid</w:t>
      </w:r>
      <w:r w:rsidR="00944D82">
        <w:rPr>
          <w:rFonts w:eastAsia="Calibri"/>
        </w:rPr>
        <w:t xml:space="preserve">. </w:t>
      </w:r>
      <w:r w:rsidRPr="001A1A8F">
        <w:rPr>
          <w:rFonts w:eastAsia="Calibri"/>
        </w:rPr>
        <w:t xml:space="preserve">We begin by outlining the core assumptions of the </w:t>
      </w:r>
      <w:proofErr w:type="spellStart"/>
      <w:r w:rsidRPr="001A1A8F">
        <w:rPr>
          <w:rFonts w:eastAsia="Calibri"/>
        </w:rPr>
        <w:t>modeling</w:t>
      </w:r>
      <w:proofErr w:type="spellEnd"/>
      <w:r w:rsidRPr="001A1A8F">
        <w:rPr>
          <w:rFonts w:eastAsia="Calibri"/>
        </w:rPr>
        <w:t xml:space="preserve"> procedure. We then compare the results by testing the economics of fields under different startup assumptions. Subsequently, we assess </w:t>
      </w:r>
      <w:r w:rsidR="00F127F6">
        <w:rPr>
          <w:rFonts w:eastAsia="Calibri"/>
        </w:rPr>
        <w:t xml:space="preserve">the economics under different tax arrangements. </w:t>
      </w:r>
      <w:r w:rsidRPr="001A1A8F">
        <w:rPr>
          <w:rFonts w:eastAsia="Calibri"/>
        </w:rPr>
        <w:t>Finally, we provide concluding remarks and observations.</w:t>
      </w:r>
    </w:p>
    <w:p w14:paraId="1D1CC6AC" w14:textId="77777777" w:rsidR="00744B66" w:rsidRPr="00744B66" w:rsidRDefault="00744B66" w:rsidP="00DD22BB">
      <w:pPr>
        <w:pStyle w:val="Heading1"/>
      </w:pPr>
      <w:bookmarkStart w:id="5" w:name="_Toc167823396"/>
      <w:r w:rsidRPr="00744B66">
        <w:t>Section 2. Data and Methodology</w:t>
      </w:r>
      <w:bookmarkEnd w:id="5"/>
    </w:p>
    <w:p w14:paraId="73FE869A" w14:textId="53696720" w:rsidR="00744B66" w:rsidRPr="00744B66" w:rsidRDefault="00744B66" w:rsidP="00E51118">
      <w:pPr>
        <w:spacing w:before="120" w:after="120" w:line="360" w:lineRule="auto"/>
        <w:ind w:firstLine="720"/>
        <w:jc w:val="both"/>
        <w:rPr>
          <w:rFonts w:eastAsia="Calibri"/>
          <w:sz w:val="28"/>
          <w:szCs w:val="28"/>
        </w:rPr>
      </w:pPr>
      <w:r w:rsidRPr="00E51118">
        <w:rPr>
          <w:rFonts w:eastAsia="Calibri"/>
        </w:rPr>
        <w:t>Our assessment is underpinned by a Discounted Cash Flow (DCF) model for three oil fields designed to be representative of UKCS assets of recent vintage.</w:t>
      </w:r>
      <w:r w:rsidR="00E51118" w:rsidRPr="00E51118">
        <w:rPr>
          <w:rFonts w:eastAsia="Calibri"/>
        </w:rPr>
        <w:t xml:space="preserve"> </w:t>
      </w:r>
      <w:r w:rsidRPr="00E51118">
        <w:rPr>
          <w:rFonts w:eastAsia="Calibri"/>
        </w:rPr>
        <w:t>Table 2 show the cost and size assumptions used for each field based on different reports by the North Sea Transition Authority. Production profiles for the three oil fields were designed to exhibit the typical behaviour of UKCS assets. During the initial years production increases until it hits a plateau and then decline begins. Smaller fields show faster decline rates while larger fields will have slower decline rates.</w:t>
      </w:r>
    </w:p>
    <w:p w14:paraId="485DF861" w14:textId="42E7B0EB" w:rsidR="00744B66" w:rsidRPr="00744B66" w:rsidRDefault="00744B66" w:rsidP="00D6295E">
      <w:pPr>
        <w:pStyle w:val="Caption"/>
      </w:pPr>
      <w:r w:rsidRPr="00744B66">
        <w:t xml:space="preserve">Table </w:t>
      </w:r>
      <w:r w:rsidR="000E4DBE">
        <w:t>1</w:t>
      </w:r>
      <w:r w:rsidRPr="00744B66">
        <w:t>. Cost assumptions for model fields</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5"/>
        <w:gridCol w:w="1847"/>
        <w:gridCol w:w="1252"/>
        <w:gridCol w:w="1497"/>
        <w:gridCol w:w="1265"/>
      </w:tblGrid>
      <w:tr w:rsidR="00744B66" w:rsidRPr="00744B66" w14:paraId="5EC7999A" w14:textId="77777777" w:rsidTr="00112D78">
        <w:trPr>
          <w:jc w:val="center"/>
        </w:trPr>
        <w:tc>
          <w:tcPr>
            <w:tcW w:w="0" w:type="auto"/>
            <w:tcBorders>
              <w:top w:val="single" w:sz="4" w:space="0" w:color="auto"/>
              <w:bottom w:val="single" w:sz="4" w:space="0" w:color="auto"/>
            </w:tcBorders>
            <w:vAlign w:val="center"/>
          </w:tcPr>
          <w:p w14:paraId="580E7635" w14:textId="77777777" w:rsidR="00744B66" w:rsidRPr="00744B66" w:rsidRDefault="00744B66" w:rsidP="00744B66">
            <w:pPr>
              <w:spacing w:line="360" w:lineRule="auto"/>
              <w:jc w:val="center"/>
              <w:rPr>
                <w:rFonts w:ascii="Arial" w:hAnsi="Arial"/>
                <w:b/>
                <w:bCs/>
                <w:sz w:val="22"/>
                <w:szCs w:val="22"/>
              </w:rPr>
            </w:pPr>
            <w:r w:rsidRPr="00744B66">
              <w:rPr>
                <w:rFonts w:ascii="Arial" w:hAnsi="Arial"/>
                <w:sz w:val="22"/>
                <w:szCs w:val="22"/>
              </w:rPr>
              <w:t xml:space="preserve"> </w:t>
            </w:r>
            <w:r w:rsidRPr="00744B66">
              <w:rPr>
                <w:rFonts w:ascii="Arial" w:hAnsi="Arial"/>
                <w:b/>
                <w:bCs/>
                <w:sz w:val="22"/>
                <w:szCs w:val="22"/>
              </w:rPr>
              <w:t>Variable</w:t>
            </w:r>
          </w:p>
        </w:tc>
        <w:tc>
          <w:tcPr>
            <w:tcW w:w="0" w:type="auto"/>
            <w:tcBorders>
              <w:top w:val="single" w:sz="4" w:space="0" w:color="auto"/>
              <w:bottom w:val="single" w:sz="4" w:space="0" w:color="auto"/>
            </w:tcBorders>
            <w:vAlign w:val="center"/>
          </w:tcPr>
          <w:p w14:paraId="3DD9A858"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Units</w:t>
            </w:r>
          </w:p>
        </w:tc>
        <w:tc>
          <w:tcPr>
            <w:tcW w:w="0" w:type="auto"/>
            <w:tcBorders>
              <w:top w:val="single" w:sz="4" w:space="0" w:color="auto"/>
              <w:bottom w:val="single" w:sz="4" w:space="0" w:color="auto"/>
            </w:tcBorders>
            <w:vAlign w:val="center"/>
          </w:tcPr>
          <w:p w14:paraId="621C10AF"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Field 1 - Small</w:t>
            </w:r>
          </w:p>
        </w:tc>
        <w:tc>
          <w:tcPr>
            <w:tcW w:w="0" w:type="auto"/>
            <w:tcBorders>
              <w:top w:val="single" w:sz="4" w:space="0" w:color="auto"/>
              <w:bottom w:val="single" w:sz="4" w:space="0" w:color="auto"/>
            </w:tcBorders>
            <w:vAlign w:val="center"/>
          </w:tcPr>
          <w:p w14:paraId="69B8E5CF"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Field 2 - Medium</w:t>
            </w:r>
          </w:p>
        </w:tc>
        <w:tc>
          <w:tcPr>
            <w:tcW w:w="0" w:type="auto"/>
            <w:tcBorders>
              <w:top w:val="single" w:sz="4" w:space="0" w:color="auto"/>
              <w:bottom w:val="single" w:sz="4" w:space="0" w:color="auto"/>
            </w:tcBorders>
            <w:vAlign w:val="center"/>
          </w:tcPr>
          <w:p w14:paraId="7555270A"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Field 3 - Large</w:t>
            </w:r>
          </w:p>
        </w:tc>
      </w:tr>
      <w:tr w:rsidR="00744B66" w:rsidRPr="00744B66" w14:paraId="2515F645" w14:textId="77777777" w:rsidTr="00744B66">
        <w:trPr>
          <w:jc w:val="center"/>
        </w:trPr>
        <w:tc>
          <w:tcPr>
            <w:tcW w:w="0" w:type="auto"/>
            <w:tcBorders>
              <w:top w:val="single" w:sz="4" w:space="0" w:color="auto"/>
            </w:tcBorders>
            <w:shd w:val="clear" w:color="auto" w:fill="F2F2F2"/>
            <w:vAlign w:val="center"/>
          </w:tcPr>
          <w:p w14:paraId="2A5C833C" w14:textId="77777777" w:rsidR="00744B66" w:rsidRPr="00744B66" w:rsidRDefault="00744B66" w:rsidP="00744B66">
            <w:pPr>
              <w:spacing w:line="360" w:lineRule="auto"/>
              <w:rPr>
                <w:rFonts w:ascii="Arial" w:hAnsi="Arial"/>
                <w:sz w:val="22"/>
                <w:szCs w:val="22"/>
              </w:rPr>
            </w:pPr>
            <w:r w:rsidRPr="00744B66">
              <w:rPr>
                <w:rFonts w:ascii="Arial" w:hAnsi="Arial"/>
                <w:sz w:val="22"/>
                <w:szCs w:val="22"/>
              </w:rPr>
              <w:t>Recoverable reserves</w:t>
            </w:r>
          </w:p>
        </w:tc>
        <w:tc>
          <w:tcPr>
            <w:tcW w:w="0" w:type="auto"/>
            <w:tcBorders>
              <w:top w:val="single" w:sz="4" w:space="0" w:color="auto"/>
            </w:tcBorders>
            <w:shd w:val="clear" w:color="auto" w:fill="F2F2F2"/>
            <w:vAlign w:val="center"/>
          </w:tcPr>
          <w:p w14:paraId="3A2369EB" w14:textId="77777777" w:rsidR="00744B66" w:rsidRPr="00744B66" w:rsidRDefault="00744B66" w:rsidP="00744B66">
            <w:pPr>
              <w:spacing w:line="360" w:lineRule="auto"/>
              <w:rPr>
                <w:rFonts w:ascii="Arial" w:hAnsi="Arial"/>
                <w:sz w:val="22"/>
                <w:szCs w:val="22"/>
              </w:rPr>
            </w:pPr>
            <w:r w:rsidRPr="00744B66">
              <w:rPr>
                <w:rFonts w:ascii="Arial" w:hAnsi="Arial"/>
                <w:sz w:val="22"/>
                <w:szCs w:val="22"/>
              </w:rPr>
              <w:t>Million barrels (</w:t>
            </w:r>
            <w:proofErr w:type="spellStart"/>
            <w:r w:rsidRPr="00744B66">
              <w:rPr>
                <w:rFonts w:ascii="Arial" w:hAnsi="Arial"/>
                <w:sz w:val="22"/>
                <w:szCs w:val="22"/>
              </w:rPr>
              <w:t>MMbbls</w:t>
            </w:r>
            <w:proofErr w:type="spellEnd"/>
            <w:r w:rsidRPr="00744B66">
              <w:rPr>
                <w:rFonts w:ascii="Arial" w:hAnsi="Arial"/>
                <w:sz w:val="22"/>
                <w:szCs w:val="22"/>
              </w:rPr>
              <w:t>)</w:t>
            </w:r>
          </w:p>
        </w:tc>
        <w:tc>
          <w:tcPr>
            <w:tcW w:w="0" w:type="auto"/>
            <w:tcBorders>
              <w:top w:val="single" w:sz="4" w:space="0" w:color="auto"/>
            </w:tcBorders>
            <w:shd w:val="clear" w:color="auto" w:fill="F2F2F2"/>
            <w:vAlign w:val="center"/>
          </w:tcPr>
          <w:p w14:paraId="7BA31D08"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10</w:t>
            </w:r>
          </w:p>
        </w:tc>
        <w:tc>
          <w:tcPr>
            <w:tcW w:w="0" w:type="auto"/>
            <w:tcBorders>
              <w:top w:val="single" w:sz="4" w:space="0" w:color="auto"/>
            </w:tcBorders>
            <w:shd w:val="clear" w:color="auto" w:fill="F2F2F2"/>
            <w:vAlign w:val="center"/>
          </w:tcPr>
          <w:p w14:paraId="3B9DB2BE"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50</w:t>
            </w:r>
          </w:p>
        </w:tc>
        <w:tc>
          <w:tcPr>
            <w:tcW w:w="0" w:type="auto"/>
            <w:tcBorders>
              <w:top w:val="single" w:sz="4" w:space="0" w:color="auto"/>
            </w:tcBorders>
            <w:shd w:val="clear" w:color="auto" w:fill="F2F2F2"/>
            <w:vAlign w:val="center"/>
          </w:tcPr>
          <w:p w14:paraId="2BDF0029"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100</w:t>
            </w:r>
          </w:p>
        </w:tc>
      </w:tr>
      <w:tr w:rsidR="00744B66" w:rsidRPr="00744B66" w14:paraId="7D74D726" w14:textId="77777777" w:rsidTr="00112D78">
        <w:trPr>
          <w:jc w:val="center"/>
        </w:trPr>
        <w:tc>
          <w:tcPr>
            <w:tcW w:w="0" w:type="auto"/>
            <w:vAlign w:val="center"/>
          </w:tcPr>
          <w:p w14:paraId="56957295" w14:textId="77777777" w:rsidR="00744B66" w:rsidRPr="00744B66" w:rsidRDefault="00744B66" w:rsidP="00744B66">
            <w:pPr>
              <w:spacing w:line="360" w:lineRule="auto"/>
              <w:rPr>
                <w:rFonts w:ascii="Arial" w:hAnsi="Arial"/>
                <w:sz w:val="22"/>
                <w:szCs w:val="22"/>
              </w:rPr>
            </w:pPr>
            <w:r w:rsidRPr="00744B66">
              <w:rPr>
                <w:rFonts w:ascii="Arial" w:hAnsi="Arial"/>
                <w:sz w:val="22"/>
                <w:szCs w:val="22"/>
              </w:rPr>
              <w:t>Development costs (DEVEX)</w:t>
            </w:r>
          </w:p>
        </w:tc>
        <w:tc>
          <w:tcPr>
            <w:tcW w:w="0" w:type="auto"/>
            <w:vAlign w:val="center"/>
          </w:tcPr>
          <w:p w14:paraId="3E599CD7" w14:textId="77777777" w:rsidR="00744B66" w:rsidRPr="00744B66" w:rsidRDefault="00744B66" w:rsidP="00744B66">
            <w:pPr>
              <w:spacing w:line="360" w:lineRule="auto"/>
              <w:rPr>
                <w:rFonts w:ascii="Arial" w:hAnsi="Arial"/>
                <w:sz w:val="22"/>
                <w:szCs w:val="22"/>
              </w:rPr>
            </w:pPr>
            <w:r w:rsidRPr="00744B66">
              <w:rPr>
                <w:rFonts w:ascii="Arial" w:hAnsi="Arial"/>
                <w:sz w:val="22"/>
                <w:szCs w:val="22"/>
              </w:rPr>
              <w:t>USD/</w:t>
            </w:r>
            <w:proofErr w:type="spellStart"/>
            <w:r w:rsidRPr="00744B66">
              <w:rPr>
                <w:rFonts w:ascii="Arial" w:hAnsi="Arial"/>
                <w:sz w:val="22"/>
                <w:szCs w:val="22"/>
              </w:rPr>
              <w:t>bbl</w:t>
            </w:r>
            <w:proofErr w:type="spellEnd"/>
          </w:p>
        </w:tc>
        <w:tc>
          <w:tcPr>
            <w:tcW w:w="0" w:type="auto"/>
            <w:vAlign w:val="center"/>
          </w:tcPr>
          <w:p w14:paraId="0EE2AE5D"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19</w:t>
            </w:r>
          </w:p>
        </w:tc>
        <w:tc>
          <w:tcPr>
            <w:tcW w:w="0" w:type="auto"/>
            <w:vAlign w:val="center"/>
          </w:tcPr>
          <w:p w14:paraId="2947D97D"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13</w:t>
            </w:r>
          </w:p>
        </w:tc>
        <w:tc>
          <w:tcPr>
            <w:tcW w:w="0" w:type="auto"/>
            <w:vAlign w:val="center"/>
          </w:tcPr>
          <w:p w14:paraId="446F50A0"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10</w:t>
            </w:r>
          </w:p>
        </w:tc>
      </w:tr>
      <w:tr w:rsidR="00744B66" w:rsidRPr="00744B66" w14:paraId="788D7852" w14:textId="77777777" w:rsidTr="00112D78">
        <w:trPr>
          <w:jc w:val="center"/>
        </w:trPr>
        <w:tc>
          <w:tcPr>
            <w:tcW w:w="0" w:type="auto"/>
            <w:vAlign w:val="center"/>
          </w:tcPr>
          <w:p w14:paraId="066EC285" w14:textId="77777777" w:rsidR="00744B66" w:rsidRPr="00744B66" w:rsidRDefault="00744B66" w:rsidP="00744B66">
            <w:pPr>
              <w:spacing w:line="360" w:lineRule="auto"/>
              <w:rPr>
                <w:rFonts w:ascii="Arial" w:hAnsi="Arial"/>
                <w:sz w:val="22"/>
                <w:szCs w:val="22"/>
              </w:rPr>
            </w:pPr>
            <w:r w:rsidRPr="00744B66">
              <w:rPr>
                <w:rFonts w:ascii="Arial" w:hAnsi="Arial"/>
                <w:sz w:val="22"/>
                <w:szCs w:val="22"/>
              </w:rPr>
              <w:t>Annual Operating costs (OPEX)</w:t>
            </w:r>
          </w:p>
        </w:tc>
        <w:tc>
          <w:tcPr>
            <w:tcW w:w="0" w:type="auto"/>
            <w:vAlign w:val="center"/>
          </w:tcPr>
          <w:p w14:paraId="62292994" w14:textId="77777777" w:rsidR="00744B66" w:rsidRPr="00744B66" w:rsidRDefault="00744B66" w:rsidP="00744B66">
            <w:pPr>
              <w:spacing w:line="360" w:lineRule="auto"/>
              <w:rPr>
                <w:rFonts w:ascii="Arial" w:hAnsi="Arial"/>
                <w:sz w:val="22"/>
                <w:szCs w:val="22"/>
              </w:rPr>
            </w:pPr>
            <w:r w:rsidRPr="00744B66">
              <w:rPr>
                <w:rFonts w:ascii="Arial" w:hAnsi="Arial"/>
                <w:sz w:val="22"/>
                <w:szCs w:val="22"/>
              </w:rPr>
              <w:t>% of DEVEX</w:t>
            </w:r>
          </w:p>
        </w:tc>
        <w:tc>
          <w:tcPr>
            <w:tcW w:w="0" w:type="auto"/>
            <w:vAlign w:val="center"/>
          </w:tcPr>
          <w:p w14:paraId="602CF49F"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8.75</w:t>
            </w:r>
          </w:p>
        </w:tc>
        <w:tc>
          <w:tcPr>
            <w:tcW w:w="0" w:type="auto"/>
            <w:vAlign w:val="center"/>
          </w:tcPr>
          <w:p w14:paraId="37B15A25"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7.75</w:t>
            </w:r>
          </w:p>
        </w:tc>
        <w:tc>
          <w:tcPr>
            <w:tcW w:w="0" w:type="auto"/>
            <w:vAlign w:val="center"/>
          </w:tcPr>
          <w:p w14:paraId="29DC03E0"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7.25</w:t>
            </w:r>
          </w:p>
        </w:tc>
      </w:tr>
      <w:tr w:rsidR="00744B66" w:rsidRPr="00744B66" w14:paraId="7C95E9E9" w14:textId="77777777" w:rsidTr="00744B66">
        <w:trPr>
          <w:jc w:val="center"/>
        </w:trPr>
        <w:tc>
          <w:tcPr>
            <w:tcW w:w="0" w:type="auto"/>
            <w:shd w:val="clear" w:color="auto" w:fill="F2F2F2"/>
            <w:vAlign w:val="center"/>
          </w:tcPr>
          <w:p w14:paraId="664DDAB9" w14:textId="77777777" w:rsidR="00744B66" w:rsidRPr="00744B66" w:rsidRDefault="00744B66" w:rsidP="00744B66">
            <w:pPr>
              <w:spacing w:line="360" w:lineRule="auto"/>
              <w:rPr>
                <w:rFonts w:ascii="Arial" w:hAnsi="Arial"/>
                <w:sz w:val="22"/>
                <w:szCs w:val="22"/>
              </w:rPr>
            </w:pPr>
            <w:r w:rsidRPr="00744B66">
              <w:rPr>
                <w:rFonts w:ascii="Arial" w:hAnsi="Arial"/>
                <w:sz w:val="22"/>
                <w:szCs w:val="22"/>
              </w:rPr>
              <w:t>Decommissioning costs (DECOMX)</w:t>
            </w:r>
          </w:p>
        </w:tc>
        <w:tc>
          <w:tcPr>
            <w:tcW w:w="0" w:type="auto"/>
            <w:shd w:val="clear" w:color="auto" w:fill="F2F2F2"/>
            <w:vAlign w:val="center"/>
          </w:tcPr>
          <w:p w14:paraId="53CCCBA4" w14:textId="77777777" w:rsidR="00744B66" w:rsidRPr="00744B66" w:rsidRDefault="00744B66" w:rsidP="00744B66">
            <w:pPr>
              <w:spacing w:line="360" w:lineRule="auto"/>
              <w:rPr>
                <w:rFonts w:ascii="Arial" w:hAnsi="Arial"/>
                <w:sz w:val="22"/>
                <w:szCs w:val="22"/>
              </w:rPr>
            </w:pPr>
            <w:r w:rsidRPr="00744B66">
              <w:rPr>
                <w:rFonts w:ascii="Arial" w:hAnsi="Arial"/>
                <w:sz w:val="22"/>
                <w:szCs w:val="22"/>
              </w:rPr>
              <w:t>% of DEVEX</w:t>
            </w:r>
          </w:p>
        </w:tc>
        <w:tc>
          <w:tcPr>
            <w:tcW w:w="0" w:type="auto"/>
            <w:shd w:val="clear" w:color="auto" w:fill="F2F2F2"/>
            <w:vAlign w:val="center"/>
          </w:tcPr>
          <w:p w14:paraId="72AD23A6"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10</w:t>
            </w:r>
          </w:p>
        </w:tc>
        <w:tc>
          <w:tcPr>
            <w:tcW w:w="0" w:type="auto"/>
            <w:shd w:val="clear" w:color="auto" w:fill="F2F2F2"/>
            <w:vAlign w:val="center"/>
          </w:tcPr>
          <w:p w14:paraId="773D85AC"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10</w:t>
            </w:r>
          </w:p>
        </w:tc>
        <w:tc>
          <w:tcPr>
            <w:tcW w:w="0" w:type="auto"/>
            <w:shd w:val="clear" w:color="auto" w:fill="F2F2F2"/>
            <w:vAlign w:val="center"/>
          </w:tcPr>
          <w:p w14:paraId="0E3E06C2"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10</w:t>
            </w:r>
          </w:p>
        </w:tc>
      </w:tr>
      <w:tr w:rsidR="00744B66" w:rsidRPr="00744B66" w14:paraId="4A225A28" w14:textId="77777777" w:rsidTr="00112D78">
        <w:trPr>
          <w:jc w:val="center"/>
        </w:trPr>
        <w:tc>
          <w:tcPr>
            <w:tcW w:w="0" w:type="auto"/>
            <w:tcBorders>
              <w:bottom w:val="single" w:sz="4" w:space="0" w:color="auto"/>
            </w:tcBorders>
            <w:vAlign w:val="center"/>
          </w:tcPr>
          <w:p w14:paraId="1E3B7AA5" w14:textId="77777777" w:rsidR="00744B66" w:rsidRPr="00744B66" w:rsidRDefault="00744B66" w:rsidP="00744B66">
            <w:pPr>
              <w:spacing w:line="360" w:lineRule="auto"/>
              <w:rPr>
                <w:rFonts w:ascii="Arial" w:hAnsi="Arial"/>
                <w:sz w:val="22"/>
                <w:szCs w:val="22"/>
              </w:rPr>
            </w:pPr>
            <w:r w:rsidRPr="00744B66">
              <w:rPr>
                <w:rFonts w:ascii="Arial" w:hAnsi="Arial"/>
                <w:sz w:val="22"/>
                <w:szCs w:val="22"/>
              </w:rPr>
              <w:t>No. of years to complete decommissioning</w:t>
            </w:r>
          </w:p>
        </w:tc>
        <w:tc>
          <w:tcPr>
            <w:tcW w:w="0" w:type="auto"/>
            <w:tcBorders>
              <w:bottom w:val="single" w:sz="4" w:space="0" w:color="auto"/>
            </w:tcBorders>
            <w:vAlign w:val="center"/>
          </w:tcPr>
          <w:p w14:paraId="6ADCCE1A" w14:textId="77777777" w:rsidR="00744B66" w:rsidRPr="00744B66" w:rsidRDefault="00744B66" w:rsidP="00744B66">
            <w:pPr>
              <w:spacing w:line="360" w:lineRule="auto"/>
              <w:rPr>
                <w:rFonts w:ascii="Arial" w:hAnsi="Arial"/>
                <w:sz w:val="22"/>
                <w:szCs w:val="22"/>
              </w:rPr>
            </w:pPr>
            <w:r w:rsidRPr="00744B66">
              <w:rPr>
                <w:rFonts w:ascii="Arial" w:hAnsi="Arial"/>
                <w:sz w:val="22"/>
                <w:szCs w:val="22"/>
              </w:rPr>
              <w:t>Years</w:t>
            </w:r>
          </w:p>
        </w:tc>
        <w:tc>
          <w:tcPr>
            <w:tcW w:w="0" w:type="auto"/>
            <w:tcBorders>
              <w:bottom w:val="single" w:sz="4" w:space="0" w:color="auto"/>
            </w:tcBorders>
            <w:vAlign w:val="center"/>
          </w:tcPr>
          <w:p w14:paraId="33DBA432"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1</w:t>
            </w:r>
          </w:p>
        </w:tc>
        <w:tc>
          <w:tcPr>
            <w:tcW w:w="0" w:type="auto"/>
            <w:tcBorders>
              <w:bottom w:val="single" w:sz="4" w:space="0" w:color="auto"/>
            </w:tcBorders>
            <w:vAlign w:val="center"/>
          </w:tcPr>
          <w:p w14:paraId="0C36E99C"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1</w:t>
            </w:r>
          </w:p>
        </w:tc>
        <w:tc>
          <w:tcPr>
            <w:tcW w:w="0" w:type="auto"/>
            <w:tcBorders>
              <w:bottom w:val="single" w:sz="4" w:space="0" w:color="auto"/>
            </w:tcBorders>
            <w:vAlign w:val="center"/>
          </w:tcPr>
          <w:p w14:paraId="31ACB82D"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3</w:t>
            </w:r>
          </w:p>
        </w:tc>
      </w:tr>
    </w:tbl>
    <w:p w14:paraId="1E547319" w14:textId="77777777" w:rsidR="009E5A49" w:rsidRDefault="009E5A49" w:rsidP="00BC2E0F">
      <w:pPr>
        <w:spacing w:before="120" w:after="120" w:line="360" w:lineRule="auto"/>
        <w:jc w:val="both"/>
        <w:rPr>
          <w:rFonts w:eastAsia="Calibri"/>
          <w:sz w:val="28"/>
          <w:szCs w:val="28"/>
        </w:rPr>
      </w:pPr>
    </w:p>
    <w:p w14:paraId="5C9E6ED7" w14:textId="69B5D780" w:rsidR="00BC2E0F" w:rsidRDefault="00744B66" w:rsidP="00427E07">
      <w:pPr>
        <w:spacing w:before="120" w:after="120" w:line="360" w:lineRule="auto"/>
        <w:ind w:firstLine="709"/>
        <w:jc w:val="both"/>
        <w:rPr>
          <w:rFonts w:eastAsia="Calibri"/>
          <w:sz w:val="28"/>
          <w:szCs w:val="28"/>
        </w:rPr>
      </w:pPr>
      <w:r w:rsidRPr="00E51118">
        <w:rPr>
          <w:rFonts w:eastAsia="Calibri"/>
        </w:rPr>
        <w:t xml:space="preserve">The model incorporates the UK oil and gas permanent tax regime and </w:t>
      </w:r>
      <w:r w:rsidR="000E4DBE" w:rsidRPr="00E51118">
        <w:rPr>
          <w:rFonts w:eastAsia="Calibri"/>
        </w:rPr>
        <w:t xml:space="preserve">the variations under the different EPL arrangements. Table 2 </w:t>
      </w:r>
      <w:r w:rsidR="00B2324E" w:rsidRPr="00E51118">
        <w:rPr>
          <w:rFonts w:eastAsia="Calibri"/>
        </w:rPr>
        <w:t>presents the main elements of the tax regime</w:t>
      </w:r>
      <w:r w:rsidR="00C238A4">
        <w:rPr>
          <w:rFonts w:eastAsia="Calibri"/>
        </w:rPr>
        <w:t>s under consideration</w:t>
      </w:r>
      <w:r w:rsidRPr="00E51118">
        <w:rPr>
          <w:rFonts w:eastAsia="Calibri"/>
        </w:rPr>
        <w:t xml:space="preserve">. There are two main elements to the permanent regime: </w:t>
      </w:r>
      <w:r w:rsidR="00B2324E" w:rsidRPr="00E51118">
        <w:rPr>
          <w:rFonts w:eastAsia="Calibri"/>
        </w:rPr>
        <w:t xml:space="preserve">the </w:t>
      </w:r>
      <w:r w:rsidRPr="00E51118">
        <w:rPr>
          <w:rFonts w:eastAsia="Calibri"/>
        </w:rPr>
        <w:t xml:space="preserve">Ring Fence </w:t>
      </w:r>
      <w:r w:rsidRPr="00E51118">
        <w:rPr>
          <w:rFonts w:eastAsia="Calibri"/>
        </w:rPr>
        <w:lastRenderedPageBreak/>
        <w:t>Corporation Tax</w:t>
      </w:r>
      <w:r w:rsidR="00B2324E" w:rsidRPr="00E51118">
        <w:rPr>
          <w:rFonts w:eastAsia="Calibri"/>
        </w:rPr>
        <w:t xml:space="preserve"> (CT)</w:t>
      </w:r>
      <w:r w:rsidRPr="00E51118">
        <w:rPr>
          <w:rFonts w:eastAsia="Calibri"/>
        </w:rPr>
        <w:t xml:space="preserve"> at a 30% rate and the Supplementary Charge </w:t>
      </w:r>
      <w:r w:rsidR="00B2324E" w:rsidRPr="00E51118">
        <w:rPr>
          <w:rFonts w:eastAsia="Calibri"/>
        </w:rPr>
        <w:t xml:space="preserve">(SC) </w:t>
      </w:r>
      <w:r w:rsidRPr="00E51118">
        <w:rPr>
          <w:rFonts w:eastAsia="Calibri"/>
        </w:rPr>
        <w:t>at a 10% rate. Both have capital allowances on 100% first year basis.</w:t>
      </w:r>
      <w:r w:rsidR="00C238A4">
        <w:rPr>
          <w:rFonts w:eastAsia="Calibri"/>
        </w:rPr>
        <w:t xml:space="preserve"> </w:t>
      </w:r>
      <w:r w:rsidRPr="00E51118">
        <w:rPr>
          <w:rFonts w:eastAsia="Calibri"/>
        </w:rPr>
        <w:t>An additional element for the SC is the Investment Allowance (IA) of 62.5% which further reduces taxable income starting when the related income commences. Regarding decommissioning, the UK Government published in 2013 the Decommissioning Relief Deed (DRD) which is a contract between companies and the UK Government that provides certainty on the tax relief that will be obtained when oil and gas assets are decommissioned. Decommissioning costs are allowed as deductions for RFCT, and SC on 100% first-year basis but are not allowed for EPL. We consider two tax cases: first the case where the operator has existing ring fence income to set against their investment costs and claim immediate relief; second, the case where the operator has no other income available and must use the Ring Fence Expenditure Supplement (RFES)</w:t>
      </w:r>
      <w:r w:rsidRPr="00744B66">
        <w:rPr>
          <w:rFonts w:eastAsia="Calibri"/>
          <w:sz w:val="28"/>
          <w:szCs w:val="28"/>
          <w:vertAlign w:val="superscript"/>
        </w:rPr>
        <w:footnoteReference w:id="15"/>
      </w:r>
      <w:r w:rsidRPr="00744B66">
        <w:rPr>
          <w:rFonts w:eastAsia="Calibri"/>
          <w:sz w:val="28"/>
          <w:szCs w:val="28"/>
        </w:rPr>
        <w:t>.</w:t>
      </w:r>
    </w:p>
    <w:p w14:paraId="0C16D751" w14:textId="77777777" w:rsidR="00427E07" w:rsidRPr="00744B66" w:rsidRDefault="00427E07" w:rsidP="00427E07">
      <w:pPr>
        <w:spacing w:before="120" w:after="120" w:line="360" w:lineRule="auto"/>
        <w:ind w:firstLine="709"/>
        <w:jc w:val="both"/>
        <w:rPr>
          <w:rFonts w:eastAsia="Calibri"/>
          <w:sz w:val="28"/>
          <w:szCs w:val="28"/>
        </w:rPr>
      </w:pPr>
    </w:p>
    <w:p w14:paraId="6CFE3316" w14:textId="76F97B74" w:rsidR="00BC2E0F" w:rsidRPr="00744B66" w:rsidRDefault="00BC2E0F" w:rsidP="00BC2E0F">
      <w:pPr>
        <w:pStyle w:val="Caption"/>
      </w:pPr>
      <w:r w:rsidRPr="00744B66">
        <w:t xml:space="preserve">Table </w:t>
      </w:r>
      <w:r w:rsidR="00427E07">
        <w:t>2</w:t>
      </w:r>
      <w:r w:rsidRPr="00744B66">
        <w:t xml:space="preserve">. </w:t>
      </w:r>
      <w:r w:rsidR="00427E07">
        <w:t xml:space="preserve">Rates </w:t>
      </w:r>
      <w:r w:rsidR="006D67B4">
        <w:t>and elements of the modelled tax regimes</w:t>
      </w:r>
      <w:r w:rsidR="00CD4312">
        <w:t xml:space="preserve"> in %</w:t>
      </w:r>
    </w:p>
    <w:tbl>
      <w:tblPr>
        <w:tblStyle w:val="TableGrid1"/>
        <w:tblW w:w="93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04"/>
        <w:gridCol w:w="709"/>
        <w:gridCol w:w="722"/>
        <w:gridCol w:w="1276"/>
        <w:gridCol w:w="678"/>
        <w:gridCol w:w="1590"/>
        <w:gridCol w:w="1276"/>
        <w:gridCol w:w="1646"/>
      </w:tblGrid>
      <w:tr w:rsidR="001B763B" w:rsidRPr="00744B66" w14:paraId="26A31342" w14:textId="77777777" w:rsidTr="001B763B">
        <w:tc>
          <w:tcPr>
            <w:tcW w:w="1404" w:type="dxa"/>
            <w:tcBorders>
              <w:top w:val="single" w:sz="4" w:space="0" w:color="auto"/>
              <w:bottom w:val="single" w:sz="4" w:space="0" w:color="auto"/>
            </w:tcBorders>
          </w:tcPr>
          <w:p w14:paraId="6EFACC86" w14:textId="77777777" w:rsidR="008C5F78" w:rsidRPr="00744B66" w:rsidRDefault="008C5F78" w:rsidP="009276EE">
            <w:pPr>
              <w:spacing w:before="120" w:after="120" w:line="360" w:lineRule="auto"/>
              <w:jc w:val="both"/>
              <w:rPr>
                <w:rFonts w:ascii="Arial" w:hAnsi="Arial"/>
                <w:b/>
                <w:bCs/>
                <w:sz w:val="22"/>
                <w:szCs w:val="22"/>
              </w:rPr>
            </w:pPr>
          </w:p>
        </w:tc>
        <w:tc>
          <w:tcPr>
            <w:tcW w:w="709" w:type="dxa"/>
            <w:tcBorders>
              <w:top w:val="single" w:sz="4" w:space="0" w:color="auto"/>
              <w:bottom w:val="single" w:sz="4" w:space="0" w:color="auto"/>
            </w:tcBorders>
            <w:vAlign w:val="center"/>
          </w:tcPr>
          <w:p w14:paraId="26852259" w14:textId="77777777" w:rsidR="008C5F78" w:rsidRPr="00744B66" w:rsidRDefault="008C5F78" w:rsidP="009276EE">
            <w:pPr>
              <w:spacing w:before="120" w:after="120" w:line="360" w:lineRule="auto"/>
              <w:jc w:val="center"/>
              <w:rPr>
                <w:rFonts w:ascii="Arial" w:hAnsi="Arial"/>
                <w:b/>
                <w:bCs/>
                <w:sz w:val="22"/>
                <w:szCs w:val="22"/>
              </w:rPr>
            </w:pPr>
            <w:r w:rsidRPr="00744B66">
              <w:rPr>
                <w:rFonts w:ascii="Arial" w:hAnsi="Arial"/>
                <w:b/>
                <w:bCs/>
                <w:sz w:val="22"/>
                <w:szCs w:val="22"/>
              </w:rPr>
              <w:t>CT</w:t>
            </w:r>
          </w:p>
        </w:tc>
        <w:tc>
          <w:tcPr>
            <w:tcW w:w="722" w:type="dxa"/>
            <w:tcBorders>
              <w:top w:val="single" w:sz="4" w:space="0" w:color="auto"/>
              <w:bottom w:val="single" w:sz="4" w:space="0" w:color="auto"/>
            </w:tcBorders>
            <w:vAlign w:val="center"/>
          </w:tcPr>
          <w:p w14:paraId="5C8378F0" w14:textId="77777777" w:rsidR="008C5F78" w:rsidRPr="00744B66" w:rsidRDefault="008C5F78" w:rsidP="009276EE">
            <w:pPr>
              <w:spacing w:before="120" w:after="120" w:line="360" w:lineRule="auto"/>
              <w:jc w:val="center"/>
              <w:rPr>
                <w:rFonts w:ascii="Arial" w:hAnsi="Arial"/>
                <w:b/>
                <w:bCs/>
                <w:sz w:val="22"/>
                <w:szCs w:val="22"/>
              </w:rPr>
            </w:pPr>
            <w:r w:rsidRPr="00744B66">
              <w:rPr>
                <w:rFonts w:ascii="Arial" w:hAnsi="Arial"/>
                <w:b/>
                <w:bCs/>
                <w:sz w:val="22"/>
                <w:szCs w:val="22"/>
              </w:rPr>
              <w:t>SC</w:t>
            </w:r>
          </w:p>
        </w:tc>
        <w:tc>
          <w:tcPr>
            <w:tcW w:w="1276" w:type="dxa"/>
            <w:tcBorders>
              <w:top w:val="single" w:sz="4" w:space="0" w:color="auto"/>
              <w:bottom w:val="single" w:sz="4" w:space="0" w:color="auto"/>
            </w:tcBorders>
            <w:vAlign w:val="center"/>
          </w:tcPr>
          <w:p w14:paraId="3AC36967" w14:textId="77777777" w:rsidR="008C5F78" w:rsidRPr="00744B66" w:rsidRDefault="008C5F78" w:rsidP="009276EE">
            <w:pPr>
              <w:spacing w:before="120" w:after="120" w:line="360" w:lineRule="auto"/>
              <w:jc w:val="center"/>
              <w:rPr>
                <w:rFonts w:ascii="Arial" w:hAnsi="Arial"/>
                <w:b/>
                <w:bCs/>
                <w:sz w:val="22"/>
                <w:szCs w:val="22"/>
              </w:rPr>
            </w:pPr>
            <w:r w:rsidRPr="00744B66">
              <w:rPr>
                <w:rFonts w:ascii="Arial" w:hAnsi="Arial"/>
                <w:b/>
                <w:bCs/>
                <w:sz w:val="22"/>
                <w:szCs w:val="22"/>
              </w:rPr>
              <w:t>I.A for SC</w:t>
            </w:r>
          </w:p>
        </w:tc>
        <w:tc>
          <w:tcPr>
            <w:tcW w:w="678" w:type="dxa"/>
            <w:tcBorders>
              <w:top w:val="single" w:sz="4" w:space="0" w:color="auto"/>
              <w:bottom w:val="single" w:sz="4" w:space="0" w:color="auto"/>
            </w:tcBorders>
            <w:vAlign w:val="center"/>
          </w:tcPr>
          <w:p w14:paraId="75AF6291" w14:textId="77777777" w:rsidR="008C5F78" w:rsidRPr="00744B66" w:rsidRDefault="008C5F78" w:rsidP="009276EE">
            <w:pPr>
              <w:spacing w:before="120" w:after="120" w:line="360" w:lineRule="auto"/>
              <w:jc w:val="center"/>
              <w:rPr>
                <w:rFonts w:ascii="Arial" w:hAnsi="Arial"/>
                <w:b/>
                <w:bCs/>
                <w:sz w:val="22"/>
                <w:szCs w:val="22"/>
              </w:rPr>
            </w:pPr>
            <w:r w:rsidRPr="00744B66">
              <w:rPr>
                <w:rFonts w:ascii="Arial" w:hAnsi="Arial"/>
                <w:b/>
                <w:bCs/>
                <w:sz w:val="22"/>
                <w:szCs w:val="22"/>
              </w:rPr>
              <w:t>EPL</w:t>
            </w:r>
          </w:p>
        </w:tc>
        <w:tc>
          <w:tcPr>
            <w:tcW w:w="1590" w:type="dxa"/>
            <w:tcBorders>
              <w:top w:val="single" w:sz="4" w:space="0" w:color="auto"/>
              <w:bottom w:val="single" w:sz="4" w:space="0" w:color="auto"/>
            </w:tcBorders>
          </w:tcPr>
          <w:p w14:paraId="63D68D90" w14:textId="1CE44A8A" w:rsidR="008C5F78" w:rsidRPr="00744B66" w:rsidRDefault="008C5F78" w:rsidP="009276EE">
            <w:pPr>
              <w:spacing w:before="120" w:after="120" w:line="360" w:lineRule="auto"/>
              <w:jc w:val="center"/>
              <w:rPr>
                <w:rFonts w:ascii="Arial" w:hAnsi="Arial"/>
                <w:b/>
                <w:bCs/>
                <w:sz w:val="22"/>
                <w:szCs w:val="22"/>
              </w:rPr>
            </w:pPr>
            <w:r>
              <w:rPr>
                <w:rFonts w:ascii="Arial" w:hAnsi="Arial"/>
                <w:b/>
                <w:bCs/>
                <w:sz w:val="22"/>
                <w:szCs w:val="22"/>
              </w:rPr>
              <w:t>Capital allowance for EPL</w:t>
            </w:r>
          </w:p>
        </w:tc>
        <w:tc>
          <w:tcPr>
            <w:tcW w:w="1276" w:type="dxa"/>
            <w:tcBorders>
              <w:top w:val="single" w:sz="4" w:space="0" w:color="auto"/>
              <w:bottom w:val="single" w:sz="4" w:space="0" w:color="auto"/>
            </w:tcBorders>
            <w:vAlign w:val="center"/>
          </w:tcPr>
          <w:p w14:paraId="64653FD2" w14:textId="0F05929F" w:rsidR="008C5F78" w:rsidRPr="00744B66" w:rsidRDefault="008C5F78" w:rsidP="009276EE">
            <w:pPr>
              <w:spacing w:before="120" w:after="120" w:line="360" w:lineRule="auto"/>
              <w:jc w:val="center"/>
              <w:rPr>
                <w:rFonts w:ascii="Arial" w:hAnsi="Arial"/>
                <w:b/>
                <w:bCs/>
                <w:sz w:val="22"/>
                <w:szCs w:val="22"/>
              </w:rPr>
            </w:pPr>
            <w:r w:rsidRPr="00744B66">
              <w:rPr>
                <w:rFonts w:ascii="Arial" w:hAnsi="Arial"/>
                <w:b/>
                <w:bCs/>
                <w:sz w:val="22"/>
                <w:szCs w:val="22"/>
              </w:rPr>
              <w:t>I.A for EPL</w:t>
            </w:r>
          </w:p>
        </w:tc>
        <w:tc>
          <w:tcPr>
            <w:tcW w:w="1646" w:type="dxa"/>
            <w:tcBorders>
              <w:top w:val="single" w:sz="4" w:space="0" w:color="auto"/>
              <w:bottom w:val="single" w:sz="4" w:space="0" w:color="auto"/>
            </w:tcBorders>
            <w:vAlign w:val="center"/>
          </w:tcPr>
          <w:p w14:paraId="1B4E51C1" w14:textId="0E66662B" w:rsidR="008C5F78" w:rsidRPr="00744B66" w:rsidRDefault="008C5F78" w:rsidP="009276EE">
            <w:pPr>
              <w:spacing w:before="120" w:after="120" w:line="360" w:lineRule="auto"/>
              <w:jc w:val="center"/>
              <w:rPr>
                <w:rFonts w:ascii="Arial" w:hAnsi="Arial"/>
                <w:b/>
                <w:bCs/>
                <w:sz w:val="22"/>
                <w:szCs w:val="22"/>
              </w:rPr>
            </w:pPr>
            <w:r>
              <w:rPr>
                <w:rFonts w:ascii="Arial" w:hAnsi="Arial"/>
                <w:b/>
                <w:bCs/>
                <w:sz w:val="22"/>
                <w:szCs w:val="22"/>
              </w:rPr>
              <w:t>Sunset</w:t>
            </w:r>
          </w:p>
        </w:tc>
      </w:tr>
      <w:tr w:rsidR="001B763B" w:rsidRPr="00744B66" w14:paraId="6EFFFB65" w14:textId="77777777" w:rsidTr="001B763B">
        <w:tc>
          <w:tcPr>
            <w:tcW w:w="1404" w:type="dxa"/>
            <w:tcBorders>
              <w:top w:val="single" w:sz="4" w:space="0" w:color="auto"/>
            </w:tcBorders>
            <w:shd w:val="clear" w:color="auto" w:fill="F2F2F2"/>
            <w:vAlign w:val="center"/>
          </w:tcPr>
          <w:p w14:paraId="5926A304" w14:textId="77777777" w:rsidR="008C5F78" w:rsidRPr="00744B66" w:rsidRDefault="008C5F78" w:rsidP="009276EE">
            <w:pPr>
              <w:spacing w:before="120" w:after="120" w:line="360" w:lineRule="auto"/>
              <w:rPr>
                <w:rFonts w:ascii="Arial" w:hAnsi="Arial"/>
                <w:sz w:val="22"/>
                <w:szCs w:val="22"/>
              </w:rPr>
            </w:pPr>
            <w:r w:rsidRPr="00744B66">
              <w:rPr>
                <w:rFonts w:ascii="Arial" w:hAnsi="Arial"/>
                <w:sz w:val="22"/>
                <w:szCs w:val="22"/>
              </w:rPr>
              <w:t>Permanent system</w:t>
            </w:r>
          </w:p>
        </w:tc>
        <w:tc>
          <w:tcPr>
            <w:tcW w:w="709" w:type="dxa"/>
            <w:tcBorders>
              <w:top w:val="single" w:sz="4" w:space="0" w:color="auto"/>
            </w:tcBorders>
            <w:shd w:val="clear" w:color="auto" w:fill="F2F2F2"/>
            <w:vAlign w:val="center"/>
          </w:tcPr>
          <w:p w14:paraId="3A48BAB4" w14:textId="21EEA72D" w:rsidR="008C5F78" w:rsidRPr="00744B66" w:rsidRDefault="00CD4312" w:rsidP="009276EE">
            <w:pPr>
              <w:spacing w:before="120" w:after="120" w:line="360" w:lineRule="auto"/>
              <w:jc w:val="center"/>
              <w:rPr>
                <w:rFonts w:ascii="Arial" w:hAnsi="Arial"/>
                <w:sz w:val="22"/>
                <w:szCs w:val="22"/>
              </w:rPr>
            </w:pPr>
            <w:r>
              <w:rPr>
                <w:rFonts w:ascii="Arial" w:hAnsi="Arial"/>
                <w:sz w:val="22"/>
                <w:szCs w:val="22"/>
              </w:rPr>
              <w:t>30</w:t>
            </w:r>
          </w:p>
        </w:tc>
        <w:tc>
          <w:tcPr>
            <w:tcW w:w="722" w:type="dxa"/>
            <w:tcBorders>
              <w:top w:val="single" w:sz="4" w:space="0" w:color="auto"/>
            </w:tcBorders>
            <w:shd w:val="clear" w:color="auto" w:fill="F2F2F2"/>
            <w:vAlign w:val="center"/>
          </w:tcPr>
          <w:p w14:paraId="132F5499" w14:textId="38CB7309" w:rsidR="008C5F78" w:rsidRPr="00744B66" w:rsidRDefault="00CD4312" w:rsidP="009276EE">
            <w:pPr>
              <w:spacing w:before="120" w:after="120" w:line="360" w:lineRule="auto"/>
              <w:jc w:val="center"/>
              <w:rPr>
                <w:rFonts w:ascii="Arial" w:hAnsi="Arial"/>
                <w:sz w:val="22"/>
                <w:szCs w:val="22"/>
              </w:rPr>
            </w:pPr>
            <w:r>
              <w:rPr>
                <w:rFonts w:ascii="Arial" w:hAnsi="Arial"/>
                <w:sz w:val="22"/>
                <w:szCs w:val="22"/>
              </w:rPr>
              <w:t>10</w:t>
            </w:r>
          </w:p>
        </w:tc>
        <w:tc>
          <w:tcPr>
            <w:tcW w:w="1276" w:type="dxa"/>
            <w:tcBorders>
              <w:top w:val="single" w:sz="4" w:space="0" w:color="auto"/>
            </w:tcBorders>
            <w:shd w:val="clear" w:color="auto" w:fill="F2F2F2"/>
            <w:vAlign w:val="center"/>
          </w:tcPr>
          <w:p w14:paraId="19CD36D2" w14:textId="115DA129" w:rsidR="008C5F78" w:rsidRPr="00744B66" w:rsidRDefault="008C5F78" w:rsidP="009276EE">
            <w:pPr>
              <w:spacing w:before="120" w:after="120" w:line="360" w:lineRule="auto"/>
              <w:jc w:val="center"/>
              <w:rPr>
                <w:rFonts w:ascii="Arial" w:hAnsi="Arial"/>
                <w:sz w:val="22"/>
                <w:szCs w:val="22"/>
              </w:rPr>
            </w:pPr>
            <w:r w:rsidRPr="00744B66">
              <w:rPr>
                <w:rFonts w:ascii="Arial" w:hAnsi="Arial"/>
                <w:sz w:val="22"/>
                <w:szCs w:val="22"/>
              </w:rPr>
              <w:t>(</w:t>
            </w:r>
            <w:r w:rsidR="00CD4312">
              <w:rPr>
                <w:rFonts w:ascii="Arial" w:hAnsi="Arial"/>
                <w:sz w:val="22"/>
                <w:szCs w:val="22"/>
              </w:rPr>
              <w:t>10</w:t>
            </w:r>
            <w:r w:rsidRPr="00744B66">
              <w:rPr>
                <w:rFonts w:ascii="Arial" w:hAnsi="Arial"/>
                <w:sz w:val="22"/>
                <w:szCs w:val="22"/>
              </w:rPr>
              <w:t xml:space="preserve"> * 62</w:t>
            </w:r>
            <w:r w:rsidR="00CD4312">
              <w:rPr>
                <w:rFonts w:ascii="Arial" w:hAnsi="Arial"/>
                <w:sz w:val="22"/>
                <w:szCs w:val="22"/>
              </w:rPr>
              <w:t>.</w:t>
            </w:r>
            <w:r w:rsidRPr="00744B66">
              <w:rPr>
                <w:rFonts w:ascii="Arial" w:hAnsi="Arial"/>
                <w:sz w:val="22"/>
                <w:szCs w:val="22"/>
              </w:rPr>
              <w:t>5)</w:t>
            </w:r>
          </w:p>
        </w:tc>
        <w:tc>
          <w:tcPr>
            <w:tcW w:w="678" w:type="dxa"/>
            <w:tcBorders>
              <w:top w:val="single" w:sz="4" w:space="0" w:color="auto"/>
            </w:tcBorders>
            <w:shd w:val="clear" w:color="auto" w:fill="F2F2F2"/>
            <w:vAlign w:val="center"/>
          </w:tcPr>
          <w:p w14:paraId="70BCC378" w14:textId="77777777" w:rsidR="008C5F78" w:rsidRPr="00744B66" w:rsidRDefault="008C5F78" w:rsidP="009276EE">
            <w:pPr>
              <w:spacing w:before="120" w:after="120" w:line="360" w:lineRule="auto"/>
              <w:jc w:val="center"/>
              <w:rPr>
                <w:rFonts w:ascii="Arial" w:hAnsi="Arial"/>
                <w:sz w:val="22"/>
                <w:szCs w:val="22"/>
              </w:rPr>
            </w:pPr>
            <w:r w:rsidRPr="00744B66">
              <w:rPr>
                <w:rFonts w:ascii="Arial" w:hAnsi="Arial"/>
                <w:sz w:val="22"/>
                <w:szCs w:val="22"/>
              </w:rPr>
              <w:t>-</w:t>
            </w:r>
          </w:p>
        </w:tc>
        <w:tc>
          <w:tcPr>
            <w:tcW w:w="1590" w:type="dxa"/>
            <w:tcBorders>
              <w:top w:val="single" w:sz="4" w:space="0" w:color="auto"/>
            </w:tcBorders>
            <w:shd w:val="clear" w:color="auto" w:fill="F2F2F2"/>
            <w:vAlign w:val="center"/>
          </w:tcPr>
          <w:p w14:paraId="3047336B" w14:textId="50A4206A" w:rsidR="008C5F78" w:rsidRPr="00744B66" w:rsidRDefault="00CD4312" w:rsidP="00CD4312">
            <w:pPr>
              <w:spacing w:before="120" w:after="120" w:line="360" w:lineRule="auto"/>
              <w:jc w:val="center"/>
              <w:rPr>
                <w:rFonts w:ascii="Arial" w:hAnsi="Arial"/>
                <w:sz w:val="22"/>
                <w:szCs w:val="22"/>
              </w:rPr>
            </w:pPr>
            <w:r>
              <w:rPr>
                <w:rFonts w:ascii="Arial" w:hAnsi="Arial"/>
                <w:sz w:val="22"/>
                <w:szCs w:val="22"/>
              </w:rPr>
              <w:t>-</w:t>
            </w:r>
          </w:p>
        </w:tc>
        <w:tc>
          <w:tcPr>
            <w:tcW w:w="1276" w:type="dxa"/>
            <w:tcBorders>
              <w:top w:val="single" w:sz="4" w:space="0" w:color="auto"/>
            </w:tcBorders>
            <w:shd w:val="clear" w:color="auto" w:fill="F2F2F2"/>
            <w:vAlign w:val="center"/>
          </w:tcPr>
          <w:p w14:paraId="14A3C0BE" w14:textId="5A815FDB" w:rsidR="008C5F78" w:rsidRPr="00744B66" w:rsidRDefault="008C5F78" w:rsidP="009276EE">
            <w:pPr>
              <w:spacing w:before="120" w:after="120" w:line="360" w:lineRule="auto"/>
              <w:jc w:val="center"/>
              <w:rPr>
                <w:rFonts w:ascii="Arial" w:hAnsi="Arial"/>
                <w:sz w:val="22"/>
                <w:szCs w:val="22"/>
              </w:rPr>
            </w:pPr>
            <w:r w:rsidRPr="00744B66">
              <w:rPr>
                <w:rFonts w:ascii="Arial" w:hAnsi="Arial"/>
                <w:sz w:val="22"/>
                <w:szCs w:val="22"/>
              </w:rPr>
              <w:t>-</w:t>
            </w:r>
          </w:p>
        </w:tc>
        <w:tc>
          <w:tcPr>
            <w:tcW w:w="1646" w:type="dxa"/>
            <w:tcBorders>
              <w:top w:val="single" w:sz="4" w:space="0" w:color="auto"/>
            </w:tcBorders>
            <w:shd w:val="clear" w:color="auto" w:fill="F2F2F2"/>
            <w:vAlign w:val="center"/>
          </w:tcPr>
          <w:p w14:paraId="6925ECF2" w14:textId="4DD78DFB" w:rsidR="008C5F78" w:rsidRPr="00744B66" w:rsidRDefault="008C5F78" w:rsidP="009276EE">
            <w:pPr>
              <w:spacing w:before="120" w:after="120" w:line="360" w:lineRule="auto"/>
              <w:jc w:val="center"/>
              <w:rPr>
                <w:rFonts w:ascii="Arial" w:hAnsi="Arial"/>
                <w:sz w:val="22"/>
                <w:szCs w:val="22"/>
              </w:rPr>
            </w:pPr>
            <w:r>
              <w:rPr>
                <w:rFonts w:ascii="Arial" w:hAnsi="Arial"/>
                <w:sz w:val="22"/>
                <w:szCs w:val="22"/>
              </w:rPr>
              <w:t>-</w:t>
            </w:r>
          </w:p>
        </w:tc>
      </w:tr>
      <w:tr w:rsidR="001B763B" w:rsidRPr="00744B66" w14:paraId="1C79E6DA" w14:textId="77777777" w:rsidTr="001B763B">
        <w:trPr>
          <w:trHeight w:val="769"/>
        </w:trPr>
        <w:tc>
          <w:tcPr>
            <w:tcW w:w="1404" w:type="dxa"/>
            <w:vAlign w:val="center"/>
          </w:tcPr>
          <w:p w14:paraId="6D5C38B7" w14:textId="77777777" w:rsidR="00CD4312" w:rsidRPr="00744B66" w:rsidRDefault="00CD4312" w:rsidP="00CD4312">
            <w:pPr>
              <w:spacing w:before="120" w:after="120" w:line="360" w:lineRule="auto"/>
              <w:rPr>
                <w:rFonts w:ascii="Arial" w:hAnsi="Arial"/>
                <w:sz w:val="22"/>
                <w:szCs w:val="22"/>
              </w:rPr>
            </w:pPr>
            <w:r w:rsidRPr="00744B66">
              <w:rPr>
                <w:rFonts w:ascii="Arial" w:hAnsi="Arial"/>
                <w:sz w:val="22"/>
                <w:szCs w:val="22"/>
              </w:rPr>
              <w:t>EPL 1</w:t>
            </w:r>
          </w:p>
        </w:tc>
        <w:tc>
          <w:tcPr>
            <w:tcW w:w="709" w:type="dxa"/>
            <w:vAlign w:val="center"/>
          </w:tcPr>
          <w:p w14:paraId="05F8BB65" w14:textId="0E1D97D6" w:rsidR="00CD4312" w:rsidRPr="00744B66" w:rsidRDefault="00CD4312" w:rsidP="00CD4312">
            <w:pPr>
              <w:spacing w:before="120" w:after="120" w:line="360" w:lineRule="auto"/>
              <w:jc w:val="center"/>
              <w:rPr>
                <w:rFonts w:ascii="Arial" w:hAnsi="Arial"/>
                <w:sz w:val="22"/>
                <w:szCs w:val="22"/>
              </w:rPr>
            </w:pPr>
            <w:r>
              <w:rPr>
                <w:rFonts w:ascii="Arial" w:hAnsi="Arial"/>
                <w:sz w:val="22"/>
                <w:szCs w:val="22"/>
              </w:rPr>
              <w:t>30</w:t>
            </w:r>
          </w:p>
        </w:tc>
        <w:tc>
          <w:tcPr>
            <w:tcW w:w="722" w:type="dxa"/>
            <w:vAlign w:val="center"/>
          </w:tcPr>
          <w:p w14:paraId="3239CF5C" w14:textId="2D99081D" w:rsidR="00CD4312" w:rsidRPr="00744B66" w:rsidRDefault="00CD4312" w:rsidP="00CD4312">
            <w:pPr>
              <w:spacing w:before="120" w:after="120" w:line="360" w:lineRule="auto"/>
              <w:jc w:val="center"/>
              <w:rPr>
                <w:rFonts w:ascii="Arial" w:hAnsi="Arial"/>
                <w:sz w:val="22"/>
                <w:szCs w:val="22"/>
              </w:rPr>
            </w:pPr>
            <w:r>
              <w:rPr>
                <w:rFonts w:ascii="Arial" w:hAnsi="Arial"/>
                <w:sz w:val="22"/>
                <w:szCs w:val="22"/>
              </w:rPr>
              <w:t>10</w:t>
            </w:r>
          </w:p>
        </w:tc>
        <w:tc>
          <w:tcPr>
            <w:tcW w:w="1276" w:type="dxa"/>
            <w:vAlign w:val="center"/>
          </w:tcPr>
          <w:p w14:paraId="6ED4C2B4" w14:textId="7CEC7D5F" w:rsidR="00CD4312" w:rsidRPr="00744B66" w:rsidRDefault="00CD4312" w:rsidP="00CD4312">
            <w:pPr>
              <w:spacing w:before="120" w:after="120" w:line="360" w:lineRule="auto"/>
              <w:jc w:val="center"/>
              <w:rPr>
                <w:rFonts w:ascii="Arial" w:hAnsi="Arial"/>
                <w:sz w:val="22"/>
                <w:szCs w:val="22"/>
              </w:rPr>
            </w:pPr>
            <w:r w:rsidRPr="00744B66">
              <w:rPr>
                <w:rFonts w:ascii="Arial" w:hAnsi="Arial"/>
                <w:sz w:val="22"/>
                <w:szCs w:val="22"/>
              </w:rPr>
              <w:t>(</w:t>
            </w:r>
            <w:r>
              <w:rPr>
                <w:rFonts w:ascii="Arial" w:hAnsi="Arial"/>
                <w:sz w:val="22"/>
                <w:szCs w:val="22"/>
              </w:rPr>
              <w:t>10</w:t>
            </w:r>
            <w:r w:rsidRPr="00744B66">
              <w:rPr>
                <w:rFonts w:ascii="Arial" w:hAnsi="Arial"/>
                <w:sz w:val="22"/>
                <w:szCs w:val="22"/>
              </w:rPr>
              <w:t xml:space="preserve"> * 62</w:t>
            </w:r>
            <w:r>
              <w:rPr>
                <w:rFonts w:ascii="Arial" w:hAnsi="Arial"/>
                <w:sz w:val="22"/>
                <w:szCs w:val="22"/>
              </w:rPr>
              <w:t>.</w:t>
            </w:r>
            <w:r w:rsidRPr="00744B66">
              <w:rPr>
                <w:rFonts w:ascii="Arial" w:hAnsi="Arial"/>
                <w:sz w:val="22"/>
                <w:szCs w:val="22"/>
              </w:rPr>
              <w:t>5)</w:t>
            </w:r>
          </w:p>
        </w:tc>
        <w:tc>
          <w:tcPr>
            <w:tcW w:w="678" w:type="dxa"/>
            <w:vAlign w:val="center"/>
          </w:tcPr>
          <w:p w14:paraId="733E5BC3" w14:textId="53C8E55B" w:rsidR="00CD4312" w:rsidRPr="00744B66" w:rsidRDefault="00CD4312" w:rsidP="00CD4312">
            <w:pPr>
              <w:spacing w:before="120" w:after="120" w:line="360" w:lineRule="auto"/>
              <w:jc w:val="center"/>
              <w:rPr>
                <w:rFonts w:ascii="Arial" w:hAnsi="Arial"/>
                <w:sz w:val="22"/>
                <w:szCs w:val="22"/>
              </w:rPr>
            </w:pPr>
            <w:r>
              <w:rPr>
                <w:rFonts w:ascii="Arial" w:hAnsi="Arial"/>
                <w:sz w:val="22"/>
                <w:szCs w:val="22"/>
              </w:rPr>
              <w:t>25</w:t>
            </w:r>
          </w:p>
        </w:tc>
        <w:tc>
          <w:tcPr>
            <w:tcW w:w="1590" w:type="dxa"/>
            <w:vAlign w:val="center"/>
          </w:tcPr>
          <w:p w14:paraId="79F497B1" w14:textId="4DC8E5F2" w:rsidR="00CD4312" w:rsidRPr="00744B66" w:rsidRDefault="001B763B" w:rsidP="00CD4312">
            <w:pPr>
              <w:spacing w:before="120" w:after="120" w:line="360" w:lineRule="auto"/>
              <w:jc w:val="center"/>
              <w:rPr>
                <w:rFonts w:ascii="Arial" w:hAnsi="Arial"/>
                <w:sz w:val="22"/>
                <w:szCs w:val="22"/>
              </w:rPr>
            </w:pPr>
            <w:r>
              <w:rPr>
                <w:rFonts w:ascii="Arial" w:hAnsi="Arial"/>
                <w:sz w:val="22"/>
                <w:szCs w:val="22"/>
              </w:rPr>
              <w:t>25</w:t>
            </w:r>
          </w:p>
        </w:tc>
        <w:tc>
          <w:tcPr>
            <w:tcW w:w="1276" w:type="dxa"/>
            <w:vAlign w:val="center"/>
          </w:tcPr>
          <w:p w14:paraId="3A534918" w14:textId="51D1A693" w:rsidR="00CD4312" w:rsidRPr="00744B66" w:rsidRDefault="001B763B" w:rsidP="001B763B">
            <w:pPr>
              <w:spacing w:before="120" w:after="120" w:line="360" w:lineRule="auto"/>
              <w:jc w:val="center"/>
              <w:rPr>
                <w:rFonts w:ascii="Arial" w:hAnsi="Arial"/>
                <w:sz w:val="22"/>
                <w:szCs w:val="22"/>
              </w:rPr>
            </w:pPr>
            <w:r>
              <w:rPr>
                <w:rFonts w:ascii="Arial" w:hAnsi="Arial"/>
                <w:sz w:val="22"/>
                <w:szCs w:val="22"/>
              </w:rPr>
              <w:t>(25</w:t>
            </w:r>
            <w:r w:rsidRPr="00744B66">
              <w:rPr>
                <w:rFonts w:ascii="Arial" w:hAnsi="Arial"/>
                <w:sz w:val="22"/>
                <w:szCs w:val="22"/>
              </w:rPr>
              <w:t xml:space="preserve"> </w:t>
            </w:r>
            <w:r w:rsidR="00CD4312" w:rsidRPr="00744B66">
              <w:rPr>
                <w:rFonts w:ascii="Arial" w:hAnsi="Arial"/>
                <w:sz w:val="22"/>
                <w:szCs w:val="22"/>
              </w:rPr>
              <w:t>*</w:t>
            </w:r>
            <w:r>
              <w:rPr>
                <w:rFonts w:ascii="Arial" w:hAnsi="Arial"/>
                <w:sz w:val="22"/>
                <w:szCs w:val="22"/>
              </w:rPr>
              <w:t>80</w:t>
            </w:r>
            <w:r w:rsidR="00CD4312" w:rsidRPr="00744B66">
              <w:rPr>
                <w:rFonts w:ascii="Arial" w:hAnsi="Arial"/>
                <w:sz w:val="22"/>
                <w:szCs w:val="22"/>
              </w:rPr>
              <w:t>)</w:t>
            </w:r>
          </w:p>
        </w:tc>
        <w:tc>
          <w:tcPr>
            <w:tcW w:w="1646" w:type="dxa"/>
            <w:vAlign w:val="center"/>
          </w:tcPr>
          <w:p w14:paraId="2827DDEF" w14:textId="62B746CD" w:rsidR="00CD4312" w:rsidRPr="00744B66" w:rsidRDefault="00CD4312" w:rsidP="00CD4312">
            <w:pPr>
              <w:spacing w:before="120" w:after="120" w:line="360" w:lineRule="auto"/>
              <w:jc w:val="center"/>
              <w:rPr>
                <w:rFonts w:ascii="Arial" w:hAnsi="Arial"/>
                <w:sz w:val="22"/>
                <w:szCs w:val="22"/>
              </w:rPr>
            </w:pPr>
            <w:r>
              <w:rPr>
                <w:rFonts w:ascii="Arial" w:hAnsi="Arial"/>
                <w:sz w:val="22"/>
                <w:szCs w:val="22"/>
              </w:rPr>
              <w:t>December 2025</w:t>
            </w:r>
          </w:p>
        </w:tc>
      </w:tr>
      <w:tr w:rsidR="001B763B" w:rsidRPr="00744B66" w14:paraId="4260F2E9" w14:textId="77777777" w:rsidTr="001B763B">
        <w:trPr>
          <w:trHeight w:val="723"/>
        </w:trPr>
        <w:tc>
          <w:tcPr>
            <w:tcW w:w="1404" w:type="dxa"/>
            <w:shd w:val="clear" w:color="auto" w:fill="F2F2F2"/>
            <w:vAlign w:val="center"/>
          </w:tcPr>
          <w:p w14:paraId="0B9A088C" w14:textId="77777777" w:rsidR="00CD4312" w:rsidRPr="00744B66" w:rsidRDefault="00CD4312" w:rsidP="00CD4312">
            <w:pPr>
              <w:spacing w:before="120" w:after="120" w:line="360" w:lineRule="auto"/>
              <w:rPr>
                <w:rFonts w:ascii="Arial" w:hAnsi="Arial"/>
                <w:sz w:val="22"/>
                <w:szCs w:val="22"/>
              </w:rPr>
            </w:pPr>
            <w:r w:rsidRPr="00744B66">
              <w:rPr>
                <w:rFonts w:ascii="Arial" w:hAnsi="Arial"/>
                <w:sz w:val="22"/>
                <w:szCs w:val="22"/>
              </w:rPr>
              <w:t>EPL 2</w:t>
            </w:r>
          </w:p>
        </w:tc>
        <w:tc>
          <w:tcPr>
            <w:tcW w:w="709" w:type="dxa"/>
            <w:shd w:val="clear" w:color="auto" w:fill="F2F2F2"/>
            <w:vAlign w:val="center"/>
          </w:tcPr>
          <w:p w14:paraId="2F46A40C" w14:textId="6BC14CCE" w:rsidR="00CD4312" w:rsidRPr="00744B66" w:rsidRDefault="00CD4312" w:rsidP="00CD4312">
            <w:pPr>
              <w:spacing w:before="120" w:after="120" w:line="360" w:lineRule="auto"/>
              <w:jc w:val="center"/>
              <w:rPr>
                <w:rFonts w:ascii="Arial" w:hAnsi="Arial"/>
                <w:sz w:val="22"/>
                <w:szCs w:val="22"/>
              </w:rPr>
            </w:pPr>
            <w:r>
              <w:rPr>
                <w:rFonts w:ascii="Arial" w:hAnsi="Arial"/>
                <w:sz w:val="22"/>
                <w:szCs w:val="22"/>
              </w:rPr>
              <w:t>30</w:t>
            </w:r>
          </w:p>
        </w:tc>
        <w:tc>
          <w:tcPr>
            <w:tcW w:w="722" w:type="dxa"/>
            <w:shd w:val="clear" w:color="auto" w:fill="F2F2F2"/>
            <w:vAlign w:val="center"/>
          </w:tcPr>
          <w:p w14:paraId="44103B3F" w14:textId="0FA6D203" w:rsidR="00CD4312" w:rsidRPr="00744B66" w:rsidRDefault="00CD4312" w:rsidP="00CD4312">
            <w:pPr>
              <w:spacing w:before="120" w:after="120" w:line="360" w:lineRule="auto"/>
              <w:jc w:val="center"/>
              <w:rPr>
                <w:rFonts w:ascii="Arial" w:hAnsi="Arial"/>
                <w:sz w:val="22"/>
                <w:szCs w:val="22"/>
              </w:rPr>
            </w:pPr>
            <w:r>
              <w:rPr>
                <w:rFonts w:ascii="Arial" w:hAnsi="Arial"/>
                <w:sz w:val="22"/>
                <w:szCs w:val="22"/>
              </w:rPr>
              <w:t>10</w:t>
            </w:r>
          </w:p>
        </w:tc>
        <w:tc>
          <w:tcPr>
            <w:tcW w:w="1276" w:type="dxa"/>
            <w:shd w:val="clear" w:color="auto" w:fill="F2F2F2"/>
            <w:vAlign w:val="center"/>
          </w:tcPr>
          <w:p w14:paraId="3DBDC664" w14:textId="32A7595E" w:rsidR="00CD4312" w:rsidRPr="00744B66" w:rsidRDefault="00CD4312" w:rsidP="00CD4312">
            <w:pPr>
              <w:spacing w:before="120" w:after="120" w:line="360" w:lineRule="auto"/>
              <w:jc w:val="center"/>
              <w:rPr>
                <w:rFonts w:ascii="Arial" w:hAnsi="Arial"/>
                <w:sz w:val="22"/>
                <w:szCs w:val="22"/>
              </w:rPr>
            </w:pPr>
            <w:r w:rsidRPr="00744B66">
              <w:rPr>
                <w:rFonts w:ascii="Arial" w:hAnsi="Arial"/>
                <w:sz w:val="22"/>
                <w:szCs w:val="22"/>
              </w:rPr>
              <w:t>(</w:t>
            </w:r>
            <w:r>
              <w:rPr>
                <w:rFonts w:ascii="Arial" w:hAnsi="Arial"/>
                <w:sz w:val="22"/>
                <w:szCs w:val="22"/>
              </w:rPr>
              <w:t>10</w:t>
            </w:r>
            <w:r w:rsidRPr="00744B66">
              <w:rPr>
                <w:rFonts w:ascii="Arial" w:hAnsi="Arial"/>
                <w:sz w:val="22"/>
                <w:szCs w:val="22"/>
              </w:rPr>
              <w:t xml:space="preserve"> * 62</w:t>
            </w:r>
            <w:r>
              <w:rPr>
                <w:rFonts w:ascii="Arial" w:hAnsi="Arial"/>
                <w:sz w:val="22"/>
                <w:szCs w:val="22"/>
              </w:rPr>
              <w:t>.</w:t>
            </w:r>
            <w:r w:rsidRPr="00744B66">
              <w:rPr>
                <w:rFonts w:ascii="Arial" w:hAnsi="Arial"/>
                <w:sz w:val="22"/>
                <w:szCs w:val="22"/>
              </w:rPr>
              <w:t>5)</w:t>
            </w:r>
          </w:p>
        </w:tc>
        <w:tc>
          <w:tcPr>
            <w:tcW w:w="678" w:type="dxa"/>
            <w:shd w:val="clear" w:color="auto" w:fill="F2F2F2"/>
            <w:vAlign w:val="center"/>
          </w:tcPr>
          <w:p w14:paraId="3470B063" w14:textId="7AB90CF1" w:rsidR="00CD4312" w:rsidRPr="00744B66" w:rsidRDefault="001B763B" w:rsidP="00CD4312">
            <w:pPr>
              <w:spacing w:before="120" w:after="120" w:line="360" w:lineRule="auto"/>
              <w:jc w:val="center"/>
              <w:rPr>
                <w:rFonts w:ascii="Arial" w:hAnsi="Arial"/>
                <w:sz w:val="22"/>
                <w:szCs w:val="22"/>
              </w:rPr>
            </w:pPr>
            <w:r>
              <w:rPr>
                <w:rFonts w:ascii="Arial" w:hAnsi="Arial"/>
                <w:sz w:val="22"/>
                <w:szCs w:val="22"/>
              </w:rPr>
              <w:t>35</w:t>
            </w:r>
          </w:p>
        </w:tc>
        <w:tc>
          <w:tcPr>
            <w:tcW w:w="1590" w:type="dxa"/>
            <w:shd w:val="clear" w:color="auto" w:fill="F2F2F2"/>
          </w:tcPr>
          <w:p w14:paraId="240190EC" w14:textId="31F66273" w:rsidR="00CD4312" w:rsidRPr="00744B66" w:rsidRDefault="001B763B" w:rsidP="00CD4312">
            <w:pPr>
              <w:spacing w:before="120" w:after="120" w:line="360" w:lineRule="auto"/>
              <w:jc w:val="center"/>
              <w:rPr>
                <w:rFonts w:ascii="Arial" w:hAnsi="Arial"/>
                <w:sz w:val="22"/>
                <w:szCs w:val="22"/>
              </w:rPr>
            </w:pPr>
            <w:r>
              <w:rPr>
                <w:rFonts w:ascii="Arial" w:hAnsi="Arial"/>
                <w:sz w:val="22"/>
                <w:szCs w:val="22"/>
              </w:rPr>
              <w:t>35</w:t>
            </w:r>
          </w:p>
        </w:tc>
        <w:tc>
          <w:tcPr>
            <w:tcW w:w="1276" w:type="dxa"/>
            <w:shd w:val="clear" w:color="auto" w:fill="F2F2F2"/>
            <w:vAlign w:val="center"/>
          </w:tcPr>
          <w:p w14:paraId="622B996F" w14:textId="09170E8E" w:rsidR="00CD4312" w:rsidRPr="00744B66" w:rsidRDefault="001B763B" w:rsidP="001B763B">
            <w:pPr>
              <w:spacing w:before="120" w:after="120" w:line="360" w:lineRule="auto"/>
              <w:ind w:right="-183"/>
              <w:rPr>
                <w:rFonts w:ascii="Arial" w:hAnsi="Arial"/>
                <w:sz w:val="22"/>
                <w:szCs w:val="22"/>
              </w:rPr>
            </w:pPr>
            <w:r>
              <w:rPr>
                <w:rFonts w:ascii="Arial" w:hAnsi="Arial"/>
                <w:sz w:val="22"/>
                <w:szCs w:val="22"/>
              </w:rPr>
              <w:t xml:space="preserve">   </w:t>
            </w:r>
            <w:r w:rsidR="00CD4312" w:rsidRPr="00744B66">
              <w:rPr>
                <w:rFonts w:ascii="Arial" w:hAnsi="Arial"/>
                <w:sz w:val="22"/>
                <w:szCs w:val="22"/>
              </w:rPr>
              <w:t>(35*29)</w:t>
            </w:r>
          </w:p>
        </w:tc>
        <w:tc>
          <w:tcPr>
            <w:tcW w:w="1646" w:type="dxa"/>
            <w:shd w:val="clear" w:color="auto" w:fill="F2F2F2"/>
            <w:vAlign w:val="center"/>
          </w:tcPr>
          <w:p w14:paraId="3DAA1E80" w14:textId="4758E8DF" w:rsidR="00CD4312" w:rsidRPr="00744B66" w:rsidRDefault="00CD4312" w:rsidP="00CD4312">
            <w:pPr>
              <w:spacing w:before="120" w:after="120" w:line="360" w:lineRule="auto"/>
              <w:jc w:val="center"/>
              <w:rPr>
                <w:rFonts w:ascii="Arial" w:hAnsi="Arial"/>
                <w:sz w:val="22"/>
                <w:szCs w:val="22"/>
              </w:rPr>
            </w:pPr>
            <w:r>
              <w:rPr>
                <w:rFonts w:ascii="Arial" w:hAnsi="Arial"/>
                <w:sz w:val="22"/>
                <w:szCs w:val="22"/>
              </w:rPr>
              <w:t>March 2029</w:t>
            </w:r>
          </w:p>
        </w:tc>
      </w:tr>
      <w:tr w:rsidR="001B763B" w:rsidRPr="00744B66" w14:paraId="5D62DA82" w14:textId="77777777" w:rsidTr="001B763B">
        <w:trPr>
          <w:trHeight w:val="723"/>
        </w:trPr>
        <w:tc>
          <w:tcPr>
            <w:tcW w:w="1404" w:type="dxa"/>
            <w:shd w:val="clear" w:color="auto" w:fill="FFFFFF" w:themeFill="background1"/>
            <w:vAlign w:val="center"/>
          </w:tcPr>
          <w:p w14:paraId="03BD3E44" w14:textId="7DAD2E1C" w:rsidR="00CD4312" w:rsidRPr="00744B66" w:rsidRDefault="00CD4312" w:rsidP="00CD4312">
            <w:pPr>
              <w:spacing w:before="120" w:after="120" w:line="360" w:lineRule="auto"/>
              <w:rPr>
                <w:rFonts w:ascii="Arial" w:hAnsi="Arial"/>
                <w:sz w:val="22"/>
                <w:szCs w:val="22"/>
              </w:rPr>
            </w:pPr>
            <w:r>
              <w:rPr>
                <w:rFonts w:ascii="Arial" w:hAnsi="Arial"/>
                <w:sz w:val="22"/>
                <w:szCs w:val="22"/>
              </w:rPr>
              <w:t>EPL 3a</w:t>
            </w:r>
          </w:p>
        </w:tc>
        <w:tc>
          <w:tcPr>
            <w:tcW w:w="709" w:type="dxa"/>
            <w:shd w:val="clear" w:color="auto" w:fill="FFFFFF" w:themeFill="background1"/>
            <w:vAlign w:val="center"/>
          </w:tcPr>
          <w:p w14:paraId="0E0A73C6" w14:textId="7CC8D08A" w:rsidR="00CD4312" w:rsidRPr="00744B66" w:rsidRDefault="00CD4312" w:rsidP="00CD4312">
            <w:pPr>
              <w:spacing w:before="120" w:after="120" w:line="360" w:lineRule="auto"/>
              <w:jc w:val="center"/>
              <w:rPr>
                <w:rFonts w:ascii="Arial" w:hAnsi="Arial"/>
                <w:sz w:val="22"/>
                <w:szCs w:val="22"/>
              </w:rPr>
            </w:pPr>
            <w:r>
              <w:rPr>
                <w:rFonts w:ascii="Arial" w:hAnsi="Arial"/>
                <w:sz w:val="22"/>
                <w:szCs w:val="22"/>
              </w:rPr>
              <w:t>30</w:t>
            </w:r>
          </w:p>
        </w:tc>
        <w:tc>
          <w:tcPr>
            <w:tcW w:w="722" w:type="dxa"/>
            <w:shd w:val="clear" w:color="auto" w:fill="FFFFFF" w:themeFill="background1"/>
            <w:vAlign w:val="center"/>
          </w:tcPr>
          <w:p w14:paraId="420827D4" w14:textId="02280CA6" w:rsidR="00CD4312" w:rsidRPr="00744B66" w:rsidRDefault="00CD4312" w:rsidP="00CD4312">
            <w:pPr>
              <w:spacing w:before="120" w:after="120" w:line="360" w:lineRule="auto"/>
              <w:jc w:val="center"/>
              <w:rPr>
                <w:rFonts w:ascii="Arial" w:hAnsi="Arial"/>
                <w:sz w:val="22"/>
                <w:szCs w:val="22"/>
              </w:rPr>
            </w:pPr>
            <w:r>
              <w:rPr>
                <w:rFonts w:ascii="Arial" w:hAnsi="Arial"/>
                <w:sz w:val="22"/>
                <w:szCs w:val="22"/>
              </w:rPr>
              <w:t>10</w:t>
            </w:r>
          </w:p>
        </w:tc>
        <w:tc>
          <w:tcPr>
            <w:tcW w:w="1276" w:type="dxa"/>
            <w:shd w:val="clear" w:color="auto" w:fill="FFFFFF" w:themeFill="background1"/>
            <w:vAlign w:val="center"/>
          </w:tcPr>
          <w:p w14:paraId="4DECD2FF" w14:textId="78244FE6" w:rsidR="00CD4312" w:rsidRPr="00744B66" w:rsidRDefault="00CD4312" w:rsidP="00CD4312">
            <w:pPr>
              <w:spacing w:before="120" w:after="120" w:line="360" w:lineRule="auto"/>
              <w:jc w:val="center"/>
              <w:rPr>
                <w:rFonts w:ascii="Arial" w:hAnsi="Arial"/>
                <w:sz w:val="22"/>
                <w:szCs w:val="22"/>
              </w:rPr>
            </w:pPr>
            <w:r w:rsidRPr="00744B66">
              <w:rPr>
                <w:rFonts w:ascii="Arial" w:hAnsi="Arial"/>
                <w:sz w:val="22"/>
                <w:szCs w:val="22"/>
              </w:rPr>
              <w:t>(</w:t>
            </w:r>
            <w:r>
              <w:rPr>
                <w:rFonts w:ascii="Arial" w:hAnsi="Arial"/>
                <w:sz w:val="22"/>
                <w:szCs w:val="22"/>
              </w:rPr>
              <w:t>10</w:t>
            </w:r>
            <w:r w:rsidRPr="00744B66">
              <w:rPr>
                <w:rFonts w:ascii="Arial" w:hAnsi="Arial"/>
                <w:sz w:val="22"/>
                <w:szCs w:val="22"/>
              </w:rPr>
              <w:t xml:space="preserve"> * 62</w:t>
            </w:r>
            <w:r>
              <w:rPr>
                <w:rFonts w:ascii="Arial" w:hAnsi="Arial"/>
                <w:sz w:val="22"/>
                <w:szCs w:val="22"/>
              </w:rPr>
              <w:t>.</w:t>
            </w:r>
            <w:r w:rsidRPr="00744B66">
              <w:rPr>
                <w:rFonts w:ascii="Arial" w:hAnsi="Arial"/>
                <w:sz w:val="22"/>
                <w:szCs w:val="22"/>
              </w:rPr>
              <w:t>5)</w:t>
            </w:r>
          </w:p>
        </w:tc>
        <w:tc>
          <w:tcPr>
            <w:tcW w:w="678" w:type="dxa"/>
            <w:shd w:val="clear" w:color="auto" w:fill="FFFFFF" w:themeFill="background1"/>
            <w:vAlign w:val="center"/>
          </w:tcPr>
          <w:p w14:paraId="11675875" w14:textId="755447DE" w:rsidR="00CD4312" w:rsidRPr="00744B66" w:rsidRDefault="00CD4312" w:rsidP="00CD4312">
            <w:pPr>
              <w:spacing w:before="120" w:after="120" w:line="360" w:lineRule="auto"/>
              <w:jc w:val="center"/>
              <w:rPr>
                <w:rFonts w:ascii="Arial" w:hAnsi="Arial"/>
                <w:sz w:val="22"/>
                <w:szCs w:val="22"/>
              </w:rPr>
            </w:pPr>
            <w:r>
              <w:rPr>
                <w:rFonts w:ascii="Arial" w:hAnsi="Arial"/>
                <w:sz w:val="22"/>
                <w:szCs w:val="22"/>
              </w:rPr>
              <w:t>38</w:t>
            </w:r>
          </w:p>
        </w:tc>
        <w:tc>
          <w:tcPr>
            <w:tcW w:w="1590" w:type="dxa"/>
            <w:shd w:val="clear" w:color="auto" w:fill="FFFFFF" w:themeFill="background1"/>
          </w:tcPr>
          <w:p w14:paraId="0EE5D01C" w14:textId="67FAF7CE" w:rsidR="00CD4312" w:rsidRPr="00744B66" w:rsidRDefault="001B763B" w:rsidP="00CD4312">
            <w:pPr>
              <w:spacing w:before="120" w:after="120" w:line="360" w:lineRule="auto"/>
              <w:jc w:val="center"/>
              <w:rPr>
                <w:rFonts w:ascii="Arial" w:hAnsi="Arial"/>
                <w:sz w:val="22"/>
                <w:szCs w:val="22"/>
              </w:rPr>
            </w:pPr>
            <w:r>
              <w:rPr>
                <w:rFonts w:ascii="Arial" w:hAnsi="Arial"/>
                <w:sz w:val="22"/>
                <w:szCs w:val="22"/>
              </w:rPr>
              <w:t>38</w:t>
            </w:r>
          </w:p>
        </w:tc>
        <w:tc>
          <w:tcPr>
            <w:tcW w:w="1276" w:type="dxa"/>
            <w:shd w:val="clear" w:color="auto" w:fill="FFFFFF" w:themeFill="background1"/>
            <w:vAlign w:val="center"/>
          </w:tcPr>
          <w:p w14:paraId="44B92F7C" w14:textId="2B7B8C62" w:rsidR="00CD4312" w:rsidRPr="00744B66" w:rsidRDefault="001B763B" w:rsidP="00CD4312">
            <w:pPr>
              <w:spacing w:before="120" w:after="120" w:line="360" w:lineRule="auto"/>
              <w:jc w:val="center"/>
              <w:rPr>
                <w:rFonts w:ascii="Arial" w:hAnsi="Arial"/>
                <w:sz w:val="22"/>
                <w:szCs w:val="22"/>
              </w:rPr>
            </w:pPr>
            <w:r>
              <w:rPr>
                <w:rFonts w:ascii="Arial" w:hAnsi="Arial"/>
                <w:sz w:val="22"/>
                <w:szCs w:val="22"/>
              </w:rPr>
              <w:t>-</w:t>
            </w:r>
          </w:p>
        </w:tc>
        <w:tc>
          <w:tcPr>
            <w:tcW w:w="1646" w:type="dxa"/>
            <w:shd w:val="clear" w:color="auto" w:fill="FFFFFF" w:themeFill="background1"/>
            <w:vAlign w:val="center"/>
          </w:tcPr>
          <w:p w14:paraId="0F5F7D9E" w14:textId="6A0A7BA0" w:rsidR="00CD4312" w:rsidRPr="00744B66" w:rsidRDefault="00CD4312" w:rsidP="00CD4312">
            <w:pPr>
              <w:spacing w:before="120" w:after="120" w:line="360" w:lineRule="auto"/>
              <w:jc w:val="center"/>
              <w:rPr>
                <w:rFonts w:ascii="Arial" w:hAnsi="Arial"/>
                <w:sz w:val="22"/>
                <w:szCs w:val="22"/>
              </w:rPr>
            </w:pPr>
            <w:r>
              <w:rPr>
                <w:rFonts w:ascii="Arial" w:hAnsi="Arial"/>
                <w:sz w:val="22"/>
                <w:szCs w:val="22"/>
              </w:rPr>
              <w:t>End of 2029</w:t>
            </w:r>
          </w:p>
        </w:tc>
      </w:tr>
      <w:tr w:rsidR="001B763B" w:rsidRPr="00744B66" w14:paraId="759FF9FD" w14:textId="77777777" w:rsidTr="001B763B">
        <w:trPr>
          <w:trHeight w:val="723"/>
        </w:trPr>
        <w:tc>
          <w:tcPr>
            <w:tcW w:w="1404" w:type="dxa"/>
            <w:tcBorders>
              <w:bottom w:val="single" w:sz="4" w:space="0" w:color="auto"/>
            </w:tcBorders>
            <w:shd w:val="clear" w:color="auto" w:fill="F2F2F2"/>
            <w:vAlign w:val="center"/>
          </w:tcPr>
          <w:p w14:paraId="72F0016A" w14:textId="2E9CAE56" w:rsidR="00CD4312" w:rsidRPr="00744B66" w:rsidRDefault="00CD4312" w:rsidP="00CD4312">
            <w:pPr>
              <w:spacing w:before="120" w:after="120" w:line="360" w:lineRule="auto"/>
              <w:rPr>
                <w:rFonts w:ascii="Arial" w:hAnsi="Arial"/>
                <w:sz w:val="22"/>
                <w:szCs w:val="22"/>
              </w:rPr>
            </w:pPr>
            <w:r>
              <w:rPr>
                <w:rFonts w:ascii="Arial" w:hAnsi="Arial"/>
                <w:sz w:val="22"/>
                <w:szCs w:val="22"/>
              </w:rPr>
              <w:t>EPL 3b</w:t>
            </w:r>
          </w:p>
        </w:tc>
        <w:tc>
          <w:tcPr>
            <w:tcW w:w="709" w:type="dxa"/>
            <w:tcBorders>
              <w:bottom w:val="single" w:sz="4" w:space="0" w:color="auto"/>
            </w:tcBorders>
            <w:shd w:val="clear" w:color="auto" w:fill="F2F2F2"/>
            <w:vAlign w:val="center"/>
          </w:tcPr>
          <w:p w14:paraId="7C733897" w14:textId="7741610D" w:rsidR="00CD4312" w:rsidRPr="00744B66" w:rsidRDefault="00CD4312" w:rsidP="00CD4312">
            <w:pPr>
              <w:spacing w:before="120" w:after="120" w:line="360" w:lineRule="auto"/>
              <w:jc w:val="center"/>
              <w:rPr>
                <w:rFonts w:ascii="Arial" w:hAnsi="Arial"/>
                <w:sz w:val="22"/>
                <w:szCs w:val="22"/>
              </w:rPr>
            </w:pPr>
            <w:r>
              <w:rPr>
                <w:rFonts w:ascii="Arial" w:hAnsi="Arial"/>
                <w:sz w:val="22"/>
                <w:szCs w:val="22"/>
              </w:rPr>
              <w:t>30</w:t>
            </w:r>
          </w:p>
        </w:tc>
        <w:tc>
          <w:tcPr>
            <w:tcW w:w="722" w:type="dxa"/>
            <w:tcBorders>
              <w:bottom w:val="single" w:sz="4" w:space="0" w:color="auto"/>
            </w:tcBorders>
            <w:shd w:val="clear" w:color="auto" w:fill="F2F2F2"/>
            <w:vAlign w:val="center"/>
          </w:tcPr>
          <w:p w14:paraId="6B4EE713" w14:textId="3F333CE3" w:rsidR="00CD4312" w:rsidRPr="00744B66" w:rsidRDefault="00CD4312" w:rsidP="00CD4312">
            <w:pPr>
              <w:spacing w:before="120" w:after="120" w:line="360" w:lineRule="auto"/>
              <w:jc w:val="center"/>
              <w:rPr>
                <w:rFonts w:ascii="Arial" w:hAnsi="Arial"/>
                <w:sz w:val="22"/>
                <w:szCs w:val="22"/>
              </w:rPr>
            </w:pPr>
            <w:r>
              <w:rPr>
                <w:rFonts w:ascii="Arial" w:hAnsi="Arial"/>
                <w:sz w:val="22"/>
                <w:szCs w:val="22"/>
              </w:rPr>
              <w:t>10</w:t>
            </w:r>
          </w:p>
        </w:tc>
        <w:tc>
          <w:tcPr>
            <w:tcW w:w="1276" w:type="dxa"/>
            <w:tcBorders>
              <w:bottom w:val="single" w:sz="4" w:space="0" w:color="auto"/>
            </w:tcBorders>
            <w:shd w:val="clear" w:color="auto" w:fill="F2F2F2"/>
            <w:vAlign w:val="center"/>
          </w:tcPr>
          <w:p w14:paraId="4D03A53C" w14:textId="69F0D51B" w:rsidR="00CD4312" w:rsidRPr="00744B66" w:rsidRDefault="00CD4312" w:rsidP="00CD4312">
            <w:pPr>
              <w:spacing w:before="120" w:after="120" w:line="360" w:lineRule="auto"/>
              <w:jc w:val="center"/>
              <w:rPr>
                <w:rFonts w:ascii="Arial" w:hAnsi="Arial"/>
                <w:sz w:val="22"/>
                <w:szCs w:val="22"/>
              </w:rPr>
            </w:pPr>
            <w:r w:rsidRPr="00744B66">
              <w:rPr>
                <w:rFonts w:ascii="Arial" w:hAnsi="Arial"/>
                <w:sz w:val="22"/>
                <w:szCs w:val="22"/>
              </w:rPr>
              <w:t>(</w:t>
            </w:r>
            <w:r>
              <w:rPr>
                <w:rFonts w:ascii="Arial" w:hAnsi="Arial"/>
                <w:sz w:val="22"/>
                <w:szCs w:val="22"/>
              </w:rPr>
              <w:t>10</w:t>
            </w:r>
            <w:r w:rsidRPr="00744B66">
              <w:rPr>
                <w:rFonts w:ascii="Arial" w:hAnsi="Arial"/>
                <w:sz w:val="22"/>
                <w:szCs w:val="22"/>
              </w:rPr>
              <w:t xml:space="preserve"> * 62</w:t>
            </w:r>
            <w:r>
              <w:rPr>
                <w:rFonts w:ascii="Arial" w:hAnsi="Arial"/>
                <w:sz w:val="22"/>
                <w:szCs w:val="22"/>
              </w:rPr>
              <w:t>.</w:t>
            </w:r>
            <w:r w:rsidRPr="00744B66">
              <w:rPr>
                <w:rFonts w:ascii="Arial" w:hAnsi="Arial"/>
                <w:sz w:val="22"/>
                <w:szCs w:val="22"/>
              </w:rPr>
              <w:t>5)</w:t>
            </w:r>
          </w:p>
        </w:tc>
        <w:tc>
          <w:tcPr>
            <w:tcW w:w="678" w:type="dxa"/>
            <w:tcBorders>
              <w:bottom w:val="single" w:sz="4" w:space="0" w:color="auto"/>
            </w:tcBorders>
            <w:shd w:val="clear" w:color="auto" w:fill="F2F2F2"/>
            <w:vAlign w:val="center"/>
          </w:tcPr>
          <w:p w14:paraId="1FE6C6D7" w14:textId="260D5996" w:rsidR="00CD4312" w:rsidRPr="00744B66" w:rsidRDefault="00CD4312" w:rsidP="00CD4312">
            <w:pPr>
              <w:spacing w:before="120" w:after="120" w:line="360" w:lineRule="auto"/>
              <w:jc w:val="center"/>
              <w:rPr>
                <w:rFonts w:ascii="Arial" w:hAnsi="Arial"/>
                <w:sz w:val="22"/>
                <w:szCs w:val="22"/>
              </w:rPr>
            </w:pPr>
            <w:r>
              <w:rPr>
                <w:rFonts w:ascii="Arial" w:hAnsi="Arial"/>
                <w:sz w:val="22"/>
                <w:szCs w:val="22"/>
              </w:rPr>
              <w:t>38</w:t>
            </w:r>
          </w:p>
        </w:tc>
        <w:tc>
          <w:tcPr>
            <w:tcW w:w="1590" w:type="dxa"/>
            <w:tcBorders>
              <w:bottom w:val="single" w:sz="4" w:space="0" w:color="auto"/>
            </w:tcBorders>
            <w:shd w:val="clear" w:color="auto" w:fill="F2F2F2"/>
          </w:tcPr>
          <w:p w14:paraId="5FD040D2" w14:textId="542BB2EA" w:rsidR="00CD4312" w:rsidRPr="00744B66" w:rsidRDefault="001B763B" w:rsidP="00CD4312">
            <w:pPr>
              <w:spacing w:before="120" w:after="120" w:line="360" w:lineRule="auto"/>
              <w:jc w:val="center"/>
              <w:rPr>
                <w:rFonts w:ascii="Arial" w:hAnsi="Arial"/>
                <w:sz w:val="22"/>
                <w:szCs w:val="22"/>
              </w:rPr>
            </w:pPr>
            <w:r>
              <w:rPr>
                <w:rFonts w:ascii="Arial" w:hAnsi="Arial"/>
                <w:sz w:val="22"/>
                <w:szCs w:val="22"/>
              </w:rPr>
              <w:t>-</w:t>
            </w:r>
          </w:p>
        </w:tc>
        <w:tc>
          <w:tcPr>
            <w:tcW w:w="1276" w:type="dxa"/>
            <w:tcBorders>
              <w:bottom w:val="single" w:sz="4" w:space="0" w:color="auto"/>
            </w:tcBorders>
            <w:shd w:val="clear" w:color="auto" w:fill="F2F2F2"/>
            <w:vAlign w:val="center"/>
          </w:tcPr>
          <w:p w14:paraId="7366E9FD" w14:textId="3DC5491E" w:rsidR="00CD4312" w:rsidRPr="00744B66" w:rsidRDefault="001B763B" w:rsidP="00CD4312">
            <w:pPr>
              <w:spacing w:before="120" w:after="120" w:line="360" w:lineRule="auto"/>
              <w:jc w:val="center"/>
              <w:rPr>
                <w:rFonts w:ascii="Arial" w:hAnsi="Arial"/>
                <w:sz w:val="22"/>
                <w:szCs w:val="22"/>
              </w:rPr>
            </w:pPr>
            <w:r>
              <w:rPr>
                <w:rFonts w:ascii="Arial" w:hAnsi="Arial"/>
                <w:sz w:val="22"/>
                <w:szCs w:val="22"/>
              </w:rPr>
              <w:t>-</w:t>
            </w:r>
          </w:p>
        </w:tc>
        <w:tc>
          <w:tcPr>
            <w:tcW w:w="1646" w:type="dxa"/>
            <w:tcBorders>
              <w:bottom w:val="single" w:sz="4" w:space="0" w:color="auto"/>
            </w:tcBorders>
            <w:shd w:val="clear" w:color="auto" w:fill="F2F2F2"/>
            <w:vAlign w:val="center"/>
          </w:tcPr>
          <w:p w14:paraId="4E2B7E7A" w14:textId="11E77FAA" w:rsidR="00CD4312" w:rsidRPr="00744B66" w:rsidRDefault="00CD4312" w:rsidP="00CD4312">
            <w:pPr>
              <w:spacing w:before="120" w:after="120" w:line="360" w:lineRule="auto"/>
              <w:jc w:val="center"/>
              <w:rPr>
                <w:rFonts w:ascii="Arial" w:hAnsi="Arial"/>
                <w:sz w:val="22"/>
                <w:szCs w:val="22"/>
              </w:rPr>
            </w:pPr>
            <w:r>
              <w:rPr>
                <w:rFonts w:ascii="Arial" w:hAnsi="Arial"/>
                <w:sz w:val="22"/>
                <w:szCs w:val="22"/>
              </w:rPr>
              <w:t>End of 2029</w:t>
            </w:r>
          </w:p>
        </w:tc>
      </w:tr>
    </w:tbl>
    <w:p w14:paraId="02081397" w14:textId="77777777" w:rsidR="00BC2E0F" w:rsidRDefault="00BC2E0F" w:rsidP="006D67B4">
      <w:pPr>
        <w:spacing w:before="120" w:after="360" w:line="360" w:lineRule="auto"/>
        <w:jc w:val="both"/>
        <w:rPr>
          <w:rFonts w:eastAsia="Calibri"/>
          <w:sz w:val="28"/>
          <w:szCs w:val="28"/>
        </w:rPr>
      </w:pPr>
    </w:p>
    <w:p w14:paraId="60306946" w14:textId="62BA9F4A" w:rsidR="006D67B4" w:rsidRPr="00160EE9" w:rsidRDefault="00CF6C4A" w:rsidP="00CF6C4A">
      <w:pPr>
        <w:spacing w:before="120" w:after="120" w:line="360" w:lineRule="auto"/>
        <w:ind w:firstLine="720"/>
        <w:jc w:val="both"/>
      </w:pPr>
      <w:r w:rsidRPr="00160EE9">
        <w:lastRenderedPageBreak/>
        <w:t>T</w:t>
      </w:r>
      <w:r w:rsidR="006D67B4" w:rsidRPr="00160EE9">
        <w:t>he Energy Profits Levy</w:t>
      </w:r>
      <w:r w:rsidRPr="00160EE9">
        <w:t>, as originally designed</w:t>
      </w:r>
      <w:r w:rsidR="001B763B">
        <w:t xml:space="preserve"> in</w:t>
      </w:r>
      <w:r w:rsidR="006D67B4" w:rsidRPr="00160EE9">
        <w:t xml:space="preserve"> May</w:t>
      </w:r>
      <w:r w:rsidRPr="00160EE9">
        <w:t xml:space="preserve"> 2022</w:t>
      </w:r>
      <w:r w:rsidR="006D67B4" w:rsidRPr="00160EE9">
        <w:t xml:space="preserve"> (EPL 1) </w:t>
      </w:r>
      <w:r w:rsidRPr="00160EE9">
        <w:t>is modelled with the following characteristics.</w:t>
      </w:r>
      <w:r w:rsidR="006D67B4" w:rsidRPr="00160EE9">
        <w:t xml:space="preserve"> </w:t>
      </w:r>
      <w:r w:rsidRPr="00160EE9">
        <w:t>A</w:t>
      </w:r>
      <w:r w:rsidR="006D67B4" w:rsidRPr="00160EE9">
        <w:t xml:space="preserve"> 25% tax on UK oil and gas profits in addition to the existing CT and SC. The headline rate rises to 65%. Second, an Investment Allowance of 80% against the EPL is available at the point of investment. </w:t>
      </w:r>
      <w:r w:rsidR="001D2FB0" w:rsidRPr="00160EE9">
        <w:t>Because</w:t>
      </w:r>
      <w:r w:rsidR="006D67B4" w:rsidRPr="00160EE9">
        <w:t xml:space="preserve"> we model annual cashflows we assume that the tax takes effect in 2022 and finishes in 2025. </w:t>
      </w:r>
    </w:p>
    <w:p w14:paraId="4EC11431" w14:textId="7E4088BD" w:rsidR="006D67B4" w:rsidRPr="00160EE9" w:rsidRDefault="006D67B4" w:rsidP="00160EE9">
      <w:pPr>
        <w:spacing w:before="120" w:after="120" w:line="360" w:lineRule="auto"/>
        <w:ind w:firstLine="720"/>
        <w:jc w:val="both"/>
      </w:pPr>
      <w:r w:rsidRPr="00160EE9">
        <w:tab/>
        <w:t xml:space="preserve">The current </w:t>
      </w:r>
      <w:r w:rsidR="0044384C">
        <w:t>arrangement of the Levy</w:t>
      </w:r>
      <w:r w:rsidRPr="00160EE9">
        <w:t xml:space="preserve"> (EPL 2) is incorporated with the following characteristics. A 35% tax on UK oil and gas profits, increasing the headline rate to 75%. The investment allowance is reduced to 29%. We do not model the case of decarbonisation expenditures that qualify for the 80% allowance. </w:t>
      </w:r>
      <w:r w:rsidR="006C218C" w:rsidRPr="00160EE9">
        <w:t>We</w:t>
      </w:r>
      <w:r w:rsidRPr="00160EE9">
        <w:t xml:space="preserve"> </w:t>
      </w:r>
      <w:r w:rsidR="009E5FD2" w:rsidRPr="00160EE9">
        <w:t xml:space="preserve">make a simplifying </w:t>
      </w:r>
      <w:proofErr w:type="spellStart"/>
      <w:r w:rsidR="009E5FD2" w:rsidRPr="00160EE9">
        <w:t>assumption</w:t>
      </w:r>
      <w:r w:rsidRPr="00160EE9">
        <w:t>a</w:t>
      </w:r>
      <w:proofErr w:type="spellEnd"/>
      <w:r w:rsidR="009E5FD2" w:rsidRPr="00160EE9">
        <w:t xml:space="preserve"> </w:t>
      </w:r>
      <w:r w:rsidRPr="00160EE9">
        <w:t xml:space="preserve">that </w:t>
      </w:r>
      <w:r w:rsidR="00260BC8" w:rsidRPr="00160EE9">
        <w:t xml:space="preserve">EPL 2 </w:t>
      </w:r>
      <w:r w:rsidRPr="00160EE9">
        <w:t xml:space="preserve">takes effect in 2022 and lasts through </w:t>
      </w:r>
      <w:r w:rsidR="00590E25" w:rsidRPr="00160EE9">
        <w:t xml:space="preserve">until end </w:t>
      </w:r>
      <w:r w:rsidR="009A3BCC" w:rsidRPr="00160EE9">
        <w:t>202</w:t>
      </w:r>
      <w:r w:rsidR="006C218C" w:rsidRPr="00160EE9">
        <w:t>8</w:t>
      </w:r>
      <w:r w:rsidR="00CB2B46" w:rsidRPr="00160EE9">
        <w:t xml:space="preserve">, instead of March 2029 as we model annual cashflows. </w:t>
      </w:r>
      <w:r w:rsidR="00E5325C" w:rsidRPr="00160EE9">
        <w:t xml:space="preserve"> </w:t>
      </w:r>
    </w:p>
    <w:p w14:paraId="5E968EDD" w14:textId="22A5BE5D" w:rsidR="00CB2B46" w:rsidRPr="00160EE9" w:rsidRDefault="00CB2B46" w:rsidP="00160EE9">
      <w:pPr>
        <w:spacing w:before="120" w:after="120" w:line="360" w:lineRule="auto"/>
        <w:ind w:firstLine="720"/>
        <w:jc w:val="both"/>
      </w:pPr>
      <w:r w:rsidRPr="00160EE9">
        <w:tab/>
        <w:t xml:space="preserve">We incorporate Labour’s proposed changes </w:t>
      </w:r>
      <w:r w:rsidR="00525E38" w:rsidRPr="00160EE9">
        <w:t>in two ways. First</w:t>
      </w:r>
      <w:r w:rsidR="00213221" w:rsidRPr="00160EE9">
        <w:t xml:space="preserve">, </w:t>
      </w:r>
      <w:r w:rsidR="00525E38" w:rsidRPr="00160EE9">
        <w:t xml:space="preserve">by </w:t>
      </w:r>
      <w:r w:rsidR="00213221" w:rsidRPr="00160EE9">
        <w:t>increasing the rate to 38%</w:t>
      </w:r>
      <w:r w:rsidR="00E02665" w:rsidRPr="00160EE9">
        <w:t xml:space="preserve">, removing the </w:t>
      </w:r>
      <w:r w:rsidR="008F416E" w:rsidRPr="00160EE9">
        <w:t xml:space="preserve">investment allowance for EPL and assuming it will end until 2029; we refer to this arrangement as EPL 3a. </w:t>
      </w:r>
      <w:r w:rsidR="001F34AE" w:rsidRPr="00160EE9">
        <w:t>We then, also account for the possibility</w:t>
      </w:r>
      <w:r w:rsidR="002069E6">
        <w:t xml:space="preserve"> of</w:t>
      </w:r>
      <w:r w:rsidR="001F34AE" w:rsidRPr="00160EE9">
        <w:t xml:space="preserve"> having the capital allowance on the Levy removed</w:t>
      </w:r>
      <w:r w:rsidR="00DD0A94" w:rsidRPr="00160EE9">
        <w:t xml:space="preserve">, we refer </w:t>
      </w:r>
      <w:proofErr w:type="spellStart"/>
      <w:r w:rsidR="00DD0A94" w:rsidRPr="00160EE9">
        <w:t>tho</w:t>
      </w:r>
      <w:proofErr w:type="spellEnd"/>
      <w:r w:rsidR="00DD0A94" w:rsidRPr="00160EE9">
        <w:t xml:space="preserve"> this arrangement as EPL 3b. </w:t>
      </w:r>
    </w:p>
    <w:p w14:paraId="1E6AD0ED" w14:textId="0AE43F3B" w:rsidR="00744B66" w:rsidRDefault="00744B66" w:rsidP="00160EE9">
      <w:pPr>
        <w:spacing w:before="120" w:after="120" w:line="360" w:lineRule="auto"/>
        <w:ind w:firstLine="720"/>
        <w:jc w:val="both"/>
      </w:pPr>
      <w:r w:rsidRPr="00160EE9">
        <w:t xml:space="preserve">Our market environment assumptions seek to be consistent with mid- to long-term price scenarios used by companies and investors when evaluating long term investment opportunities. Current oil price volatility and high inflation, while important in the short-term might not reflect the investment environment in 5 or 10 years. Table 3 sets out the assumed values for various market variables. The scheduling of development costs for each field over time is shown in Table 4. </w:t>
      </w:r>
    </w:p>
    <w:p w14:paraId="1A334F9A" w14:textId="77777777" w:rsidR="00127D36" w:rsidRPr="00CB7643" w:rsidRDefault="00127D36" w:rsidP="00127D36">
      <w:pPr>
        <w:spacing w:before="120" w:after="120" w:line="360" w:lineRule="auto"/>
        <w:ind w:firstLine="720"/>
        <w:jc w:val="both"/>
      </w:pPr>
      <w:r w:rsidRPr="00160EE9">
        <w:t xml:space="preserve">We model four investment start-up dates for the projects: 2022, 2023, 2024, and 2025. The objective is to understand the potential losses or gains of delaying the projects. </w:t>
      </w:r>
    </w:p>
    <w:p w14:paraId="19B2D58E" w14:textId="77777777" w:rsidR="00127D36" w:rsidRPr="00744B66" w:rsidRDefault="00127D36" w:rsidP="00127D36">
      <w:pPr>
        <w:pStyle w:val="Heading1"/>
      </w:pPr>
      <w:bookmarkStart w:id="6" w:name="_Toc167823397"/>
      <w:r w:rsidRPr="00744B66">
        <w:t>Section 3. Results and Discussion</w:t>
      </w:r>
      <w:bookmarkEnd w:id="6"/>
    </w:p>
    <w:p w14:paraId="7CB7699F" w14:textId="77777777" w:rsidR="00127D36" w:rsidRPr="00744B66" w:rsidRDefault="00127D36" w:rsidP="00127D36">
      <w:pPr>
        <w:pStyle w:val="Heading2"/>
      </w:pPr>
      <w:bookmarkStart w:id="7" w:name="_Toc167823398"/>
      <w:r w:rsidRPr="00744B66">
        <w:t>Section 3.1 Impact of EPL for different investment start up dates.</w:t>
      </w:r>
      <w:bookmarkEnd w:id="7"/>
      <w:r w:rsidRPr="00744B66">
        <w:t xml:space="preserve"> </w:t>
      </w:r>
    </w:p>
    <w:p w14:paraId="235BEC14" w14:textId="01EE04DE" w:rsidR="00127D36" w:rsidRPr="00160EE9" w:rsidRDefault="00127D36" w:rsidP="00127D36">
      <w:pPr>
        <w:spacing w:before="120" w:after="120" w:line="360" w:lineRule="auto"/>
        <w:ind w:firstLine="720"/>
        <w:jc w:val="both"/>
      </w:pPr>
      <w:r w:rsidRPr="00160EE9">
        <w:t xml:space="preserve">We begin by </w:t>
      </w:r>
      <w:r w:rsidR="008C38BB">
        <w:t xml:space="preserve">analysing </w:t>
      </w:r>
      <w:r w:rsidR="00B12381">
        <w:t>the incentives to delay or accelerate investments by comparing the post</w:t>
      </w:r>
      <w:r w:rsidR="00B12381" w:rsidRPr="00B12381">
        <w:t>-</w:t>
      </w:r>
      <w:r w:rsidR="00B12381">
        <w:t xml:space="preserve">tax NPV </w:t>
      </w:r>
      <w:r w:rsidRPr="00160EE9">
        <w:t xml:space="preserve">at different start-up dates. </w:t>
      </w:r>
      <w:r w:rsidR="00963727">
        <w:t>I</w:t>
      </w:r>
      <w:r w:rsidR="00963727" w:rsidRPr="00160EE9">
        <w:t>n this section we consider only the tax case where the operator has other income against which to claim immediate tax relief</w:t>
      </w:r>
      <w:r w:rsidR="00963727">
        <w:t>, t</w:t>
      </w:r>
      <w:r w:rsidRPr="00160EE9">
        <w:t>o isolate the impact of EPL 2, EPL 3a, and EPL 3b compared to the permanent system</w:t>
      </w:r>
      <w:r w:rsidR="00963727">
        <w:t>.</w:t>
      </w:r>
      <w:r w:rsidRPr="00160EE9">
        <w:t xml:space="preserve"> </w:t>
      </w:r>
      <w:r w:rsidR="00963727">
        <w:t>Economic intuition suggest</w:t>
      </w:r>
      <w:r w:rsidR="007969EA">
        <w:t xml:space="preserve">s that there is an incentive to delay investments to the point where the relief available in the EPL is realised, </w:t>
      </w:r>
      <w:r w:rsidR="00134762">
        <w:t xml:space="preserve">but </w:t>
      </w:r>
      <w:r w:rsidR="002972B5">
        <w:t>the operator avoids profits applicable for EPL.</w:t>
      </w:r>
      <w:r w:rsidRPr="00160EE9">
        <w:t xml:space="preserve"> </w:t>
      </w:r>
    </w:p>
    <w:p w14:paraId="02DDDF8E" w14:textId="77777777" w:rsidR="00744B66" w:rsidRPr="00744B66" w:rsidRDefault="00744B66" w:rsidP="00D6295E">
      <w:pPr>
        <w:pStyle w:val="Caption"/>
      </w:pPr>
      <w:r w:rsidRPr="00744B66">
        <w:lastRenderedPageBreak/>
        <w:t>Table 3. Assumptions for market variables</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6"/>
        <w:gridCol w:w="803"/>
        <w:gridCol w:w="1244"/>
      </w:tblGrid>
      <w:tr w:rsidR="00744B66" w:rsidRPr="00744B66" w14:paraId="0310112A" w14:textId="77777777" w:rsidTr="00112D78">
        <w:trPr>
          <w:jc w:val="center"/>
        </w:trPr>
        <w:tc>
          <w:tcPr>
            <w:tcW w:w="0" w:type="auto"/>
            <w:tcBorders>
              <w:top w:val="single" w:sz="4" w:space="0" w:color="auto"/>
              <w:bottom w:val="single" w:sz="4" w:space="0" w:color="auto"/>
            </w:tcBorders>
            <w:vAlign w:val="center"/>
          </w:tcPr>
          <w:p w14:paraId="14D5FAB1" w14:textId="77777777" w:rsidR="00744B66" w:rsidRPr="00744B66" w:rsidRDefault="00744B66" w:rsidP="00744B66">
            <w:pPr>
              <w:spacing w:before="120" w:after="120" w:line="360" w:lineRule="auto"/>
              <w:jc w:val="center"/>
              <w:rPr>
                <w:rFonts w:ascii="Arial" w:hAnsi="Arial"/>
                <w:b/>
                <w:bCs/>
                <w:sz w:val="22"/>
                <w:szCs w:val="22"/>
              </w:rPr>
            </w:pPr>
            <w:r w:rsidRPr="00744B66">
              <w:rPr>
                <w:rFonts w:ascii="Arial" w:hAnsi="Arial"/>
                <w:b/>
                <w:bCs/>
                <w:sz w:val="22"/>
                <w:szCs w:val="22"/>
              </w:rPr>
              <w:t>Variable</w:t>
            </w:r>
          </w:p>
        </w:tc>
        <w:tc>
          <w:tcPr>
            <w:tcW w:w="0" w:type="auto"/>
            <w:tcBorders>
              <w:top w:val="single" w:sz="4" w:space="0" w:color="auto"/>
              <w:bottom w:val="single" w:sz="4" w:space="0" w:color="auto"/>
            </w:tcBorders>
            <w:vAlign w:val="center"/>
          </w:tcPr>
          <w:p w14:paraId="6FFF234E" w14:textId="77777777" w:rsidR="00744B66" w:rsidRPr="00744B66" w:rsidRDefault="00744B66" w:rsidP="00744B66">
            <w:pPr>
              <w:spacing w:before="120" w:after="120" w:line="360" w:lineRule="auto"/>
              <w:jc w:val="center"/>
              <w:rPr>
                <w:rFonts w:ascii="Arial" w:hAnsi="Arial"/>
                <w:b/>
                <w:bCs/>
                <w:sz w:val="22"/>
                <w:szCs w:val="22"/>
              </w:rPr>
            </w:pPr>
            <w:r w:rsidRPr="00744B66">
              <w:rPr>
                <w:rFonts w:ascii="Arial" w:hAnsi="Arial"/>
                <w:b/>
                <w:bCs/>
                <w:sz w:val="22"/>
                <w:szCs w:val="22"/>
              </w:rPr>
              <w:t>Value</w:t>
            </w:r>
          </w:p>
        </w:tc>
        <w:tc>
          <w:tcPr>
            <w:tcW w:w="0" w:type="auto"/>
            <w:tcBorders>
              <w:top w:val="single" w:sz="4" w:space="0" w:color="auto"/>
              <w:bottom w:val="single" w:sz="4" w:space="0" w:color="auto"/>
            </w:tcBorders>
          </w:tcPr>
          <w:p w14:paraId="29FA515C" w14:textId="77777777" w:rsidR="00744B66" w:rsidRPr="00744B66" w:rsidRDefault="00744B66" w:rsidP="00744B66">
            <w:pPr>
              <w:spacing w:before="120" w:after="120" w:line="360" w:lineRule="auto"/>
              <w:jc w:val="center"/>
              <w:rPr>
                <w:rFonts w:ascii="Arial" w:hAnsi="Arial"/>
                <w:b/>
                <w:bCs/>
                <w:sz w:val="22"/>
                <w:szCs w:val="22"/>
              </w:rPr>
            </w:pPr>
            <w:r w:rsidRPr="00744B66">
              <w:rPr>
                <w:rFonts w:ascii="Arial" w:hAnsi="Arial"/>
                <w:b/>
                <w:bCs/>
                <w:sz w:val="22"/>
                <w:szCs w:val="22"/>
              </w:rPr>
              <w:t>Units</w:t>
            </w:r>
          </w:p>
        </w:tc>
      </w:tr>
      <w:tr w:rsidR="00744B66" w:rsidRPr="00744B66" w14:paraId="5BD91B1F" w14:textId="77777777" w:rsidTr="00744B66">
        <w:trPr>
          <w:trHeight w:val="20"/>
          <w:jc w:val="center"/>
        </w:trPr>
        <w:tc>
          <w:tcPr>
            <w:tcW w:w="0" w:type="auto"/>
            <w:tcBorders>
              <w:top w:val="single" w:sz="4" w:space="0" w:color="auto"/>
            </w:tcBorders>
            <w:shd w:val="clear" w:color="auto" w:fill="F2F2F2"/>
            <w:vAlign w:val="center"/>
          </w:tcPr>
          <w:p w14:paraId="1A6F2A76" w14:textId="77777777" w:rsidR="00744B66" w:rsidRPr="00744B66" w:rsidRDefault="00744B66" w:rsidP="00744B66">
            <w:pPr>
              <w:spacing w:before="120" w:after="120" w:line="360" w:lineRule="auto"/>
              <w:jc w:val="both"/>
              <w:rPr>
                <w:rFonts w:ascii="Arial" w:hAnsi="Arial"/>
                <w:sz w:val="22"/>
                <w:szCs w:val="22"/>
              </w:rPr>
            </w:pPr>
            <w:r w:rsidRPr="00744B66">
              <w:rPr>
                <w:rFonts w:ascii="Arial" w:hAnsi="Arial"/>
                <w:sz w:val="22"/>
                <w:szCs w:val="22"/>
              </w:rPr>
              <w:t>Real Brent oil price</w:t>
            </w:r>
            <w:r w:rsidRPr="00744B66">
              <w:rPr>
                <w:rFonts w:ascii="Arial" w:hAnsi="Arial"/>
                <w:sz w:val="22"/>
                <w:szCs w:val="22"/>
                <w:vertAlign w:val="superscript"/>
              </w:rPr>
              <w:footnoteReference w:id="16"/>
            </w:r>
          </w:p>
        </w:tc>
        <w:tc>
          <w:tcPr>
            <w:tcW w:w="0" w:type="auto"/>
            <w:tcBorders>
              <w:top w:val="single" w:sz="4" w:space="0" w:color="auto"/>
            </w:tcBorders>
            <w:shd w:val="clear" w:color="auto" w:fill="F2F2F2"/>
            <w:vAlign w:val="center"/>
          </w:tcPr>
          <w:p w14:paraId="35BCBF2C" w14:textId="77777777" w:rsidR="00744B66" w:rsidRPr="00744B66" w:rsidRDefault="00744B66" w:rsidP="00744B66">
            <w:pPr>
              <w:spacing w:before="120" w:after="120" w:line="360" w:lineRule="auto"/>
              <w:jc w:val="center"/>
              <w:rPr>
                <w:rFonts w:ascii="Arial" w:hAnsi="Arial"/>
                <w:sz w:val="22"/>
                <w:szCs w:val="22"/>
              </w:rPr>
            </w:pPr>
            <w:r w:rsidRPr="00744B66">
              <w:rPr>
                <w:rFonts w:ascii="Arial" w:hAnsi="Arial"/>
                <w:sz w:val="22"/>
                <w:szCs w:val="22"/>
              </w:rPr>
              <w:t>60</w:t>
            </w:r>
          </w:p>
        </w:tc>
        <w:tc>
          <w:tcPr>
            <w:tcW w:w="0" w:type="auto"/>
            <w:tcBorders>
              <w:top w:val="single" w:sz="4" w:space="0" w:color="auto"/>
            </w:tcBorders>
            <w:shd w:val="clear" w:color="auto" w:fill="F2F2F2"/>
          </w:tcPr>
          <w:p w14:paraId="24FEBE59" w14:textId="77777777" w:rsidR="00744B66" w:rsidRPr="00744B66" w:rsidRDefault="00744B66" w:rsidP="00744B66">
            <w:pPr>
              <w:spacing w:before="120" w:after="120" w:line="360" w:lineRule="auto"/>
              <w:jc w:val="center"/>
              <w:rPr>
                <w:rFonts w:ascii="Arial" w:hAnsi="Arial"/>
                <w:sz w:val="22"/>
                <w:szCs w:val="22"/>
              </w:rPr>
            </w:pPr>
            <w:r w:rsidRPr="00744B66">
              <w:rPr>
                <w:rFonts w:ascii="Arial" w:hAnsi="Arial"/>
                <w:sz w:val="22"/>
                <w:szCs w:val="22"/>
              </w:rPr>
              <w:t>USD/</w:t>
            </w:r>
            <w:proofErr w:type="spellStart"/>
            <w:r w:rsidRPr="00744B66">
              <w:rPr>
                <w:rFonts w:ascii="Arial" w:hAnsi="Arial"/>
                <w:sz w:val="22"/>
                <w:szCs w:val="22"/>
              </w:rPr>
              <w:t>bbl</w:t>
            </w:r>
            <w:proofErr w:type="spellEnd"/>
          </w:p>
        </w:tc>
      </w:tr>
      <w:tr w:rsidR="00744B66" w:rsidRPr="00744B66" w14:paraId="2425886A" w14:textId="77777777" w:rsidTr="00112D78">
        <w:trPr>
          <w:trHeight w:val="20"/>
          <w:jc w:val="center"/>
        </w:trPr>
        <w:tc>
          <w:tcPr>
            <w:tcW w:w="0" w:type="auto"/>
            <w:shd w:val="clear" w:color="auto" w:fill="auto"/>
            <w:vAlign w:val="center"/>
          </w:tcPr>
          <w:p w14:paraId="32F25658" w14:textId="77777777" w:rsidR="00744B66" w:rsidRPr="00744B66" w:rsidRDefault="00744B66" w:rsidP="00744B66">
            <w:pPr>
              <w:spacing w:before="120" w:after="120" w:line="360" w:lineRule="auto"/>
              <w:jc w:val="both"/>
              <w:rPr>
                <w:rFonts w:ascii="Arial" w:hAnsi="Arial"/>
                <w:sz w:val="22"/>
                <w:szCs w:val="22"/>
              </w:rPr>
            </w:pPr>
            <w:r w:rsidRPr="00744B66">
              <w:rPr>
                <w:rFonts w:ascii="Arial" w:hAnsi="Arial"/>
                <w:sz w:val="22"/>
                <w:szCs w:val="22"/>
              </w:rPr>
              <w:t>Consumer price index</w:t>
            </w:r>
          </w:p>
        </w:tc>
        <w:tc>
          <w:tcPr>
            <w:tcW w:w="0" w:type="auto"/>
            <w:shd w:val="clear" w:color="auto" w:fill="auto"/>
            <w:vAlign w:val="center"/>
          </w:tcPr>
          <w:p w14:paraId="15E73EE5" w14:textId="77777777" w:rsidR="00744B66" w:rsidRPr="00744B66" w:rsidRDefault="00744B66" w:rsidP="00744B66">
            <w:pPr>
              <w:spacing w:before="120" w:after="120" w:line="360" w:lineRule="auto"/>
              <w:jc w:val="center"/>
              <w:rPr>
                <w:rFonts w:ascii="Arial" w:hAnsi="Arial"/>
                <w:sz w:val="22"/>
                <w:szCs w:val="22"/>
              </w:rPr>
            </w:pPr>
            <w:r w:rsidRPr="00744B66">
              <w:rPr>
                <w:rFonts w:ascii="Arial" w:hAnsi="Arial"/>
                <w:sz w:val="22"/>
                <w:szCs w:val="22"/>
              </w:rPr>
              <w:t>2</w:t>
            </w:r>
          </w:p>
        </w:tc>
        <w:tc>
          <w:tcPr>
            <w:tcW w:w="0" w:type="auto"/>
          </w:tcPr>
          <w:p w14:paraId="63649142" w14:textId="77777777" w:rsidR="00744B66" w:rsidRPr="00744B66" w:rsidRDefault="00744B66" w:rsidP="00744B66">
            <w:pPr>
              <w:spacing w:before="120" w:after="120" w:line="360" w:lineRule="auto"/>
              <w:jc w:val="center"/>
              <w:rPr>
                <w:rFonts w:ascii="Arial" w:hAnsi="Arial"/>
                <w:sz w:val="22"/>
                <w:szCs w:val="22"/>
              </w:rPr>
            </w:pPr>
            <w:r w:rsidRPr="00744B66">
              <w:rPr>
                <w:rFonts w:ascii="Arial" w:hAnsi="Arial"/>
                <w:sz w:val="22"/>
                <w:szCs w:val="22"/>
              </w:rPr>
              <w:t>%</w:t>
            </w:r>
          </w:p>
        </w:tc>
      </w:tr>
      <w:tr w:rsidR="00744B66" w:rsidRPr="00744B66" w14:paraId="45A6E914" w14:textId="77777777" w:rsidTr="00744B66">
        <w:trPr>
          <w:trHeight w:val="20"/>
          <w:jc w:val="center"/>
        </w:trPr>
        <w:tc>
          <w:tcPr>
            <w:tcW w:w="0" w:type="auto"/>
            <w:shd w:val="clear" w:color="auto" w:fill="F2F2F2"/>
            <w:vAlign w:val="center"/>
          </w:tcPr>
          <w:p w14:paraId="4EEF1283" w14:textId="77777777" w:rsidR="00744B66" w:rsidRPr="00744B66" w:rsidRDefault="00744B66" w:rsidP="00744B66">
            <w:pPr>
              <w:spacing w:before="120" w:after="120" w:line="360" w:lineRule="auto"/>
              <w:jc w:val="both"/>
              <w:rPr>
                <w:rFonts w:ascii="Arial" w:hAnsi="Arial"/>
                <w:sz w:val="22"/>
                <w:szCs w:val="22"/>
              </w:rPr>
            </w:pPr>
            <w:r w:rsidRPr="00744B66">
              <w:rPr>
                <w:rFonts w:ascii="Arial" w:hAnsi="Arial"/>
                <w:sz w:val="22"/>
                <w:szCs w:val="22"/>
              </w:rPr>
              <w:t>Discount rate</w:t>
            </w:r>
          </w:p>
        </w:tc>
        <w:tc>
          <w:tcPr>
            <w:tcW w:w="0" w:type="auto"/>
            <w:shd w:val="clear" w:color="auto" w:fill="F2F2F2"/>
            <w:vAlign w:val="center"/>
          </w:tcPr>
          <w:p w14:paraId="44A61AC9" w14:textId="77777777" w:rsidR="00744B66" w:rsidRPr="00744B66" w:rsidRDefault="00744B66" w:rsidP="00744B66">
            <w:pPr>
              <w:spacing w:before="120" w:after="120" w:line="360" w:lineRule="auto"/>
              <w:jc w:val="center"/>
              <w:rPr>
                <w:rFonts w:ascii="Arial" w:hAnsi="Arial"/>
                <w:sz w:val="22"/>
                <w:szCs w:val="22"/>
              </w:rPr>
            </w:pPr>
            <w:r w:rsidRPr="00744B66">
              <w:rPr>
                <w:rFonts w:ascii="Arial" w:hAnsi="Arial"/>
                <w:sz w:val="22"/>
                <w:szCs w:val="22"/>
              </w:rPr>
              <w:t>10</w:t>
            </w:r>
          </w:p>
        </w:tc>
        <w:tc>
          <w:tcPr>
            <w:tcW w:w="0" w:type="auto"/>
            <w:shd w:val="clear" w:color="auto" w:fill="F2F2F2"/>
          </w:tcPr>
          <w:p w14:paraId="335E59C7" w14:textId="77777777" w:rsidR="00744B66" w:rsidRPr="00744B66" w:rsidRDefault="00744B66" w:rsidP="00744B66">
            <w:pPr>
              <w:spacing w:before="120" w:after="120" w:line="360" w:lineRule="auto"/>
              <w:jc w:val="center"/>
              <w:rPr>
                <w:rFonts w:ascii="Arial" w:hAnsi="Arial"/>
                <w:sz w:val="22"/>
                <w:szCs w:val="22"/>
              </w:rPr>
            </w:pPr>
            <w:r w:rsidRPr="00744B66">
              <w:rPr>
                <w:rFonts w:ascii="Arial" w:hAnsi="Arial"/>
                <w:sz w:val="22"/>
                <w:szCs w:val="22"/>
              </w:rPr>
              <w:t>%</w:t>
            </w:r>
          </w:p>
        </w:tc>
      </w:tr>
      <w:tr w:rsidR="00744B66" w:rsidRPr="00744B66" w14:paraId="44B2DC02" w14:textId="77777777" w:rsidTr="00112D78">
        <w:trPr>
          <w:trHeight w:val="20"/>
          <w:jc w:val="center"/>
        </w:trPr>
        <w:tc>
          <w:tcPr>
            <w:tcW w:w="0" w:type="auto"/>
            <w:tcBorders>
              <w:bottom w:val="single" w:sz="4" w:space="0" w:color="auto"/>
            </w:tcBorders>
            <w:shd w:val="clear" w:color="auto" w:fill="auto"/>
            <w:vAlign w:val="center"/>
          </w:tcPr>
          <w:p w14:paraId="2F48908A" w14:textId="77777777" w:rsidR="00744B66" w:rsidRPr="00744B66" w:rsidRDefault="00744B66" w:rsidP="00744B66">
            <w:pPr>
              <w:spacing w:before="120" w:after="120" w:line="360" w:lineRule="auto"/>
              <w:jc w:val="both"/>
              <w:rPr>
                <w:rFonts w:ascii="Arial" w:hAnsi="Arial"/>
                <w:sz w:val="22"/>
                <w:szCs w:val="22"/>
              </w:rPr>
            </w:pPr>
            <w:r w:rsidRPr="00744B66">
              <w:rPr>
                <w:rFonts w:ascii="Arial" w:hAnsi="Arial"/>
                <w:sz w:val="22"/>
                <w:szCs w:val="22"/>
              </w:rPr>
              <w:t>Exchange rate</w:t>
            </w:r>
          </w:p>
        </w:tc>
        <w:tc>
          <w:tcPr>
            <w:tcW w:w="0" w:type="auto"/>
            <w:tcBorders>
              <w:bottom w:val="single" w:sz="4" w:space="0" w:color="auto"/>
            </w:tcBorders>
            <w:shd w:val="clear" w:color="auto" w:fill="auto"/>
            <w:vAlign w:val="center"/>
          </w:tcPr>
          <w:p w14:paraId="0DDDC3AB" w14:textId="77777777" w:rsidR="00744B66" w:rsidRPr="00744B66" w:rsidRDefault="00744B66" w:rsidP="00744B66">
            <w:pPr>
              <w:spacing w:before="120" w:after="120" w:line="360" w:lineRule="auto"/>
              <w:jc w:val="center"/>
              <w:rPr>
                <w:rFonts w:ascii="Arial" w:hAnsi="Arial"/>
                <w:sz w:val="22"/>
                <w:szCs w:val="22"/>
              </w:rPr>
            </w:pPr>
            <w:r w:rsidRPr="00744B66">
              <w:rPr>
                <w:rFonts w:ascii="Arial" w:hAnsi="Arial"/>
                <w:sz w:val="22"/>
                <w:szCs w:val="22"/>
              </w:rPr>
              <w:t>1.21</w:t>
            </w:r>
          </w:p>
        </w:tc>
        <w:tc>
          <w:tcPr>
            <w:tcW w:w="0" w:type="auto"/>
            <w:tcBorders>
              <w:bottom w:val="single" w:sz="4" w:space="0" w:color="auto"/>
            </w:tcBorders>
          </w:tcPr>
          <w:p w14:paraId="0FA8402E" w14:textId="77777777" w:rsidR="00744B66" w:rsidRPr="00744B66" w:rsidRDefault="00744B66" w:rsidP="00744B66">
            <w:pPr>
              <w:spacing w:before="120" w:after="120" w:line="360" w:lineRule="auto"/>
              <w:jc w:val="center"/>
              <w:rPr>
                <w:rFonts w:ascii="Arial" w:hAnsi="Arial"/>
                <w:sz w:val="22"/>
                <w:szCs w:val="22"/>
              </w:rPr>
            </w:pPr>
            <w:r w:rsidRPr="00744B66">
              <w:rPr>
                <w:rFonts w:ascii="Arial" w:hAnsi="Arial"/>
                <w:sz w:val="22"/>
                <w:szCs w:val="22"/>
              </w:rPr>
              <w:t>USD per £</w:t>
            </w:r>
          </w:p>
        </w:tc>
      </w:tr>
    </w:tbl>
    <w:p w14:paraId="02FB0022" w14:textId="65A2B177" w:rsidR="00BE75DA" w:rsidRDefault="00BE75DA">
      <w:pPr>
        <w:rPr>
          <w:rFonts w:eastAsia="Calibri"/>
          <w:b/>
          <w:bCs/>
          <w:color w:val="000000"/>
          <w:sz w:val="28"/>
          <w:szCs w:val="28"/>
        </w:rPr>
      </w:pPr>
    </w:p>
    <w:p w14:paraId="03B2D2FD" w14:textId="0CDC8585" w:rsidR="00744B66" w:rsidRPr="00744B66" w:rsidRDefault="00744B66" w:rsidP="00D6295E">
      <w:pPr>
        <w:pStyle w:val="Caption"/>
        <w:rPr>
          <w:i/>
          <w:iCs/>
        </w:rPr>
      </w:pPr>
      <w:r w:rsidRPr="00744B66">
        <w:t>Table 4. DEVEX schedule (%) for representative fields</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913"/>
        <w:gridCol w:w="913"/>
        <w:gridCol w:w="913"/>
      </w:tblGrid>
      <w:tr w:rsidR="00744B66" w:rsidRPr="00744B66" w14:paraId="45FF0034" w14:textId="77777777" w:rsidTr="00112D78">
        <w:trPr>
          <w:jc w:val="center"/>
        </w:trPr>
        <w:tc>
          <w:tcPr>
            <w:tcW w:w="0" w:type="auto"/>
            <w:tcBorders>
              <w:top w:val="single" w:sz="4" w:space="0" w:color="auto"/>
              <w:bottom w:val="single" w:sz="4" w:space="0" w:color="auto"/>
            </w:tcBorders>
          </w:tcPr>
          <w:p w14:paraId="7E54EEE0"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Project year</w:t>
            </w:r>
          </w:p>
        </w:tc>
        <w:tc>
          <w:tcPr>
            <w:tcW w:w="0" w:type="auto"/>
            <w:tcBorders>
              <w:top w:val="single" w:sz="4" w:space="0" w:color="auto"/>
              <w:bottom w:val="single" w:sz="4" w:space="0" w:color="auto"/>
            </w:tcBorders>
          </w:tcPr>
          <w:p w14:paraId="1B5D05B5"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Field 1</w:t>
            </w:r>
          </w:p>
        </w:tc>
        <w:tc>
          <w:tcPr>
            <w:tcW w:w="0" w:type="auto"/>
            <w:tcBorders>
              <w:top w:val="single" w:sz="4" w:space="0" w:color="auto"/>
              <w:bottom w:val="single" w:sz="4" w:space="0" w:color="auto"/>
            </w:tcBorders>
          </w:tcPr>
          <w:p w14:paraId="5AB0ADD2"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Field 2</w:t>
            </w:r>
          </w:p>
        </w:tc>
        <w:tc>
          <w:tcPr>
            <w:tcW w:w="0" w:type="auto"/>
            <w:tcBorders>
              <w:top w:val="single" w:sz="4" w:space="0" w:color="auto"/>
              <w:bottom w:val="single" w:sz="4" w:space="0" w:color="auto"/>
            </w:tcBorders>
          </w:tcPr>
          <w:p w14:paraId="47092C8D"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Field 3</w:t>
            </w:r>
          </w:p>
        </w:tc>
      </w:tr>
      <w:tr w:rsidR="00744B66" w:rsidRPr="00744B66" w14:paraId="65725167" w14:textId="77777777" w:rsidTr="00744B66">
        <w:trPr>
          <w:jc w:val="center"/>
        </w:trPr>
        <w:tc>
          <w:tcPr>
            <w:tcW w:w="0" w:type="auto"/>
            <w:tcBorders>
              <w:top w:val="single" w:sz="4" w:space="0" w:color="auto"/>
            </w:tcBorders>
            <w:shd w:val="clear" w:color="auto" w:fill="F2F2F2"/>
          </w:tcPr>
          <w:p w14:paraId="62B7A2B4"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0</w:t>
            </w:r>
          </w:p>
        </w:tc>
        <w:tc>
          <w:tcPr>
            <w:tcW w:w="0" w:type="auto"/>
            <w:tcBorders>
              <w:top w:val="single" w:sz="4" w:space="0" w:color="auto"/>
            </w:tcBorders>
            <w:shd w:val="clear" w:color="auto" w:fill="F2F2F2"/>
          </w:tcPr>
          <w:p w14:paraId="39E9CF19"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50</w:t>
            </w:r>
          </w:p>
        </w:tc>
        <w:tc>
          <w:tcPr>
            <w:tcW w:w="0" w:type="auto"/>
            <w:tcBorders>
              <w:top w:val="single" w:sz="4" w:space="0" w:color="auto"/>
            </w:tcBorders>
            <w:shd w:val="clear" w:color="auto" w:fill="F2F2F2"/>
          </w:tcPr>
          <w:p w14:paraId="59BAC7A6"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30</w:t>
            </w:r>
          </w:p>
        </w:tc>
        <w:tc>
          <w:tcPr>
            <w:tcW w:w="0" w:type="auto"/>
            <w:tcBorders>
              <w:top w:val="single" w:sz="4" w:space="0" w:color="auto"/>
            </w:tcBorders>
            <w:shd w:val="clear" w:color="auto" w:fill="F2F2F2"/>
          </w:tcPr>
          <w:p w14:paraId="6D8A15C6"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20</w:t>
            </w:r>
          </w:p>
        </w:tc>
      </w:tr>
      <w:tr w:rsidR="00744B66" w:rsidRPr="00744B66" w14:paraId="43400EEE" w14:textId="77777777" w:rsidTr="00112D78">
        <w:trPr>
          <w:jc w:val="center"/>
        </w:trPr>
        <w:tc>
          <w:tcPr>
            <w:tcW w:w="0" w:type="auto"/>
          </w:tcPr>
          <w:p w14:paraId="6DA9BBA6"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1</w:t>
            </w:r>
          </w:p>
        </w:tc>
        <w:tc>
          <w:tcPr>
            <w:tcW w:w="0" w:type="auto"/>
          </w:tcPr>
          <w:p w14:paraId="2390CA57"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50</w:t>
            </w:r>
          </w:p>
        </w:tc>
        <w:tc>
          <w:tcPr>
            <w:tcW w:w="0" w:type="auto"/>
          </w:tcPr>
          <w:p w14:paraId="04AF28FA"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30</w:t>
            </w:r>
          </w:p>
        </w:tc>
        <w:tc>
          <w:tcPr>
            <w:tcW w:w="0" w:type="auto"/>
          </w:tcPr>
          <w:p w14:paraId="4EC3A93B"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30</w:t>
            </w:r>
          </w:p>
        </w:tc>
      </w:tr>
      <w:tr w:rsidR="00744B66" w:rsidRPr="00744B66" w14:paraId="627A5EFA" w14:textId="77777777" w:rsidTr="00744B66">
        <w:trPr>
          <w:jc w:val="center"/>
        </w:trPr>
        <w:tc>
          <w:tcPr>
            <w:tcW w:w="0" w:type="auto"/>
            <w:shd w:val="clear" w:color="auto" w:fill="F2F2F2"/>
          </w:tcPr>
          <w:p w14:paraId="0B8999C7"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2</w:t>
            </w:r>
          </w:p>
        </w:tc>
        <w:tc>
          <w:tcPr>
            <w:tcW w:w="0" w:type="auto"/>
            <w:shd w:val="clear" w:color="auto" w:fill="F2F2F2"/>
          </w:tcPr>
          <w:p w14:paraId="38DD2E8D" w14:textId="77777777" w:rsidR="00744B66" w:rsidRPr="00744B66" w:rsidRDefault="00744B66" w:rsidP="00744B66">
            <w:pPr>
              <w:spacing w:line="360" w:lineRule="auto"/>
              <w:jc w:val="center"/>
              <w:rPr>
                <w:rFonts w:ascii="Arial" w:hAnsi="Arial"/>
                <w:sz w:val="22"/>
                <w:szCs w:val="22"/>
              </w:rPr>
            </w:pPr>
          </w:p>
        </w:tc>
        <w:tc>
          <w:tcPr>
            <w:tcW w:w="0" w:type="auto"/>
            <w:shd w:val="clear" w:color="auto" w:fill="F2F2F2"/>
          </w:tcPr>
          <w:p w14:paraId="184FA719"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40</w:t>
            </w:r>
          </w:p>
        </w:tc>
        <w:tc>
          <w:tcPr>
            <w:tcW w:w="0" w:type="auto"/>
            <w:shd w:val="clear" w:color="auto" w:fill="F2F2F2"/>
          </w:tcPr>
          <w:p w14:paraId="42CA35AF"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30</w:t>
            </w:r>
          </w:p>
        </w:tc>
      </w:tr>
      <w:tr w:rsidR="00744B66" w:rsidRPr="00744B66" w14:paraId="08F8CCF3" w14:textId="77777777" w:rsidTr="00112D78">
        <w:trPr>
          <w:jc w:val="center"/>
        </w:trPr>
        <w:tc>
          <w:tcPr>
            <w:tcW w:w="0" w:type="auto"/>
            <w:tcBorders>
              <w:bottom w:val="single" w:sz="4" w:space="0" w:color="auto"/>
            </w:tcBorders>
          </w:tcPr>
          <w:p w14:paraId="0B9A85F3"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3</w:t>
            </w:r>
          </w:p>
        </w:tc>
        <w:tc>
          <w:tcPr>
            <w:tcW w:w="0" w:type="auto"/>
            <w:tcBorders>
              <w:bottom w:val="single" w:sz="4" w:space="0" w:color="auto"/>
            </w:tcBorders>
          </w:tcPr>
          <w:p w14:paraId="421168AF" w14:textId="77777777" w:rsidR="00744B66" w:rsidRPr="00744B66" w:rsidRDefault="00744B66" w:rsidP="00744B66">
            <w:pPr>
              <w:spacing w:line="360" w:lineRule="auto"/>
              <w:jc w:val="center"/>
              <w:rPr>
                <w:rFonts w:ascii="Arial" w:hAnsi="Arial"/>
                <w:sz w:val="22"/>
                <w:szCs w:val="22"/>
              </w:rPr>
            </w:pPr>
          </w:p>
        </w:tc>
        <w:tc>
          <w:tcPr>
            <w:tcW w:w="0" w:type="auto"/>
            <w:tcBorders>
              <w:bottom w:val="single" w:sz="4" w:space="0" w:color="auto"/>
            </w:tcBorders>
          </w:tcPr>
          <w:p w14:paraId="30E9DE43" w14:textId="77777777" w:rsidR="00744B66" w:rsidRPr="00744B66" w:rsidRDefault="00744B66" w:rsidP="00744B66">
            <w:pPr>
              <w:spacing w:line="360" w:lineRule="auto"/>
              <w:jc w:val="center"/>
              <w:rPr>
                <w:rFonts w:ascii="Arial" w:hAnsi="Arial"/>
                <w:sz w:val="22"/>
                <w:szCs w:val="22"/>
              </w:rPr>
            </w:pPr>
          </w:p>
        </w:tc>
        <w:tc>
          <w:tcPr>
            <w:tcW w:w="0" w:type="auto"/>
            <w:tcBorders>
              <w:bottom w:val="single" w:sz="4" w:space="0" w:color="auto"/>
            </w:tcBorders>
          </w:tcPr>
          <w:p w14:paraId="17007E45"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20</w:t>
            </w:r>
          </w:p>
        </w:tc>
      </w:tr>
    </w:tbl>
    <w:p w14:paraId="3699CE54" w14:textId="77777777" w:rsidR="006112E8" w:rsidRDefault="006112E8" w:rsidP="00744B66">
      <w:pPr>
        <w:spacing w:before="120" w:after="120" w:line="360" w:lineRule="auto"/>
        <w:ind w:firstLine="709"/>
        <w:jc w:val="both"/>
        <w:rPr>
          <w:rFonts w:eastAsia="Calibri"/>
          <w:sz w:val="28"/>
          <w:szCs w:val="28"/>
        </w:rPr>
      </w:pPr>
    </w:p>
    <w:p w14:paraId="7ACBC584" w14:textId="76F38A70" w:rsidR="00A25278" w:rsidRPr="00160EE9" w:rsidRDefault="00516371" w:rsidP="00A25278">
      <w:pPr>
        <w:spacing w:before="120" w:after="120" w:line="360" w:lineRule="auto"/>
        <w:ind w:firstLine="720"/>
        <w:jc w:val="both"/>
      </w:pPr>
      <w:r w:rsidRPr="00160EE9">
        <w:t>Figure 1</w:t>
      </w:r>
      <w:r w:rsidR="002972B5">
        <w:t xml:space="preserve"> </w:t>
      </w:r>
      <w:r w:rsidR="009302D3" w:rsidRPr="00160EE9">
        <w:t>presents</w:t>
      </w:r>
      <w:r w:rsidRPr="00160EE9">
        <w:t xml:space="preserve"> the </w:t>
      </w:r>
      <w:r w:rsidR="002972B5">
        <w:t>modelling results</w:t>
      </w:r>
      <w:r w:rsidRPr="00160EE9">
        <w:t xml:space="preserve"> for the small field under </w:t>
      </w:r>
      <w:r w:rsidR="008D7959" w:rsidRPr="00160EE9">
        <w:t xml:space="preserve">different tax arrangements. </w:t>
      </w:r>
      <w:r w:rsidR="009302D3" w:rsidRPr="00160EE9">
        <w:t>Th</w:t>
      </w:r>
      <w:r w:rsidR="00C444AC" w:rsidRPr="00160EE9">
        <w:t xml:space="preserve">e results </w:t>
      </w:r>
      <w:r w:rsidR="002972B5">
        <w:t>indicate</w:t>
      </w:r>
      <w:r w:rsidR="009302D3" w:rsidRPr="00160EE9">
        <w:t xml:space="preserve"> that u</w:t>
      </w:r>
      <w:r w:rsidR="00A25278" w:rsidRPr="00160EE9">
        <w:t xml:space="preserve">nder the permanent system </w:t>
      </w:r>
      <w:r w:rsidR="009302D3" w:rsidRPr="00160EE9">
        <w:t>there is no incentive to delay</w:t>
      </w:r>
      <w:r w:rsidR="00C444AC" w:rsidRPr="00160EE9">
        <w:t xml:space="preserve"> investment. </w:t>
      </w:r>
      <w:r w:rsidR="0025263F" w:rsidRPr="00160EE9">
        <w:t>Notice how</w:t>
      </w:r>
      <w:r w:rsidR="002972B5">
        <w:t xml:space="preserve"> the post-tax</w:t>
      </w:r>
      <w:r w:rsidR="009302D3" w:rsidRPr="00160EE9">
        <w:t xml:space="preserve"> NPV</w:t>
      </w:r>
      <w:r w:rsidR="0025263F" w:rsidRPr="00160EE9">
        <w:t xml:space="preserve"> decreases as start-up is delayed. This is explained by the time value of money</w:t>
      </w:r>
      <w:r w:rsidR="002972B5">
        <w:t>. R</w:t>
      </w:r>
      <w:r w:rsidR="00D37B69" w:rsidRPr="00160EE9">
        <w:t xml:space="preserve">eceiving </w:t>
      </w:r>
      <w:r w:rsidR="002972B5">
        <w:t>early profits is</w:t>
      </w:r>
      <w:r w:rsidR="00D37B69" w:rsidRPr="00160EE9">
        <w:t xml:space="preserve"> more valuable to the operator. </w:t>
      </w:r>
    </w:p>
    <w:p w14:paraId="2F559FD0" w14:textId="6C71B133" w:rsidR="00562FB2" w:rsidRPr="00160EE9" w:rsidRDefault="00A25278" w:rsidP="00562FB2">
      <w:pPr>
        <w:spacing w:before="120" w:after="120" w:line="360" w:lineRule="auto"/>
        <w:ind w:firstLine="720"/>
        <w:jc w:val="both"/>
      </w:pPr>
      <w:r w:rsidRPr="00160EE9">
        <w:t xml:space="preserve">Under EPL 1 </w:t>
      </w:r>
      <w:r w:rsidR="00CB67A3" w:rsidRPr="00160EE9">
        <w:t xml:space="preserve">it made economic sense to </w:t>
      </w:r>
      <w:r w:rsidRPr="00160EE9">
        <w:t xml:space="preserve">delay </w:t>
      </w:r>
      <w:r w:rsidR="00393951" w:rsidRPr="00160EE9">
        <w:t xml:space="preserve">a year or two before 2025 to achieve relief on the capital allowance, </w:t>
      </w:r>
      <w:r w:rsidR="00DE4E65" w:rsidRPr="00160EE9">
        <w:t>without having profits applicable for EPL.</w:t>
      </w:r>
      <w:r w:rsidRPr="00160EE9">
        <w:t xml:space="preserve"> </w:t>
      </w:r>
      <w:r w:rsidR="00C32044" w:rsidRPr="00160EE9">
        <w:t xml:space="preserve"> Under EPL 2, the post-tax NPV of the small field </w:t>
      </w:r>
      <w:r w:rsidR="00B77F90" w:rsidRPr="00160EE9">
        <w:t xml:space="preserve">remains mostly flat for start dates between 2022 and 2024. However, NPV for </w:t>
      </w:r>
      <w:r w:rsidR="00337C00" w:rsidRPr="00160EE9">
        <w:t xml:space="preserve">2025 start is </w:t>
      </w:r>
      <w:r w:rsidR="003E5BA6">
        <w:t xml:space="preserve">slightly </w:t>
      </w:r>
      <w:r w:rsidR="00337C00" w:rsidRPr="00160EE9">
        <w:t>higher which suggests delaying makes economic sense</w:t>
      </w:r>
      <w:r w:rsidR="004C5888" w:rsidRPr="00160EE9">
        <w:t>.</w:t>
      </w:r>
      <w:r w:rsidR="00562FB2" w:rsidRPr="00160EE9">
        <w:t xml:space="preserve"> </w:t>
      </w:r>
      <w:r w:rsidRPr="00160EE9">
        <w:t>Under Labour’s EPL proposal (EPL 3</w:t>
      </w:r>
      <w:r w:rsidR="004C5888" w:rsidRPr="00160EE9">
        <w:t>a</w:t>
      </w:r>
      <w:r w:rsidRPr="00160EE9">
        <w:t>), NPV is significantly lower due to the higher headline rate</w:t>
      </w:r>
      <w:r w:rsidR="00562FB2" w:rsidRPr="00160EE9">
        <w:t xml:space="preserve">, while the NPV profile remains </w:t>
      </w:r>
      <w:proofErr w:type="gramStart"/>
      <w:r w:rsidR="00562FB2" w:rsidRPr="00160EE9">
        <w:t>similar to</w:t>
      </w:r>
      <w:proofErr w:type="gramEnd"/>
      <w:r w:rsidR="00562FB2" w:rsidRPr="00160EE9">
        <w:t xml:space="preserve"> EPL 2. </w:t>
      </w:r>
    </w:p>
    <w:p w14:paraId="3E2CDEC8" w14:textId="4D0B70C6" w:rsidR="00C2743B" w:rsidRPr="00160EE9" w:rsidRDefault="00056085" w:rsidP="000A343E">
      <w:pPr>
        <w:spacing w:before="120" w:after="120" w:line="360" w:lineRule="auto"/>
        <w:ind w:firstLine="720"/>
        <w:jc w:val="both"/>
      </w:pPr>
      <w:r w:rsidRPr="00160EE9">
        <w:t>However, if</w:t>
      </w:r>
      <w:r w:rsidR="004400FC">
        <w:t xml:space="preserve"> we consider EPL 3b, the case where the capital allowance for EPL is,</w:t>
      </w:r>
      <w:r w:rsidRPr="00160EE9">
        <w:t xml:space="preserve"> the impact is quite dramatic. This is because the 38% EPL rate is fully realized with no possibility </w:t>
      </w:r>
      <w:r w:rsidRPr="00160EE9">
        <w:lastRenderedPageBreak/>
        <w:t>to claim relief. Notice how the post-tax NPV is negative for start</w:t>
      </w:r>
      <w:r w:rsidR="002130C0">
        <w:t xml:space="preserve">-up </w:t>
      </w:r>
      <w:r w:rsidRPr="00160EE9">
        <w:t xml:space="preserve">dates between 2022 and 2024. In this case, delaying is required to </w:t>
      </w:r>
      <w:r w:rsidR="00057334" w:rsidRPr="00160EE9">
        <w:t>derive</w:t>
      </w:r>
      <w:r w:rsidRPr="00160EE9">
        <w:t xml:space="preserve"> value from the project</w:t>
      </w:r>
      <w:r w:rsidR="00057334" w:rsidRPr="00160EE9">
        <w:t>, although post-tax NPV is close to cero. In other words, under EPL 3b</w:t>
      </w:r>
      <w:r w:rsidR="000A343E" w:rsidRPr="00160EE9">
        <w:t xml:space="preserve"> the project will become uneconomic and potentially not developed even if </w:t>
      </w:r>
      <w:r w:rsidR="007D42D0">
        <w:t>delayed</w:t>
      </w:r>
      <w:r w:rsidR="000A343E" w:rsidRPr="00160EE9">
        <w:t xml:space="preserve">. </w:t>
      </w:r>
      <w:r w:rsidRPr="00160EE9">
        <w:t xml:space="preserve"> </w:t>
      </w:r>
    </w:p>
    <w:p w14:paraId="328D3680" w14:textId="77777777" w:rsidR="00D606CB" w:rsidRDefault="00D606CB" w:rsidP="00744B66">
      <w:pPr>
        <w:spacing w:before="120" w:after="120" w:line="360" w:lineRule="auto"/>
        <w:ind w:firstLine="720"/>
        <w:jc w:val="both"/>
        <w:rPr>
          <w:rFonts w:eastAsia="Calibri"/>
          <w:sz w:val="28"/>
          <w:szCs w:val="28"/>
        </w:rPr>
      </w:pPr>
    </w:p>
    <w:p w14:paraId="65261266" w14:textId="0C1833DA" w:rsidR="00C2743B" w:rsidRDefault="000A343E" w:rsidP="00761A29">
      <w:pPr>
        <w:pStyle w:val="Caption"/>
      </w:pPr>
      <w:r>
        <w:rPr>
          <w:noProof/>
        </w:rPr>
        <w:drawing>
          <wp:anchor distT="0" distB="0" distL="114300" distR="114300" simplePos="0" relativeHeight="251658240" behindDoc="0" locked="0" layoutInCell="1" allowOverlap="1" wp14:anchorId="0034CC2A" wp14:editId="3D2F1A71">
            <wp:simplePos x="0" y="0"/>
            <wp:positionH relativeFrom="column">
              <wp:posOffset>203835</wp:posOffset>
            </wp:positionH>
            <wp:positionV relativeFrom="paragraph">
              <wp:posOffset>208183</wp:posOffset>
            </wp:positionV>
            <wp:extent cx="5731510" cy="2988945"/>
            <wp:effectExtent l="0" t="0" r="0" b="0"/>
            <wp:wrapTopAndBottom/>
            <wp:docPr id="1285426636"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426636" name="Picture 1" descr="A graph of different colored ba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988945"/>
                    </a:xfrm>
                    <a:prstGeom prst="rect">
                      <a:avLst/>
                    </a:prstGeom>
                    <a:ln>
                      <a:noFill/>
                    </a:ln>
                  </pic:spPr>
                </pic:pic>
              </a:graphicData>
            </a:graphic>
            <wp14:sizeRelH relativeFrom="page">
              <wp14:pctWidth>0</wp14:pctWidth>
            </wp14:sizeRelH>
            <wp14:sizeRelV relativeFrom="page">
              <wp14:pctHeight>0</wp14:pctHeight>
            </wp14:sizeRelV>
          </wp:anchor>
        </w:drawing>
      </w:r>
      <w:r w:rsidR="00D606CB">
        <w:t xml:space="preserve">Figure 1. </w:t>
      </w:r>
    </w:p>
    <w:p w14:paraId="52233F6D" w14:textId="2E556D68" w:rsidR="00E32B8F" w:rsidRDefault="00E32B8F" w:rsidP="003F2000">
      <w:pPr>
        <w:spacing w:before="120" w:after="120" w:line="360" w:lineRule="auto"/>
        <w:jc w:val="both"/>
        <w:rPr>
          <w:rFonts w:eastAsia="Calibri"/>
          <w:sz w:val="28"/>
          <w:szCs w:val="28"/>
        </w:rPr>
      </w:pPr>
    </w:p>
    <w:p w14:paraId="4EEC7855" w14:textId="3FF8D8E9" w:rsidR="00E32B8F" w:rsidRDefault="003F2000" w:rsidP="00160EE9">
      <w:pPr>
        <w:spacing w:before="120" w:after="120" w:line="360" w:lineRule="auto"/>
        <w:ind w:firstLine="720"/>
        <w:jc w:val="both"/>
        <w:rPr>
          <w:rFonts w:eastAsia="Calibri"/>
          <w:sz w:val="28"/>
          <w:szCs w:val="28"/>
        </w:rPr>
      </w:pPr>
      <w:r w:rsidRPr="00160EE9">
        <w:t xml:space="preserve">The </w:t>
      </w:r>
      <w:r w:rsidR="00D606CB" w:rsidRPr="00160EE9">
        <w:t xml:space="preserve">implications for the medium-sized field are </w:t>
      </w:r>
      <w:proofErr w:type="gramStart"/>
      <w:r w:rsidR="00D606CB" w:rsidRPr="00160EE9">
        <w:t>similar to</w:t>
      </w:r>
      <w:proofErr w:type="gramEnd"/>
      <w:r w:rsidR="00D606CB" w:rsidRPr="00160EE9">
        <w:t xml:space="preserve"> the small field as shown in Figure 2. </w:t>
      </w:r>
      <w:r w:rsidR="00230482" w:rsidRPr="00160EE9">
        <w:t xml:space="preserve">Under the permanent system there is no incentive to delay, </w:t>
      </w:r>
      <w:r w:rsidR="004C29F9" w:rsidRPr="00160EE9">
        <w:t xml:space="preserve">but in EPL 2 and EPL 3a delaying is sensible as long as relief is </w:t>
      </w:r>
      <w:proofErr w:type="gramStart"/>
      <w:r w:rsidR="004C29F9" w:rsidRPr="00160EE9">
        <w:t>claimed</w:t>
      </w:r>
      <w:proofErr w:type="gramEnd"/>
      <w:r w:rsidR="004C29F9" w:rsidRPr="00160EE9">
        <w:t xml:space="preserve"> and </w:t>
      </w:r>
      <w:r w:rsidR="00492F38" w:rsidRPr="00160EE9">
        <w:t xml:space="preserve">production is delayed to avoid generating profits that will be taxed under the EPL. </w:t>
      </w:r>
      <w:r w:rsidR="00FA5034" w:rsidRPr="00160EE9">
        <w:t xml:space="preserve">EPL 3b significantly </w:t>
      </w:r>
      <w:r w:rsidR="007D42D0">
        <w:t>reduces</w:t>
      </w:r>
      <w:r w:rsidR="00FA5034" w:rsidRPr="00160EE9">
        <w:t xml:space="preserve"> the value of the field, although compared with the small field it does not turn uneconomic. </w:t>
      </w:r>
      <w:r w:rsidR="00CE6D95" w:rsidRPr="00160EE9">
        <w:t>In EPL 3b</w:t>
      </w:r>
      <w:r w:rsidR="000241FC" w:rsidRPr="00160EE9">
        <w:t xml:space="preserve"> there is a clear incentive to delay as is shown by the increasing NPV as start</w:t>
      </w:r>
      <w:r w:rsidR="00946FD1" w:rsidRPr="00160EE9">
        <w:t>-</w:t>
      </w:r>
      <w:r w:rsidR="000241FC" w:rsidRPr="00160EE9">
        <w:t>up</w:t>
      </w:r>
      <w:r w:rsidR="00946FD1" w:rsidRPr="00160EE9">
        <w:t xml:space="preserve"> date changes</w:t>
      </w:r>
      <w:r w:rsidR="00FA5034" w:rsidRPr="00160EE9">
        <w:t>.</w:t>
      </w:r>
      <w:r w:rsidR="00FA5034">
        <w:rPr>
          <w:rFonts w:eastAsia="Calibri"/>
          <w:sz w:val="28"/>
          <w:szCs w:val="28"/>
        </w:rPr>
        <w:t xml:space="preserve"> </w:t>
      </w:r>
    </w:p>
    <w:p w14:paraId="3C1D2D20" w14:textId="64C65FEE" w:rsidR="00CB7643" w:rsidRDefault="00CB7643" w:rsidP="00CB7643">
      <w:pPr>
        <w:spacing w:before="120" w:after="120" w:line="360" w:lineRule="auto"/>
        <w:ind w:firstLine="720"/>
        <w:jc w:val="both"/>
      </w:pPr>
      <w:r w:rsidRPr="00160EE9">
        <w:t xml:space="preserve">In the large field (see Figure 3) two dynamics occur depending on the EPL case. Under the </w:t>
      </w:r>
      <w:proofErr w:type="spellStart"/>
      <w:r w:rsidRPr="00160EE9">
        <w:t>the</w:t>
      </w:r>
      <w:proofErr w:type="spellEnd"/>
      <w:r w:rsidRPr="00160EE9">
        <w:t xml:space="preserve"> permanent system and EPL 1, there is no incentive to delay investments. This is because the longer lead times make it so that profits will occur after the applicability of the temporary tax. In this case, the operator would want to invest early to claim the additional relief </w:t>
      </w:r>
      <w:r w:rsidR="006D3FE7">
        <w:t xml:space="preserve">in the EPL 1. </w:t>
      </w:r>
    </w:p>
    <w:p w14:paraId="53F73AA5" w14:textId="2D9A86A7" w:rsidR="00E32B8F" w:rsidRDefault="00E32B8F" w:rsidP="00744B66">
      <w:pPr>
        <w:spacing w:before="120" w:after="120" w:line="360" w:lineRule="auto"/>
        <w:ind w:firstLine="720"/>
        <w:jc w:val="both"/>
        <w:rPr>
          <w:rFonts w:eastAsia="Calibri"/>
          <w:sz w:val="28"/>
          <w:szCs w:val="28"/>
        </w:rPr>
      </w:pPr>
    </w:p>
    <w:p w14:paraId="1E331FF0" w14:textId="3BA645D6" w:rsidR="005639C4" w:rsidRDefault="003F2000" w:rsidP="00761A29">
      <w:pPr>
        <w:pStyle w:val="Caption"/>
      </w:pPr>
      <w:r w:rsidRPr="00D606CB">
        <w:rPr>
          <w:noProof/>
        </w:rPr>
        <w:lastRenderedPageBreak/>
        <w:drawing>
          <wp:anchor distT="0" distB="0" distL="114300" distR="114300" simplePos="0" relativeHeight="251659264" behindDoc="0" locked="0" layoutInCell="1" allowOverlap="1" wp14:anchorId="0083D9FB" wp14:editId="182AACD0">
            <wp:simplePos x="0" y="0"/>
            <wp:positionH relativeFrom="column">
              <wp:posOffset>28135</wp:posOffset>
            </wp:positionH>
            <wp:positionV relativeFrom="paragraph">
              <wp:posOffset>309733</wp:posOffset>
            </wp:positionV>
            <wp:extent cx="5731510" cy="2988945"/>
            <wp:effectExtent l="0" t="0" r="0" b="0"/>
            <wp:wrapTopAndBottom/>
            <wp:docPr id="987704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704556"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2988945"/>
                    </a:xfrm>
                    <a:prstGeom prst="rect">
                      <a:avLst/>
                    </a:prstGeom>
                    <a:ln>
                      <a:noFill/>
                    </a:ln>
                  </pic:spPr>
                </pic:pic>
              </a:graphicData>
            </a:graphic>
            <wp14:sizeRelH relativeFrom="page">
              <wp14:pctWidth>0</wp14:pctWidth>
            </wp14:sizeRelH>
            <wp14:sizeRelV relativeFrom="page">
              <wp14:pctHeight>0</wp14:pctHeight>
            </wp14:sizeRelV>
          </wp:anchor>
        </w:drawing>
      </w:r>
      <w:r w:rsidR="00D606CB" w:rsidRPr="00D606CB">
        <w:t>Figure 2</w:t>
      </w:r>
      <w:r w:rsidR="00D606CB">
        <w:t>.</w:t>
      </w:r>
    </w:p>
    <w:p w14:paraId="636581E6" w14:textId="77777777" w:rsidR="00D606CB" w:rsidRPr="00D606CB" w:rsidRDefault="00D606CB" w:rsidP="00D606CB"/>
    <w:p w14:paraId="4C89083C" w14:textId="10550860" w:rsidR="005639C4" w:rsidRDefault="005639C4" w:rsidP="00774861">
      <w:pPr>
        <w:pStyle w:val="Heading2"/>
      </w:pPr>
    </w:p>
    <w:p w14:paraId="4B80D3AE" w14:textId="032B8A27" w:rsidR="003B1DAA" w:rsidRDefault="00DF5B9B" w:rsidP="00761A29">
      <w:pPr>
        <w:spacing w:before="120" w:after="120" w:line="360" w:lineRule="auto"/>
        <w:ind w:firstLine="720"/>
        <w:jc w:val="both"/>
      </w:pPr>
      <w:r w:rsidRPr="00160EE9">
        <w:t>On the other hand, when EPL 2, 3a or 3b is considered, there is a clear</w:t>
      </w:r>
      <w:r w:rsidR="0076531E" w:rsidRPr="00160EE9">
        <w:t xml:space="preserve"> incentive to delay. NPV </w:t>
      </w:r>
      <w:r w:rsidR="006D3FE7">
        <w:t>increases</w:t>
      </w:r>
      <w:r w:rsidR="00FB4425">
        <w:t xml:space="preserve"> with each additional year</w:t>
      </w:r>
      <w:r w:rsidR="0076531E" w:rsidRPr="00160EE9">
        <w:t xml:space="preserve">. </w:t>
      </w:r>
      <w:proofErr w:type="gramStart"/>
      <w:r w:rsidR="00FB4425">
        <w:t>Similar to</w:t>
      </w:r>
      <w:proofErr w:type="gramEnd"/>
      <w:r w:rsidR="00FB4425">
        <w:t xml:space="preserve"> the</w:t>
      </w:r>
      <w:r w:rsidR="0076531E" w:rsidRPr="00160EE9">
        <w:t xml:space="preserve"> small and the medium fields, the operator will want to </w:t>
      </w:r>
      <w:r w:rsidR="002A432C" w:rsidRPr="00160EE9">
        <w:t xml:space="preserve">avoid realizing profits with the higher tax rates. In the same vein, notice how EPL 3b significantly the value of the field. </w:t>
      </w:r>
      <w:r w:rsidR="00EC1A32" w:rsidRPr="00160EE9">
        <w:t xml:space="preserve">For example, </w:t>
      </w:r>
      <w:r w:rsidR="00997038" w:rsidRPr="00160EE9">
        <w:t xml:space="preserve">if </w:t>
      </w:r>
      <w:r w:rsidR="00EC1A32" w:rsidRPr="00160EE9">
        <w:t xml:space="preserve">investment </w:t>
      </w:r>
      <w:r w:rsidR="00997038" w:rsidRPr="00160EE9">
        <w:t>is assumed</w:t>
      </w:r>
      <w:r w:rsidR="00EC1A32" w:rsidRPr="00160EE9">
        <w:t xml:space="preserve"> </w:t>
      </w:r>
      <w:r w:rsidR="00997038" w:rsidRPr="00160EE9">
        <w:t xml:space="preserve">in 2025, </w:t>
      </w:r>
      <w:r w:rsidR="00677954" w:rsidRPr="00160EE9">
        <w:t>post-tax NPV decreases by 40% in EPL 3b compared with EPL</w:t>
      </w:r>
      <w:r w:rsidR="00A42CE6">
        <w:t xml:space="preserve"> 2.</w:t>
      </w:r>
      <w:r w:rsidR="00677954" w:rsidRPr="00160EE9">
        <w:t xml:space="preserve"> </w:t>
      </w:r>
      <w:r w:rsidR="00EC1A32" w:rsidRPr="00160EE9">
        <w:t xml:space="preserve"> </w:t>
      </w:r>
    </w:p>
    <w:p w14:paraId="0E5EC368" w14:textId="0E47CBB9" w:rsidR="003B1DAA" w:rsidRDefault="003B1DAA" w:rsidP="00761A29">
      <w:pPr>
        <w:pStyle w:val="Caption"/>
      </w:pPr>
      <w:r>
        <w:t xml:space="preserve">Figure 3. </w:t>
      </w:r>
    </w:p>
    <w:p w14:paraId="0C47ABE8" w14:textId="26B7E4F9" w:rsidR="003B1DAA" w:rsidRDefault="003B1DAA" w:rsidP="00FA5034">
      <w:r>
        <w:rPr>
          <w:noProof/>
        </w:rPr>
        <w:drawing>
          <wp:inline distT="0" distB="0" distL="0" distR="0" wp14:anchorId="77D7E2B8" wp14:editId="3D594DE1">
            <wp:extent cx="5731510" cy="2988945"/>
            <wp:effectExtent l="0" t="0" r="0" b="0"/>
            <wp:docPr id="2032669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669953" name=""/>
                    <pic:cNvPicPr/>
                  </pic:nvPicPr>
                  <pic:blipFill>
                    <a:blip r:embed="rId13"/>
                    <a:stretch>
                      <a:fillRect/>
                    </a:stretch>
                  </pic:blipFill>
                  <pic:spPr>
                    <a:xfrm>
                      <a:off x="0" y="0"/>
                      <a:ext cx="5731510" cy="2988945"/>
                    </a:xfrm>
                    <a:prstGeom prst="rect">
                      <a:avLst/>
                    </a:prstGeom>
                  </pic:spPr>
                </pic:pic>
              </a:graphicData>
            </a:graphic>
          </wp:inline>
        </w:drawing>
      </w:r>
    </w:p>
    <w:p w14:paraId="0999FA73" w14:textId="6DF1F179" w:rsidR="00444D75" w:rsidRDefault="00FA5034" w:rsidP="00160EE9">
      <w:pPr>
        <w:spacing w:before="120" w:after="120" w:line="360" w:lineRule="auto"/>
        <w:ind w:firstLine="720"/>
        <w:jc w:val="both"/>
      </w:pPr>
      <w:r>
        <w:lastRenderedPageBreak/>
        <w:t xml:space="preserve">Taken together, the results of this section show that operators have an incentive </w:t>
      </w:r>
      <w:r w:rsidR="00A42CE6">
        <w:t>to</w:t>
      </w:r>
      <w:r>
        <w:t xml:space="preserve"> delay investments</w:t>
      </w:r>
      <w:r w:rsidR="00907E89">
        <w:t xml:space="preserve">. This is </w:t>
      </w:r>
      <w:r w:rsidR="00BA369E">
        <w:t>especially</w:t>
      </w:r>
      <w:r w:rsidR="00907E89">
        <w:t xml:space="preserve"> true </w:t>
      </w:r>
      <w:r w:rsidR="00A42CE6">
        <w:t xml:space="preserve">in the </w:t>
      </w:r>
      <w:proofErr w:type="gramStart"/>
      <w:r w:rsidR="00A42CE6">
        <w:t xml:space="preserve">more </w:t>
      </w:r>
      <w:r w:rsidR="00473DEA">
        <w:t>strict</w:t>
      </w:r>
      <w:proofErr w:type="gramEnd"/>
      <w:r w:rsidR="00473DEA">
        <w:t xml:space="preserve"> regime</w:t>
      </w:r>
      <w:r w:rsidR="00907E89">
        <w:t xml:space="preserve"> proposed in EPL </w:t>
      </w:r>
      <w:r w:rsidR="00473DEA">
        <w:t>3b</w:t>
      </w:r>
      <w:r w:rsidR="00907E89">
        <w:t xml:space="preserve">. By removing the investment and capital allowance for EPL, </w:t>
      </w:r>
      <w:r w:rsidR="00B614CA">
        <w:t>operators will be better</w:t>
      </w:r>
      <w:r w:rsidR="00473DEA">
        <w:t>-</w:t>
      </w:r>
      <w:r w:rsidR="00B614CA">
        <w:t>of</w:t>
      </w:r>
      <w:r w:rsidR="00473DEA">
        <w:t>f</w:t>
      </w:r>
      <w:r w:rsidR="00B614CA">
        <w:t xml:space="preserve"> delaying any investment to avoid being taxed at the higher rate</w:t>
      </w:r>
      <w:r w:rsidR="00473DEA">
        <w:t xml:space="preserve"> without t</w:t>
      </w:r>
      <w:r w:rsidR="00A51959">
        <w:t>he possibility to claim relief</w:t>
      </w:r>
      <w:r w:rsidR="00B614CA">
        <w:t>. The impact in small projects is quite dramatic as EPL 3b can even turn the</w:t>
      </w:r>
      <w:r w:rsidR="00ED369E">
        <w:t xml:space="preserve">m </w:t>
      </w:r>
      <w:r w:rsidR="00B614CA">
        <w:t xml:space="preserve">uneconomic. </w:t>
      </w:r>
      <w:r w:rsidR="00444D75">
        <w:t xml:space="preserve">In other words, instead of promoting investment, it will </w:t>
      </w:r>
      <w:r w:rsidR="00ED369E">
        <w:t>curtail</w:t>
      </w:r>
      <w:r w:rsidR="00444D75">
        <w:t xml:space="preserve"> it. </w:t>
      </w:r>
    </w:p>
    <w:p w14:paraId="6DC4FC1F" w14:textId="71E7414F" w:rsidR="005639C4" w:rsidRDefault="00444D75" w:rsidP="00160EE9">
      <w:pPr>
        <w:spacing w:before="120" w:after="120" w:line="360" w:lineRule="auto"/>
        <w:ind w:firstLine="720"/>
        <w:jc w:val="both"/>
      </w:pPr>
      <w:r>
        <w:t xml:space="preserve">The </w:t>
      </w:r>
      <w:r w:rsidR="00ED369E">
        <w:t>stark reduction in</w:t>
      </w:r>
      <w:r>
        <w:t xml:space="preserve"> NPV from EPL 3a or 3b </w:t>
      </w:r>
      <w:r w:rsidR="00ED369E">
        <w:t xml:space="preserve">compared to other </w:t>
      </w:r>
      <w:r w:rsidR="00BA369E">
        <w:t>arrangements</w:t>
      </w:r>
      <w:r w:rsidR="00ED369E">
        <w:t>, even if delaying,</w:t>
      </w:r>
      <w:r>
        <w:t xml:space="preserve"> supports the </w:t>
      </w:r>
      <w:r w:rsidR="00ED369E">
        <w:t xml:space="preserve">claim that UKCS will lack appeal and competitiveness against other basins. The </w:t>
      </w:r>
      <w:r w:rsidR="00BA369E">
        <w:t>continuous</w:t>
      </w:r>
      <w:r w:rsidR="006D4024">
        <w:t xml:space="preserve"> </w:t>
      </w:r>
      <w:r w:rsidR="00ED369E">
        <w:t>changes</w:t>
      </w:r>
      <w:r w:rsidR="006D4024">
        <w:t xml:space="preserve"> to the temporary regimes plus stringent </w:t>
      </w:r>
      <w:r w:rsidR="00ED369E">
        <w:t xml:space="preserve">tax </w:t>
      </w:r>
      <w:r w:rsidR="006D4024">
        <w:t>measures significantly impact project economics</w:t>
      </w:r>
      <w:r w:rsidR="00ED369E">
        <w:t xml:space="preserve">, a condition that will be </w:t>
      </w:r>
      <w:r w:rsidR="006D4024">
        <w:t xml:space="preserve">negatively weighed by </w:t>
      </w:r>
      <w:r w:rsidR="00884BC6">
        <w:t xml:space="preserve">potential </w:t>
      </w:r>
      <w:r w:rsidR="006D4024">
        <w:t xml:space="preserve">investors. </w:t>
      </w:r>
    </w:p>
    <w:p w14:paraId="19F66996" w14:textId="77777777" w:rsidR="00FA5034" w:rsidRPr="00FA5034" w:rsidRDefault="00FA5034" w:rsidP="00FA5034"/>
    <w:p w14:paraId="12511182" w14:textId="4C824B57" w:rsidR="00774861" w:rsidRDefault="00774861" w:rsidP="00774861">
      <w:pPr>
        <w:pStyle w:val="Heading2"/>
      </w:pPr>
      <w:bookmarkStart w:id="8" w:name="_Toc167823399"/>
      <w:r w:rsidRPr="00744B66">
        <w:t>Section 3.</w:t>
      </w:r>
      <w:r w:rsidR="00BA369E">
        <w:t>2</w:t>
      </w:r>
      <w:r w:rsidRPr="00744B66">
        <w:t xml:space="preserve"> </w:t>
      </w:r>
      <w:r w:rsidR="00761A29">
        <w:t xml:space="preserve">Impact of EPL on cash flows under </w:t>
      </w:r>
      <w:r w:rsidR="00777111">
        <w:t>different tax cases arrangements.</w:t>
      </w:r>
      <w:bookmarkEnd w:id="8"/>
      <w:r w:rsidR="00383DC9">
        <w:t xml:space="preserve"> </w:t>
      </w:r>
    </w:p>
    <w:p w14:paraId="73EB6E15" w14:textId="77777777" w:rsidR="00777111" w:rsidRDefault="00777111" w:rsidP="00777111"/>
    <w:p w14:paraId="6F304BED" w14:textId="70893AC9" w:rsidR="00CF7BDA" w:rsidRDefault="00777111" w:rsidP="00B53D56">
      <w:pPr>
        <w:spacing w:before="120" w:after="120" w:line="360" w:lineRule="auto"/>
        <w:ind w:firstLine="720"/>
        <w:jc w:val="both"/>
      </w:pPr>
      <w:r>
        <w:t xml:space="preserve">In this section we </w:t>
      </w:r>
      <w:r w:rsidR="00D40D39">
        <w:t>assess</w:t>
      </w:r>
      <w:r>
        <w:t xml:space="preserve"> </w:t>
      </w:r>
      <w:r w:rsidR="00301B0A">
        <w:t xml:space="preserve">the impact of the one-year extension </w:t>
      </w:r>
      <w:r w:rsidR="0062399A">
        <w:t>of</w:t>
      </w:r>
      <w:r w:rsidR="00301B0A">
        <w:t xml:space="preserve"> the </w:t>
      </w:r>
      <w:r w:rsidR="00DC0FE7">
        <w:t xml:space="preserve">currently applicable </w:t>
      </w:r>
      <w:r w:rsidR="00301B0A">
        <w:t>EPL</w:t>
      </w:r>
      <w:r w:rsidR="00DC0FE7">
        <w:t xml:space="preserve">, and the proposed </w:t>
      </w:r>
      <w:r w:rsidR="0062399A">
        <w:t xml:space="preserve">changes by the Labour party on the cashflows of UKCS investment projects. </w:t>
      </w:r>
      <w:r w:rsidR="00D40D39">
        <w:t>We analyse projects starting up investment in 2024</w:t>
      </w:r>
      <w:r w:rsidR="00B53D56">
        <w:t xml:space="preserve">. We </w:t>
      </w:r>
      <w:r w:rsidR="003B01BA">
        <w:t>present results for the tax case where there is ring fence income available to claim immediate relief</w:t>
      </w:r>
      <w:r w:rsidR="00B53D56">
        <w:t xml:space="preserve">, </w:t>
      </w:r>
      <w:r w:rsidR="00BA369E">
        <w:t>and</w:t>
      </w:r>
      <w:r w:rsidR="00B53D56">
        <w:t xml:space="preserve"> for the case where there is no income available and the RFES applies. </w:t>
      </w:r>
      <w:r w:rsidR="009800B1">
        <w:t>Note that in</w:t>
      </w:r>
      <w:r w:rsidR="009800B1">
        <w:t xml:space="preserve"> the case where there is no other income available, EPL 3a and EPL 3b exhibit the same NPV and cashflows because in both cases the investment allowance is removed, and for both schemes the RFES mechanism applies instead of the capital allowance.</w:t>
      </w:r>
    </w:p>
    <w:p w14:paraId="294B26A7" w14:textId="77777777" w:rsidR="004918C1" w:rsidRDefault="004918C1" w:rsidP="00B53D56">
      <w:pPr>
        <w:spacing w:before="120" w:after="120" w:line="360" w:lineRule="auto"/>
        <w:ind w:firstLine="720"/>
        <w:jc w:val="both"/>
      </w:pPr>
    </w:p>
    <w:p w14:paraId="7D8F639B" w14:textId="5E8661FB" w:rsidR="004918C1" w:rsidRPr="00BF511E" w:rsidRDefault="004918C1" w:rsidP="004918C1">
      <w:pPr>
        <w:pStyle w:val="Caption"/>
        <w:rPr>
          <w:sz w:val="24"/>
          <w:szCs w:val="24"/>
        </w:rPr>
      </w:pPr>
      <w:r w:rsidRPr="00BF511E">
        <w:rPr>
          <w:sz w:val="24"/>
          <w:szCs w:val="24"/>
        </w:rPr>
        <w:t xml:space="preserve">Table </w:t>
      </w:r>
      <w:r>
        <w:rPr>
          <w:sz w:val="24"/>
          <w:szCs w:val="24"/>
        </w:rPr>
        <w:t>5</w:t>
      </w:r>
      <w:r w:rsidRPr="00BF511E">
        <w:rPr>
          <w:sz w:val="24"/>
          <w:szCs w:val="24"/>
        </w:rPr>
        <w:t xml:space="preserve">. </w:t>
      </w:r>
      <w:r w:rsidR="005B6848">
        <w:rPr>
          <w:sz w:val="24"/>
          <w:szCs w:val="24"/>
        </w:rPr>
        <w:t>Post-tax NPV</w:t>
      </w:r>
      <w:r w:rsidRPr="00BF511E">
        <w:rPr>
          <w:sz w:val="24"/>
          <w:szCs w:val="24"/>
        </w:rPr>
        <w:t xml:space="preserve"> of three oil projects under different tax arrangements (Real NPV@10%)</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0"/>
        <w:gridCol w:w="1299"/>
        <w:gridCol w:w="845"/>
        <w:gridCol w:w="845"/>
        <w:gridCol w:w="845"/>
        <w:gridCol w:w="672"/>
        <w:gridCol w:w="1300"/>
        <w:gridCol w:w="845"/>
        <w:gridCol w:w="673"/>
        <w:gridCol w:w="672"/>
      </w:tblGrid>
      <w:tr w:rsidR="002F5D09" w:rsidRPr="002F5D09" w14:paraId="7C1627F5" w14:textId="77777777" w:rsidTr="002F5D09">
        <w:trPr>
          <w:jc w:val="center"/>
        </w:trPr>
        <w:tc>
          <w:tcPr>
            <w:tcW w:w="571" w:type="pct"/>
            <w:tcBorders>
              <w:top w:val="single" w:sz="4" w:space="0" w:color="auto"/>
            </w:tcBorders>
            <w:vAlign w:val="center"/>
          </w:tcPr>
          <w:p w14:paraId="4E18E9E6" w14:textId="50709EE3" w:rsidR="002F5D09" w:rsidRPr="002F5D09" w:rsidRDefault="002F5D09" w:rsidP="002F5D09">
            <w:pPr>
              <w:jc w:val="center"/>
              <w:rPr>
                <w:b/>
                <w:bCs/>
                <w:sz w:val="22"/>
                <w:szCs w:val="22"/>
              </w:rPr>
            </w:pPr>
          </w:p>
        </w:tc>
        <w:tc>
          <w:tcPr>
            <w:tcW w:w="2496" w:type="pct"/>
            <w:gridSpan w:val="5"/>
            <w:tcBorders>
              <w:top w:val="single" w:sz="4" w:space="0" w:color="auto"/>
            </w:tcBorders>
            <w:vAlign w:val="center"/>
          </w:tcPr>
          <w:p w14:paraId="3F646FA7" w14:textId="3D05826B" w:rsidR="002F5D09" w:rsidRPr="002F5D09" w:rsidRDefault="002F5D09" w:rsidP="002F5D09">
            <w:pPr>
              <w:jc w:val="center"/>
              <w:rPr>
                <w:b/>
                <w:bCs/>
                <w:sz w:val="22"/>
                <w:szCs w:val="22"/>
              </w:rPr>
            </w:pPr>
            <w:r>
              <w:rPr>
                <w:b/>
                <w:bCs/>
                <w:sz w:val="22"/>
                <w:szCs w:val="22"/>
              </w:rPr>
              <w:t>Tax case – other income</w:t>
            </w:r>
          </w:p>
        </w:tc>
        <w:tc>
          <w:tcPr>
            <w:tcW w:w="1933" w:type="pct"/>
            <w:gridSpan w:val="4"/>
            <w:tcBorders>
              <w:top w:val="single" w:sz="4" w:space="0" w:color="auto"/>
            </w:tcBorders>
            <w:vAlign w:val="center"/>
          </w:tcPr>
          <w:p w14:paraId="2956A574" w14:textId="04651375" w:rsidR="002F5D09" w:rsidRPr="002F5D09" w:rsidRDefault="002F5D09" w:rsidP="002F5D09">
            <w:pPr>
              <w:jc w:val="center"/>
              <w:rPr>
                <w:b/>
                <w:bCs/>
                <w:sz w:val="22"/>
                <w:szCs w:val="22"/>
              </w:rPr>
            </w:pPr>
            <w:r>
              <w:rPr>
                <w:b/>
                <w:bCs/>
                <w:sz w:val="22"/>
                <w:szCs w:val="22"/>
              </w:rPr>
              <w:t xml:space="preserve">Tax case </w:t>
            </w:r>
            <w:proofErr w:type="gramStart"/>
            <w:r>
              <w:rPr>
                <w:b/>
                <w:bCs/>
                <w:sz w:val="22"/>
                <w:szCs w:val="22"/>
              </w:rPr>
              <w:t>-  no</w:t>
            </w:r>
            <w:proofErr w:type="gramEnd"/>
            <w:r>
              <w:rPr>
                <w:b/>
                <w:bCs/>
                <w:sz w:val="22"/>
                <w:szCs w:val="22"/>
              </w:rPr>
              <w:t xml:space="preserve"> other income</w:t>
            </w:r>
          </w:p>
        </w:tc>
      </w:tr>
      <w:tr w:rsidR="002F5D09" w:rsidRPr="002F5D09" w14:paraId="15C9F2DF" w14:textId="77777777" w:rsidTr="002F5D09">
        <w:trPr>
          <w:jc w:val="center"/>
        </w:trPr>
        <w:tc>
          <w:tcPr>
            <w:tcW w:w="571" w:type="pct"/>
            <w:tcBorders>
              <w:bottom w:val="single" w:sz="4" w:space="0" w:color="auto"/>
            </w:tcBorders>
            <w:vAlign w:val="center"/>
          </w:tcPr>
          <w:p w14:paraId="1BAB2617" w14:textId="10D4DD9E" w:rsidR="004918C1" w:rsidRPr="002F5D09" w:rsidRDefault="002F5D09" w:rsidP="002F5D09">
            <w:pPr>
              <w:jc w:val="center"/>
              <w:rPr>
                <w:b/>
                <w:bCs/>
                <w:sz w:val="22"/>
                <w:szCs w:val="22"/>
              </w:rPr>
            </w:pPr>
            <w:r w:rsidRPr="002F5D09">
              <w:rPr>
                <w:b/>
                <w:bCs/>
                <w:sz w:val="22"/>
                <w:szCs w:val="22"/>
              </w:rPr>
              <w:t>Field</w:t>
            </w:r>
          </w:p>
        </w:tc>
        <w:tc>
          <w:tcPr>
            <w:tcW w:w="720" w:type="pct"/>
            <w:tcBorders>
              <w:bottom w:val="single" w:sz="4" w:space="0" w:color="auto"/>
            </w:tcBorders>
            <w:vAlign w:val="center"/>
          </w:tcPr>
          <w:p w14:paraId="0FE111F5" w14:textId="75E42DF4" w:rsidR="004918C1" w:rsidRPr="002F5D09" w:rsidRDefault="004918C1" w:rsidP="002F5D09">
            <w:pPr>
              <w:jc w:val="center"/>
              <w:rPr>
                <w:b/>
                <w:bCs/>
                <w:sz w:val="22"/>
                <w:szCs w:val="22"/>
              </w:rPr>
            </w:pPr>
            <w:r w:rsidRPr="002F5D09">
              <w:rPr>
                <w:b/>
                <w:bCs/>
                <w:sz w:val="22"/>
                <w:szCs w:val="22"/>
              </w:rPr>
              <w:t>Permanent</w:t>
            </w:r>
          </w:p>
        </w:tc>
        <w:tc>
          <w:tcPr>
            <w:tcW w:w="468" w:type="pct"/>
            <w:tcBorders>
              <w:bottom w:val="single" w:sz="4" w:space="0" w:color="auto"/>
            </w:tcBorders>
            <w:vAlign w:val="center"/>
          </w:tcPr>
          <w:p w14:paraId="487A9010" w14:textId="77777777" w:rsidR="004918C1" w:rsidRPr="002F5D09" w:rsidRDefault="004918C1" w:rsidP="002F5D09">
            <w:pPr>
              <w:jc w:val="center"/>
              <w:rPr>
                <w:b/>
                <w:bCs/>
                <w:sz w:val="22"/>
                <w:szCs w:val="22"/>
              </w:rPr>
            </w:pPr>
            <w:r w:rsidRPr="002F5D09">
              <w:rPr>
                <w:b/>
                <w:bCs/>
                <w:sz w:val="22"/>
                <w:szCs w:val="22"/>
              </w:rPr>
              <w:t>EPL 1</w:t>
            </w:r>
          </w:p>
        </w:tc>
        <w:tc>
          <w:tcPr>
            <w:tcW w:w="468" w:type="pct"/>
            <w:tcBorders>
              <w:bottom w:val="single" w:sz="4" w:space="0" w:color="auto"/>
            </w:tcBorders>
            <w:vAlign w:val="center"/>
          </w:tcPr>
          <w:p w14:paraId="20F58829" w14:textId="77777777" w:rsidR="004918C1" w:rsidRPr="002F5D09" w:rsidRDefault="004918C1" w:rsidP="002F5D09">
            <w:pPr>
              <w:jc w:val="center"/>
              <w:rPr>
                <w:b/>
                <w:bCs/>
                <w:sz w:val="22"/>
                <w:szCs w:val="22"/>
              </w:rPr>
            </w:pPr>
            <w:r w:rsidRPr="002F5D09">
              <w:rPr>
                <w:b/>
                <w:bCs/>
                <w:sz w:val="22"/>
                <w:szCs w:val="22"/>
              </w:rPr>
              <w:t>EPL 2</w:t>
            </w:r>
          </w:p>
        </w:tc>
        <w:tc>
          <w:tcPr>
            <w:tcW w:w="468" w:type="pct"/>
            <w:tcBorders>
              <w:bottom w:val="single" w:sz="4" w:space="0" w:color="auto"/>
            </w:tcBorders>
            <w:vAlign w:val="center"/>
          </w:tcPr>
          <w:p w14:paraId="06755847" w14:textId="77777777" w:rsidR="004918C1" w:rsidRPr="002F5D09" w:rsidRDefault="004918C1" w:rsidP="002F5D09">
            <w:pPr>
              <w:jc w:val="center"/>
              <w:rPr>
                <w:b/>
                <w:bCs/>
                <w:sz w:val="22"/>
                <w:szCs w:val="22"/>
              </w:rPr>
            </w:pPr>
            <w:r w:rsidRPr="002F5D09">
              <w:rPr>
                <w:b/>
                <w:bCs/>
                <w:sz w:val="22"/>
                <w:szCs w:val="22"/>
              </w:rPr>
              <w:t>EPL 3a</w:t>
            </w:r>
          </w:p>
        </w:tc>
        <w:tc>
          <w:tcPr>
            <w:tcW w:w="372" w:type="pct"/>
            <w:tcBorders>
              <w:bottom w:val="single" w:sz="4" w:space="0" w:color="auto"/>
            </w:tcBorders>
            <w:vAlign w:val="center"/>
          </w:tcPr>
          <w:p w14:paraId="5EC844ED" w14:textId="20BD913F" w:rsidR="004918C1" w:rsidRPr="002F5D09" w:rsidRDefault="004918C1" w:rsidP="002F5D09">
            <w:pPr>
              <w:jc w:val="center"/>
              <w:rPr>
                <w:b/>
                <w:bCs/>
                <w:sz w:val="22"/>
                <w:szCs w:val="22"/>
              </w:rPr>
            </w:pPr>
            <w:r w:rsidRPr="002F5D09">
              <w:rPr>
                <w:b/>
                <w:bCs/>
                <w:sz w:val="22"/>
                <w:szCs w:val="22"/>
              </w:rPr>
              <w:t>EPL 3</w:t>
            </w:r>
            <w:r w:rsidR="000E30ED">
              <w:rPr>
                <w:b/>
                <w:bCs/>
                <w:sz w:val="22"/>
                <w:szCs w:val="22"/>
              </w:rPr>
              <w:t>b</w:t>
            </w:r>
          </w:p>
        </w:tc>
        <w:tc>
          <w:tcPr>
            <w:tcW w:w="720" w:type="pct"/>
            <w:tcBorders>
              <w:bottom w:val="single" w:sz="4" w:space="0" w:color="auto"/>
            </w:tcBorders>
            <w:vAlign w:val="center"/>
          </w:tcPr>
          <w:p w14:paraId="44092D96" w14:textId="4DC3CDE5" w:rsidR="004918C1" w:rsidRPr="002F5D09" w:rsidRDefault="004918C1" w:rsidP="002F5D09">
            <w:pPr>
              <w:jc w:val="center"/>
              <w:rPr>
                <w:b/>
                <w:bCs/>
                <w:sz w:val="22"/>
                <w:szCs w:val="22"/>
              </w:rPr>
            </w:pPr>
            <w:r w:rsidRPr="002F5D09">
              <w:rPr>
                <w:b/>
                <w:bCs/>
                <w:sz w:val="22"/>
                <w:szCs w:val="22"/>
              </w:rPr>
              <w:t>Permanent</w:t>
            </w:r>
          </w:p>
        </w:tc>
        <w:tc>
          <w:tcPr>
            <w:tcW w:w="468" w:type="pct"/>
            <w:tcBorders>
              <w:bottom w:val="single" w:sz="4" w:space="0" w:color="auto"/>
            </w:tcBorders>
            <w:vAlign w:val="center"/>
          </w:tcPr>
          <w:p w14:paraId="2F26A624" w14:textId="77777777" w:rsidR="004918C1" w:rsidRPr="002F5D09" w:rsidRDefault="004918C1" w:rsidP="002F5D09">
            <w:pPr>
              <w:jc w:val="center"/>
              <w:rPr>
                <w:b/>
                <w:bCs/>
                <w:sz w:val="22"/>
                <w:szCs w:val="22"/>
              </w:rPr>
            </w:pPr>
            <w:r w:rsidRPr="002F5D09">
              <w:rPr>
                <w:b/>
                <w:bCs/>
                <w:sz w:val="22"/>
                <w:szCs w:val="22"/>
              </w:rPr>
              <w:t>EPL 1</w:t>
            </w:r>
          </w:p>
        </w:tc>
        <w:tc>
          <w:tcPr>
            <w:tcW w:w="373" w:type="pct"/>
            <w:tcBorders>
              <w:bottom w:val="single" w:sz="4" w:space="0" w:color="auto"/>
            </w:tcBorders>
            <w:vAlign w:val="center"/>
          </w:tcPr>
          <w:p w14:paraId="78C073F6" w14:textId="77777777" w:rsidR="004918C1" w:rsidRPr="002F5D09" w:rsidRDefault="004918C1" w:rsidP="002F5D09">
            <w:pPr>
              <w:jc w:val="center"/>
              <w:rPr>
                <w:b/>
                <w:bCs/>
                <w:sz w:val="22"/>
                <w:szCs w:val="22"/>
              </w:rPr>
            </w:pPr>
            <w:r w:rsidRPr="002F5D09">
              <w:rPr>
                <w:b/>
                <w:bCs/>
                <w:sz w:val="22"/>
                <w:szCs w:val="22"/>
              </w:rPr>
              <w:t>EPL 2</w:t>
            </w:r>
          </w:p>
        </w:tc>
        <w:tc>
          <w:tcPr>
            <w:tcW w:w="372" w:type="pct"/>
            <w:tcBorders>
              <w:bottom w:val="single" w:sz="4" w:space="0" w:color="auto"/>
            </w:tcBorders>
            <w:vAlign w:val="center"/>
          </w:tcPr>
          <w:p w14:paraId="0A2DB01D" w14:textId="3B2BAC71" w:rsidR="004918C1" w:rsidRPr="002F5D09" w:rsidRDefault="004918C1" w:rsidP="002F5D09">
            <w:pPr>
              <w:jc w:val="center"/>
              <w:rPr>
                <w:b/>
                <w:bCs/>
                <w:sz w:val="22"/>
                <w:szCs w:val="22"/>
              </w:rPr>
            </w:pPr>
            <w:r w:rsidRPr="002F5D09">
              <w:rPr>
                <w:b/>
                <w:bCs/>
                <w:sz w:val="22"/>
                <w:szCs w:val="22"/>
              </w:rPr>
              <w:t>EPL 3a</w:t>
            </w:r>
            <w:r w:rsidR="002F5D09">
              <w:rPr>
                <w:b/>
                <w:bCs/>
                <w:sz w:val="22"/>
                <w:szCs w:val="22"/>
                <w:lang w:val="es-ES_tradnl"/>
              </w:rPr>
              <w:t>/b</w:t>
            </w:r>
            <w:r w:rsidRPr="002F5D09">
              <w:rPr>
                <w:b/>
                <w:bCs/>
                <w:sz w:val="22"/>
                <w:szCs w:val="22"/>
              </w:rPr>
              <w:t xml:space="preserve"> </w:t>
            </w:r>
          </w:p>
        </w:tc>
      </w:tr>
      <w:tr w:rsidR="004B6375" w:rsidRPr="004B6375" w14:paraId="467BEDE0" w14:textId="77777777" w:rsidTr="002F5D09">
        <w:trPr>
          <w:jc w:val="center"/>
        </w:trPr>
        <w:tc>
          <w:tcPr>
            <w:tcW w:w="571" w:type="pct"/>
            <w:tcBorders>
              <w:top w:val="single" w:sz="4" w:space="0" w:color="auto"/>
            </w:tcBorders>
            <w:shd w:val="clear" w:color="auto" w:fill="F2F2F2" w:themeFill="background1" w:themeFillShade="F2"/>
            <w:vAlign w:val="center"/>
          </w:tcPr>
          <w:p w14:paraId="7F772089" w14:textId="3B403F28" w:rsidR="004918C1" w:rsidRPr="00182468" w:rsidRDefault="002F5D09" w:rsidP="001608F5">
            <w:r>
              <w:t>Small</w:t>
            </w:r>
          </w:p>
        </w:tc>
        <w:tc>
          <w:tcPr>
            <w:tcW w:w="720" w:type="pct"/>
            <w:tcBorders>
              <w:top w:val="single" w:sz="4" w:space="0" w:color="auto"/>
            </w:tcBorders>
            <w:shd w:val="clear" w:color="auto" w:fill="F2F2F2" w:themeFill="background1" w:themeFillShade="F2"/>
            <w:vAlign w:val="center"/>
          </w:tcPr>
          <w:p w14:paraId="18282B92" w14:textId="77777777" w:rsidR="004918C1" w:rsidRPr="004B6375" w:rsidRDefault="004918C1" w:rsidP="001608F5">
            <w:pPr>
              <w:jc w:val="center"/>
              <w:rPr>
                <w:sz w:val="22"/>
                <w:szCs w:val="22"/>
              </w:rPr>
            </w:pPr>
            <w:r w:rsidRPr="004B6375">
              <w:rPr>
                <w:sz w:val="22"/>
                <w:szCs w:val="22"/>
              </w:rPr>
              <w:t>£116</w:t>
            </w:r>
          </w:p>
        </w:tc>
        <w:tc>
          <w:tcPr>
            <w:tcW w:w="468" w:type="pct"/>
            <w:tcBorders>
              <w:top w:val="single" w:sz="4" w:space="0" w:color="auto"/>
            </w:tcBorders>
            <w:shd w:val="clear" w:color="auto" w:fill="F2F2F2" w:themeFill="background1" w:themeFillShade="F2"/>
            <w:vAlign w:val="center"/>
          </w:tcPr>
          <w:p w14:paraId="581C46FF" w14:textId="77777777" w:rsidR="004918C1" w:rsidRPr="004B6375" w:rsidRDefault="004918C1" w:rsidP="001608F5">
            <w:pPr>
              <w:jc w:val="center"/>
              <w:rPr>
                <w:sz w:val="22"/>
                <w:szCs w:val="22"/>
              </w:rPr>
            </w:pPr>
            <w:r w:rsidRPr="004B6375">
              <w:rPr>
                <w:sz w:val="22"/>
                <w:szCs w:val="22"/>
              </w:rPr>
              <w:t>£185</w:t>
            </w:r>
          </w:p>
        </w:tc>
        <w:tc>
          <w:tcPr>
            <w:tcW w:w="468" w:type="pct"/>
            <w:tcBorders>
              <w:top w:val="single" w:sz="4" w:space="0" w:color="auto"/>
            </w:tcBorders>
            <w:shd w:val="clear" w:color="auto" w:fill="F2F2F2" w:themeFill="background1" w:themeFillShade="F2"/>
            <w:vAlign w:val="center"/>
          </w:tcPr>
          <w:p w14:paraId="4FDC7F00" w14:textId="72F73D2D" w:rsidR="004918C1" w:rsidRPr="004B6375" w:rsidRDefault="004918C1" w:rsidP="001608F5">
            <w:pPr>
              <w:jc w:val="center"/>
              <w:rPr>
                <w:sz w:val="22"/>
                <w:szCs w:val="22"/>
              </w:rPr>
            </w:pPr>
            <w:r w:rsidRPr="004B6375">
              <w:rPr>
                <w:sz w:val="22"/>
                <w:szCs w:val="22"/>
              </w:rPr>
              <w:t>£8</w:t>
            </w:r>
            <w:r w:rsidR="00CA0113">
              <w:rPr>
                <w:sz w:val="22"/>
                <w:szCs w:val="22"/>
              </w:rPr>
              <w:t>5</w:t>
            </w:r>
          </w:p>
        </w:tc>
        <w:tc>
          <w:tcPr>
            <w:tcW w:w="468" w:type="pct"/>
            <w:tcBorders>
              <w:top w:val="single" w:sz="4" w:space="0" w:color="auto"/>
            </w:tcBorders>
            <w:shd w:val="clear" w:color="auto" w:fill="F2F2F2" w:themeFill="background1" w:themeFillShade="F2"/>
            <w:vAlign w:val="center"/>
          </w:tcPr>
          <w:p w14:paraId="5900FF16" w14:textId="77777777" w:rsidR="004918C1" w:rsidRPr="004B6375" w:rsidRDefault="004918C1" w:rsidP="001608F5">
            <w:pPr>
              <w:jc w:val="center"/>
              <w:rPr>
                <w:sz w:val="22"/>
                <w:szCs w:val="22"/>
              </w:rPr>
            </w:pPr>
            <w:r w:rsidRPr="004B6375">
              <w:rPr>
                <w:sz w:val="22"/>
                <w:szCs w:val="22"/>
              </w:rPr>
              <w:t>£55</w:t>
            </w:r>
          </w:p>
        </w:tc>
        <w:tc>
          <w:tcPr>
            <w:tcW w:w="372" w:type="pct"/>
            <w:tcBorders>
              <w:top w:val="single" w:sz="4" w:space="0" w:color="auto"/>
            </w:tcBorders>
            <w:shd w:val="clear" w:color="auto" w:fill="F2F2F2" w:themeFill="background1" w:themeFillShade="F2"/>
          </w:tcPr>
          <w:p w14:paraId="1646D1E7" w14:textId="77777777" w:rsidR="004918C1" w:rsidRPr="004B6375" w:rsidRDefault="004918C1" w:rsidP="001608F5">
            <w:pPr>
              <w:jc w:val="center"/>
              <w:rPr>
                <w:sz w:val="22"/>
                <w:szCs w:val="22"/>
              </w:rPr>
            </w:pPr>
            <w:r w:rsidRPr="004B6375">
              <w:rPr>
                <w:sz w:val="22"/>
                <w:szCs w:val="22"/>
              </w:rPr>
              <w:t>-£3</w:t>
            </w:r>
          </w:p>
        </w:tc>
        <w:tc>
          <w:tcPr>
            <w:tcW w:w="720" w:type="pct"/>
            <w:tcBorders>
              <w:top w:val="single" w:sz="4" w:space="0" w:color="auto"/>
            </w:tcBorders>
            <w:shd w:val="clear" w:color="auto" w:fill="F2F2F2" w:themeFill="background1" w:themeFillShade="F2"/>
            <w:vAlign w:val="center"/>
          </w:tcPr>
          <w:p w14:paraId="35EF3567" w14:textId="77777777" w:rsidR="004918C1" w:rsidRPr="004B6375" w:rsidRDefault="004918C1" w:rsidP="001608F5">
            <w:pPr>
              <w:jc w:val="center"/>
              <w:rPr>
                <w:sz w:val="22"/>
                <w:szCs w:val="22"/>
              </w:rPr>
            </w:pPr>
            <w:r w:rsidRPr="004B6375">
              <w:rPr>
                <w:sz w:val="22"/>
                <w:szCs w:val="22"/>
              </w:rPr>
              <w:t>£106</w:t>
            </w:r>
          </w:p>
        </w:tc>
        <w:tc>
          <w:tcPr>
            <w:tcW w:w="468" w:type="pct"/>
            <w:tcBorders>
              <w:top w:val="single" w:sz="4" w:space="0" w:color="auto"/>
            </w:tcBorders>
            <w:shd w:val="clear" w:color="auto" w:fill="F2F2F2" w:themeFill="background1" w:themeFillShade="F2"/>
            <w:vAlign w:val="center"/>
          </w:tcPr>
          <w:p w14:paraId="34E089E2" w14:textId="77777777" w:rsidR="004918C1" w:rsidRPr="004B6375" w:rsidRDefault="004918C1" w:rsidP="001608F5">
            <w:pPr>
              <w:jc w:val="center"/>
              <w:rPr>
                <w:sz w:val="22"/>
                <w:szCs w:val="22"/>
              </w:rPr>
            </w:pPr>
            <w:r w:rsidRPr="004B6375">
              <w:rPr>
                <w:sz w:val="22"/>
                <w:szCs w:val="22"/>
              </w:rPr>
              <w:t>£136</w:t>
            </w:r>
          </w:p>
        </w:tc>
        <w:tc>
          <w:tcPr>
            <w:tcW w:w="373" w:type="pct"/>
            <w:tcBorders>
              <w:top w:val="single" w:sz="4" w:space="0" w:color="auto"/>
            </w:tcBorders>
            <w:shd w:val="clear" w:color="auto" w:fill="F2F2F2" w:themeFill="background1" w:themeFillShade="F2"/>
            <w:vAlign w:val="center"/>
          </w:tcPr>
          <w:p w14:paraId="2516784C" w14:textId="77777777" w:rsidR="004918C1" w:rsidRPr="004B6375" w:rsidRDefault="004918C1" w:rsidP="001608F5">
            <w:pPr>
              <w:jc w:val="center"/>
              <w:rPr>
                <w:sz w:val="22"/>
                <w:szCs w:val="22"/>
              </w:rPr>
            </w:pPr>
            <w:r w:rsidRPr="004B6375">
              <w:rPr>
                <w:sz w:val="22"/>
                <w:szCs w:val="22"/>
              </w:rPr>
              <w:t>-£2</w:t>
            </w:r>
          </w:p>
        </w:tc>
        <w:tc>
          <w:tcPr>
            <w:tcW w:w="372" w:type="pct"/>
            <w:tcBorders>
              <w:top w:val="single" w:sz="4" w:space="0" w:color="auto"/>
            </w:tcBorders>
            <w:shd w:val="clear" w:color="auto" w:fill="F2F2F2" w:themeFill="background1" w:themeFillShade="F2"/>
          </w:tcPr>
          <w:p w14:paraId="6A11C33D" w14:textId="77777777" w:rsidR="004918C1" w:rsidRPr="004B6375" w:rsidRDefault="004918C1" w:rsidP="001608F5">
            <w:pPr>
              <w:jc w:val="center"/>
              <w:rPr>
                <w:sz w:val="22"/>
                <w:szCs w:val="22"/>
              </w:rPr>
            </w:pPr>
            <w:r w:rsidRPr="004B6375">
              <w:rPr>
                <w:sz w:val="22"/>
                <w:szCs w:val="22"/>
              </w:rPr>
              <w:t>-£14</w:t>
            </w:r>
          </w:p>
        </w:tc>
      </w:tr>
      <w:tr w:rsidR="002F5D09" w:rsidRPr="004B6375" w14:paraId="2C3811AF" w14:textId="77777777" w:rsidTr="002F5D09">
        <w:trPr>
          <w:jc w:val="center"/>
        </w:trPr>
        <w:tc>
          <w:tcPr>
            <w:tcW w:w="571" w:type="pct"/>
            <w:vAlign w:val="center"/>
          </w:tcPr>
          <w:p w14:paraId="1B6187BD" w14:textId="3AF7E2AA" w:rsidR="004918C1" w:rsidRPr="00182468" w:rsidRDefault="002F5D09" w:rsidP="001608F5">
            <w:r>
              <w:t>Medium</w:t>
            </w:r>
          </w:p>
        </w:tc>
        <w:tc>
          <w:tcPr>
            <w:tcW w:w="720" w:type="pct"/>
            <w:vAlign w:val="center"/>
          </w:tcPr>
          <w:p w14:paraId="07A11D94" w14:textId="77777777" w:rsidR="004918C1" w:rsidRPr="004B6375" w:rsidRDefault="004918C1" w:rsidP="001608F5">
            <w:pPr>
              <w:jc w:val="center"/>
              <w:rPr>
                <w:sz w:val="22"/>
                <w:szCs w:val="22"/>
              </w:rPr>
            </w:pPr>
            <w:r w:rsidRPr="004B6375">
              <w:rPr>
                <w:sz w:val="22"/>
                <w:szCs w:val="22"/>
              </w:rPr>
              <w:t>£785</w:t>
            </w:r>
          </w:p>
        </w:tc>
        <w:tc>
          <w:tcPr>
            <w:tcW w:w="468" w:type="pct"/>
            <w:vAlign w:val="center"/>
          </w:tcPr>
          <w:p w14:paraId="4AF867EB" w14:textId="77777777" w:rsidR="004918C1" w:rsidRPr="004B6375" w:rsidRDefault="004918C1" w:rsidP="001608F5">
            <w:pPr>
              <w:jc w:val="center"/>
              <w:rPr>
                <w:sz w:val="22"/>
                <w:szCs w:val="22"/>
              </w:rPr>
            </w:pPr>
            <w:r w:rsidRPr="004B6375">
              <w:rPr>
                <w:sz w:val="22"/>
                <w:szCs w:val="22"/>
              </w:rPr>
              <w:t>£927</w:t>
            </w:r>
          </w:p>
        </w:tc>
        <w:tc>
          <w:tcPr>
            <w:tcW w:w="468" w:type="pct"/>
            <w:vAlign w:val="center"/>
          </w:tcPr>
          <w:p w14:paraId="36B78235" w14:textId="77777777" w:rsidR="004918C1" w:rsidRPr="004B6375" w:rsidRDefault="004918C1" w:rsidP="001608F5">
            <w:pPr>
              <w:jc w:val="center"/>
              <w:rPr>
                <w:sz w:val="22"/>
                <w:szCs w:val="22"/>
              </w:rPr>
            </w:pPr>
            <w:r w:rsidRPr="004B6375">
              <w:rPr>
                <w:sz w:val="22"/>
                <w:szCs w:val="22"/>
              </w:rPr>
              <w:t>£698</w:t>
            </w:r>
          </w:p>
        </w:tc>
        <w:tc>
          <w:tcPr>
            <w:tcW w:w="468" w:type="pct"/>
            <w:vAlign w:val="center"/>
          </w:tcPr>
          <w:p w14:paraId="390AEAF2" w14:textId="77777777" w:rsidR="004918C1" w:rsidRPr="004B6375" w:rsidRDefault="004918C1" w:rsidP="001608F5">
            <w:pPr>
              <w:jc w:val="center"/>
              <w:rPr>
                <w:sz w:val="22"/>
                <w:szCs w:val="22"/>
              </w:rPr>
            </w:pPr>
            <w:r w:rsidRPr="004B6375">
              <w:rPr>
                <w:sz w:val="22"/>
                <w:szCs w:val="22"/>
              </w:rPr>
              <w:t>£553</w:t>
            </w:r>
          </w:p>
        </w:tc>
        <w:tc>
          <w:tcPr>
            <w:tcW w:w="372" w:type="pct"/>
          </w:tcPr>
          <w:p w14:paraId="72E40886" w14:textId="77777777" w:rsidR="004918C1" w:rsidRPr="004B6375" w:rsidRDefault="004918C1" w:rsidP="001608F5">
            <w:pPr>
              <w:jc w:val="center"/>
              <w:rPr>
                <w:sz w:val="22"/>
                <w:szCs w:val="22"/>
              </w:rPr>
            </w:pPr>
            <w:r w:rsidRPr="004B6375">
              <w:rPr>
                <w:sz w:val="22"/>
                <w:szCs w:val="22"/>
              </w:rPr>
              <w:t>£365</w:t>
            </w:r>
          </w:p>
        </w:tc>
        <w:tc>
          <w:tcPr>
            <w:tcW w:w="720" w:type="pct"/>
            <w:vAlign w:val="center"/>
          </w:tcPr>
          <w:p w14:paraId="3127E8E1" w14:textId="77777777" w:rsidR="004918C1" w:rsidRPr="004B6375" w:rsidRDefault="004918C1" w:rsidP="001608F5">
            <w:pPr>
              <w:jc w:val="center"/>
              <w:rPr>
                <w:sz w:val="22"/>
                <w:szCs w:val="22"/>
              </w:rPr>
            </w:pPr>
            <w:r w:rsidRPr="004B6375">
              <w:rPr>
                <w:sz w:val="22"/>
                <w:szCs w:val="22"/>
              </w:rPr>
              <w:t>£681</w:t>
            </w:r>
          </w:p>
        </w:tc>
        <w:tc>
          <w:tcPr>
            <w:tcW w:w="468" w:type="pct"/>
            <w:vAlign w:val="center"/>
          </w:tcPr>
          <w:p w14:paraId="631DBE4D" w14:textId="77777777" w:rsidR="004918C1" w:rsidRPr="004B6375" w:rsidRDefault="004918C1" w:rsidP="001608F5">
            <w:pPr>
              <w:jc w:val="center"/>
              <w:rPr>
                <w:sz w:val="22"/>
                <w:szCs w:val="22"/>
              </w:rPr>
            </w:pPr>
            <w:r w:rsidRPr="004B6375">
              <w:rPr>
                <w:sz w:val="22"/>
                <w:szCs w:val="22"/>
              </w:rPr>
              <w:t>£743</w:t>
            </w:r>
          </w:p>
        </w:tc>
        <w:tc>
          <w:tcPr>
            <w:tcW w:w="373" w:type="pct"/>
            <w:vAlign w:val="center"/>
          </w:tcPr>
          <w:p w14:paraId="071A8384" w14:textId="77777777" w:rsidR="004918C1" w:rsidRPr="004B6375" w:rsidRDefault="004918C1" w:rsidP="001608F5">
            <w:pPr>
              <w:jc w:val="center"/>
              <w:rPr>
                <w:sz w:val="22"/>
                <w:szCs w:val="22"/>
              </w:rPr>
            </w:pPr>
            <w:r w:rsidRPr="004B6375">
              <w:rPr>
                <w:sz w:val="22"/>
                <w:szCs w:val="22"/>
              </w:rPr>
              <w:t>£342</w:t>
            </w:r>
          </w:p>
        </w:tc>
        <w:tc>
          <w:tcPr>
            <w:tcW w:w="372" w:type="pct"/>
          </w:tcPr>
          <w:p w14:paraId="1F3415E1" w14:textId="77777777" w:rsidR="004918C1" w:rsidRPr="004B6375" w:rsidRDefault="004918C1" w:rsidP="001608F5">
            <w:pPr>
              <w:jc w:val="center"/>
              <w:rPr>
                <w:sz w:val="22"/>
                <w:szCs w:val="22"/>
              </w:rPr>
            </w:pPr>
            <w:r w:rsidRPr="004B6375">
              <w:rPr>
                <w:sz w:val="22"/>
                <w:szCs w:val="22"/>
              </w:rPr>
              <w:t>£260</w:t>
            </w:r>
          </w:p>
        </w:tc>
      </w:tr>
      <w:tr w:rsidR="004B6375" w:rsidRPr="004B6375" w14:paraId="378BEF5E" w14:textId="77777777" w:rsidTr="002F5D09">
        <w:trPr>
          <w:jc w:val="center"/>
        </w:trPr>
        <w:tc>
          <w:tcPr>
            <w:tcW w:w="571" w:type="pct"/>
            <w:tcBorders>
              <w:bottom w:val="single" w:sz="4" w:space="0" w:color="auto"/>
            </w:tcBorders>
            <w:shd w:val="clear" w:color="auto" w:fill="F2F2F2" w:themeFill="background1" w:themeFillShade="F2"/>
            <w:vAlign w:val="center"/>
          </w:tcPr>
          <w:p w14:paraId="7E0B4235" w14:textId="05A7D347" w:rsidR="004918C1" w:rsidRPr="00182468" w:rsidRDefault="002F5D09" w:rsidP="001608F5">
            <w:r>
              <w:t>Large</w:t>
            </w:r>
          </w:p>
        </w:tc>
        <w:tc>
          <w:tcPr>
            <w:tcW w:w="720" w:type="pct"/>
            <w:tcBorders>
              <w:bottom w:val="single" w:sz="4" w:space="0" w:color="auto"/>
            </w:tcBorders>
            <w:shd w:val="clear" w:color="auto" w:fill="F2F2F2" w:themeFill="background1" w:themeFillShade="F2"/>
            <w:vAlign w:val="center"/>
          </w:tcPr>
          <w:p w14:paraId="10F7F114" w14:textId="77777777" w:rsidR="004918C1" w:rsidRPr="004B6375" w:rsidRDefault="004918C1" w:rsidP="001608F5">
            <w:pPr>
              <w:jc w:val="center"/>
              <w:rPr>
                <w:sz w:val="22"/>
                <w:szCs w:val="22"/>
              </w:rPr>
            </w:pPr>
            <w:r w:rsidRPr="004B6375">
              <w:rPr>
                <w:sz w:val="22"/>
                <w:szCs w:val="22"/>
              </w:rPr>
              <w:t>£1,269</w:t>
            </w:r>
          </w:p>
        </w:tc>
        <w:tc>
          <w:tcPr>
            <w:tcW w:w="468" w:type="pct"/>
            <w:tcBorders>
              <w:bottom w:val="single" w:sz="4" w:space="0" w:color="auto"/>
            </w:tcBorders>
            <w:shd w:val="clear" w:color="auto" w:fill="F2F2F2" w:themeFill="background1" w:themeFillShade="F2"/>
            <w:vAlign w:val="center"/>
          </w:tcPr>
          <w:p w14:paraId="12E84F7B" w14:textId="77777777" w:rsidR="004918C1" w:rsidRPr="004B6375" w:rsidRDefault="004918C1" w:rsidP="001608F5">
            <w:pPr>
              <w:jc w:val="center"/>
              <w:rPr>
                <w:sz w:val="22"/>
                <w:szCs w:val="22"/>
              </w:rPr>
            </w:pPr>
            <w:r w:rsidRPr="004B6375">
              <w:rPr>
                <w:sz w:val="22"/>
                <w:szCs w:val="22"/>
              </w:rPr>
              <w:t>£1,448</w:t>
            </w:r>
          </w:p>
        </w:tc>
        <w:tc>
          <w:tcPr>
            <w:tcW w:w="468" w:type="pct"/>
            <w:tcBorders>
              <w:bottom w:val="single" w:sz="4" w:space="0" w:color="auto"/>
            </w:tcBorders>
            <w:shd w:val="clear" w:color="auto" w:fill="F2F2F2" w:themeFill="background1" w:themeFillShade="F2"/>
            <w:vAlign w:val="center"/>
          </w:tcPr>
          <w:p w14:paraId="753DD289" w14:textId="77777777" w:rsidR="004918C1" w:rsidRPr="004B6375" w:rsidRDefault="004918C1" w:rsidP="001608F5">
            <w:pPr>
              <w:jc w:val="center"/>
              <w:rPr>
                <w:sz w:val="22"/>
                <w:szCs w:val="22"/>
              </w:rPr>
            </w:pPr>
            <w:r w:rsidRPr="004B6375">
              <w:rPr>
                <w:sz w:val="22"/>
                <w:szCs w:val="22"/>
              </w:rPr>
              <w:t>£1,319</w:t>
            </w:r>
          </w:p>
        </w:tc>
        <w:tc>
          <w:tcPr>
            <w:tcW w:w="468" w:type="pct"/>
            <w:tcBorders>
              <w:bottom w:val="single" w:sz="4" w:space="0" w:color="auto"/>
            </w:tcBorders>
            <w:shd w:val="clear" w:color="auto" w:fill="F2F2F2" w:themeFill="background1" w:themeFillShade="F2"/>
            <w:vAlign w:val="center"/>
          </w:tcPr>
          <w:p w14:paraId="5FC2BC17" w14:textId="77777777" w:rsidR="004918C1" w:rsidRPr="004B6375" w:rsidRDefault="004918C1" w:rsidP="001608F5">
            <w:pPr>
              <w:jc w:val="center"/>
              <w:rPr>
                <w:sz w:val="22"/>
                <w:szCs w:val="22"/>
              </w:rPr>
            </w:pPr>
            <w:r w:rsidRPr="004B6375">
              <w:rPr>
                <w:sz w:val="22"/>
                <w:szCs w:val="22"/>
              </w:rPr>
              <w:t>£1,044</w:t>
            </w:r>
          </w:p>
        </w:tc>
        <w:tc>
          <w:tcPr>
            <w:tcW w:w="372" w:type="pct"/>
            <w:tcBorders>
              <w:bottom w:val="single" w:sz="4" w:space="0" w:color="auto"/>
            </w:tcBorders>
            <w:shd w:val="clear" w:color="auto" w:fill="F2F2F2" w:themeFill="background1" w:themeFillShade="F2"/>
          </w:tcPr>
          <w:p w14:paraId="4CB6B4F7" w14:textId="77777777" w:rsidR="004918C1" w:rsidRPr="004B6375" w:rsidRDefault="004918C1" w:rsidP="001608F5">
            <w:pPr>
              <w:jc w:val="center"/>
              <w:rPr>
                <w:sz w:val="22"/>
                <w:szCs w:val="22"/>
              </w:rPr>
            </w:pPr>
            <w:r w:rsidRPr="004B6375">
              <w:rPr>
                <w:sz w:val="22"/>
                <w:szCs w:val="22"/>
              </w:rPr>
              <w:t>£761</w:t>
            </w:r>
          </w:p>
        </w:tc>
        <w:tc>
          <w:tcPr>
            <w:tcW w:w="720" w:type="pct"/>
            <w:tcBorders>
              <w:bottom w:val="single" w:sz="4" w:space="0" w:color="auto"/>
            </w:tcBorders>
            <w:shd w:val="clear" w:color="auto" w:fill="F2F2F2" w:themeFill="background1" w:themeFillShade="F2"/>
            <w:vAlign w:val="center"/>
          </w:tcPr>
          <w:p w14:paraId="1849562D" w14:textId="77777777" w:rsidR="004918C1" w:rsidRPr="004B6375" w:rsidRDefault="004918C1" w:rsidP="001608F5">
            <w:pPr>
              <w:jc w:val="center"/>
              <w:rPr>
                <w:sz w:val="22"/>
                <w:szCs w:val="22"/>
              </w:rPr>
            </w:pPr>
            <w:r w:rsidRPr="004B6375">
              <w:rPr>
                <w:sz w:val="22"/>
                <w:szCs w:val="22"/>
              </w:rPr>
              <w:t>£1,173</w:t>
            </w:r>
          </w:p>
        </w:tc>
        <w:tc>
          <w:tcPr>
            <w:tcW w:w="468" w:type="pct"/>
            <w:tcBorders>
              <w:bottom w:val="single" w:sz="4" w:space="0" w:color="auto"/>
            </w:tcBorders>
            <w:shd w:val="clear" w:color="auto" w:fill="F2F2F2" w:themeFill="background1" w:themeFillShade="F2"/>
            <w:vAlign w:val="center"/>
          </w:tcPr>
          <w:p w14:paraId="507BCC25" w14:textId="77777777" w:rsidR="004918C1" w:rsidRPr="004B6375" w:rsidRDefault="004918C1" w:rsidP="001608F5">
            <w:pPr>
              <w:jc w:val="center"/>
              <w:rPr>
                <w:sz w:val="22"/>
                <w:szCs w:val="22"/>
              </w:rPr>
            </w:pPr>
            <w:r w:rsidRPr="004B6375">
              <w:rPr>
                <w:sz w:val="22"/>
                <w:szCs w:val="22"/>
              </w:rPr>
              <w:t>£1,253</w:t>
            </w:r>
          </w:p>
        </w:tc>
        <w:tc>
          <w:tcPr>
            <w:tcW w:w="373" w:type="pct"/>
            <w:tcBorders>
              <w:bottom w:val="single" w:sz="4" w:space="0" w:color="auto"/>
            </w:tcBorders>
            <w:shd w:val="clear" w:color="auto" w:fill="F2F2F2" w:themeFill="background1" w:themeFillShade="F2"/>
            <w:vAlign w:val="center"/>
          </w:tcPr>
          <w:p w14:paraId="38539271" w14:textId="77777777" w:rsidR="004918C1" w:rsidRPr="004B6375" w:rsidRDefault="004918C1" w:rsidP="001608F5">
            <w:pPr>
              <w:jc w:val="center"/>
              <w:rPr>
                <w:sz w:val="22"/>
                <w:szCs w:val="22"/>
              </w:rPr>
            </w:pPr>
            <w:r w:rsidRPr="004B6375">
              <w:rPr>
                <w:sz w:val="22"/>
                <w:szCs w:val="22"/>
              </w:rPr>
              <w:t>£862</w:t>
            </w:r>
          </w:p>
        </w:tc>
        <w:tc>
          <w:tcPr>
            <w:tcW w:w="372" w:type="pct"/>
            <w:tcBorders>
              <w:bottom w:val="single" w:sz="4" w:space="0" w:color="auto"/>
            </w:tcBorders>
            <w:shd w:val="clear" w:color="auto" w:fill="F2F2F2" w:themeFill="background1" w:themeFillShade="F2"/>
          </w:tcPr>
          <w:p w14:paraId="7925BB36" w14:textId="77777777" w:rsidR="004918C1" w:rsidRPr="004B6375" w:rsidRDefault="004918C1" w:rsidP="001608F5">
            <w:pPr>
              <w:jc w:val="center"/>
              <w:rPr>
                <w:sz w:val="22"/>
                <w:szCs w:val="22"/>
              </w:rPr>
            </w:pPr>
            <w:r w:rsidRPr="004B6375">
              <w:rPr>
                <w:sz w:val="22"/>
                <w:szCs w:val="22"/>
              </w:rPr>
              <w:t>£664</w:t>
            </w:r>
          </w:p>
        </w:tc>
      </w:tr>
    </w:tbl>
    <w:p w14:paraId="0E6AC071" w14:textId="77777777" w:rsidR="004918C1" w:rsidRPr="0006199B" w:rsidRDefault="004918C1" w:rsidP="004918C1">
      <w:pPr>
        <w:rPr>
          <w:sz w:val="18"/>
          <w:szCs w:val="18"/>
        </w:rPr>
      </w:pPr>
      <w:r w:rsidRPr="0006199B">
        <w:rPr>
          <w:sz w:val="18"/>
          <w:szCs w:val="18"/>
        </w:rPr>
        <w:t xml:space="preserve">Notes: All values in </w:t>
      </w:r>
      <w:r>
        <w:rPr>
          <w:sz w:val="18"/>
          <w:szCs w:val="18"/>
        </w:rPr>
        <w:t>£</w:t>
      </w:r>
      <w:r w:rsidRPr="0006199B">
        <w:rPr>
          <w:sz w:val="18"/>
          <w:szCs w:val="18"/>
        </w:rPr>
        <w:t>million.</w:t>
      </w:r>
    </w:p>
    <w:p w14:paraId="306579FB" w14:textId="77777777" w:rsidR="004918C1" w:rsidRDefault="004918C1" w:rsidP="004918C1"/>
    <w:p w14:paraId="52CDC0F9" w14:textId="77777777" w:rsidR="004918C1" w:rsidRDefault="004918C1" w:rsidP="00B53D56">
      <w:pPr>
        <w:spacing w:before="120" w:after="120" w:line="360" w:lineRule="auto"/>
        <w:ind w:firstLine="720"/>
        <w:jc w:val="both"/>
      </w:pPr>
    </w:p>
    <w:p w14:paraId="364144B6" w14:textId="5116BBB1" w:rsidR="00042D47" w:rsidRDefault="002F5D09" w:rsidP="00B53D56">
      <w:pPr>
        <w:spacing w:before="120" w:after="120" w:line="360" w:lineRule="auto"/>
        <w:ind w:firstLine="720"/>
        <w:jc w:val="both"/>
      </w:pPr>
      <w:r>
        <w:lastRenderedPageBreak/>
        <w:t>Table 5 presents the post</w:t>
      </w:r>
      <w:r w:rsidR="005B6848">
        <w:t xml:space="preserve">-tax NPV values for the three fields under different tax arrangements. </w:t>
      </w:r>
      <w:r w:rsidR="00042D47">
        <w:t>In this study, we focus on the impact of EPL 3a and EPL 3b compared to other arrangements. From the results</w:t>
      </w:r>
      <w:r w:rsidR="006F3421">
        <w:t>,</w:t>
      </w:r>
      <w:r w:rsidR="000E30ED">
        <w:t xml:space="preserve"> </w:t>
      </w:r>
      <w:r w:rsidR="006A543E">
        <w:t>both</w:t>
      </w:r>
      <w:r w:rsidR="006F3421">
        <w:t xml:space="preserve"> schemes of EPL 3 significantly reduce the post-tax NPV of the fields. The effect is stronger in the small field</w:t>
      </w:r>
      <w:r w:rsidR="000E30ED">
        <w:t xml:space="preserve">. In the case where the operator has other income to claim relief, the </w:t>
      </w:r>
      <w:r w:rsidR="00042DB7">
        <w:t>post-tax NPV becomes negative. In the case where the operator has no other income available. Even under the current EPL 2, the project is also uneconomic</w:t>
      </w:r>
      <w:r w:rsidR="00780032">
        <w:rPr>
          <w:rStyle w:val="FootnoteReference"/>
        </w:rPr>
        <w:footnoteReference w:id="17"/>
      </w:r>
      <w:r w:rsidR="00042DB7">
        <w:t>.</w:t>
      </w:r>
      <w:r w:rsidR="00FF3A6D">
        <w:t xml:space="preserve"> This means that, under the hypothetical case of an EPL 3, it will be very unlikely that an operator decides to invest in </w:t>
      </w:r>
      <w:r w:rsidR="00E65449">
        <w:t>a small project. The operator will delay the investment as suggested in section 3.1.</w:t>
      </w:r>
    </w:p>
    <w:p w14:paraId="4A1A57A5" w14:textId="6D54B9F1" w:rsidR="00E65449" w:rsidRDefault="009B47BC" w:rsidP="00B53D56">
      <w:pPr>
        <w:spacing w:before="120" w:after="120" w:line="360" w:lineRule="auto"/>
        <w:ind w:firstLine="720"/>
        <w:jc w:val="both"/>
      </w:pPr>
      <w:r>
        <w:t xml:space="preserve">For the medium and the large field, the post-tax NPV remains positive, but the removal of the investment and/or capital for EPL severely reduces the project´s value. </w:t>
      </w:r>
      <w:r w:rsidR="0018322F">
        <w:t xml:space="preserve">For example, compared to the permanent system, </w:t>
      </w:r>
      <w:r w:rsidR="009F5BA7">
        <w:t>EPL 3a reduces post-tax NPV by</w:t>
      </w:r>
      <w:r w:rsidR="00085130">
        <w:t xml:space="preserve"> 30% and EPL reduces the value by 61%. For the large field, the </w:t>
      </w:r>
      <w:r w:rsidR="00BB56B4">
        <w:t xml:space="preserve">reduction is 18% and 47% for EPL 3a and EPL 3b respectively. </w:t>
      </w:r>
    </w:p>
    <w:p w14:paraId="0D7782DA" w14:textId="1EFE242E" w:rsidR="00A77D39" w:rsidRDefault="00DB6BDB" w:rsidP="000E2D13">
      <w:pPr>
        <w:spacing w:before="120" w:after="120" w:line="360" w:lineRule="auto"/>
        <w:ind w:firstLine="720"/>
        <w:jc w:val="both"/>
      </w:pPr>
      <w:r>
        <w:t xml:space="preserve">Analysing the cashflows for each field under the different tax arrangements is helpful to understand what </w:t>
      </w:r>
      <w:proofErr w:type="gramStart"/>
      <w:r>
        <w:t>are the drivers behind th</w:t>
      </w:r>
      <w:r w:rsidR="000E2D13">
        <w:t>e impact of the different EPL schemes</w:t>
      </w:r>
      <w:proofErr w:type="gramEnd"/>
      <w:r w:rsidR="000E2D13">
        <w:t xml:space="preserve">. </w:t>
      </w:r>
      <w:r w:rsidR="00B53D56">
        <w:t>Figure 4 shows the</w:t>
      </w:r>
      <w:r w:rsidR="006C55B1">
        <w:t xml:space="preserve"> post-tax </w:t>
      </w:r>
      <w:r w:rsidR="007169EA">
        <w:t>free</w:t>
      </w:r>
      <w:r w:rsidR="006C55B1">
        <w:t xml:space="preserve"> cashflow for the small field</w:t>
      </w:r>
      <w:r w:rsidR="00594C00">
        <w:t xml:space="preserve"> under different EPL schemes</w:t>
      </w:r>
      <w:r w:rsidR="00B53D56">
        <w:t xml:space="preserve"> </w:t>
      </w:r>
      <w:r w:rsidR="00594C00">
        <w:t xml:space="preserve">for the case where the operator has ring-fence income available to claim immediate relief on expenditures. </w:t>
      </w:r>
      <w:r w:rsidR="005F445C">
        <w:t>In the first</w:t>
      </w:r>
      <w:r w:rsidR="0051562C">
        <w:t xml:space="preserve"> two</w:t>
      </w:r>
      <w:r w:rsidR="005F445C">
        <w:t xml:space="preserve"> years of investment, the capital allowance in EPL 1, EPL 2 and EPL 3a significantly </w:t>
      </w:r>
      <w:r w:rsidR="00F73729">
        <w:t xml:space="preserve">improves the post tax cash flow for the operator. </w:t>
      </w:r>
      <w:r w:rsidR="0051562C">
        <w:t xml:space="preserve">However, EPL 3b post-tax cashflow is lower than EPL 1 and EPL 2 due to the removal of the investment allowance for EPL. </w:t>
      </w:r>
      <w:r w:rsidR="0003096A">
        <w:t xml:space="preserve">The permanent system and EPL 3b have the lowest cashflows in the first year as the capital allowance only applies for CT and SC but not for EPL. </w:t>
      </w:r>
      <w:r w:rsidR="003A4CC2">
        <w:t>After 2025, the post-tax net cashflow of EPL 2</w:t>
      </w:r>
      <w:r w:rsidR="001B49D5">
        <w:t xml:space="preserve"> is slightly higher to that of EPL 3 reflecting the 3% rate increase</w:t>
      </w:r>
      <w:r w:rsidR="00066BE0">
        <w:t xml:space="preserve">. The extended duration of EPL 3b is also reflected in the cashflow </w:t>
      </w:r>
      <w:r w:rsidR="001B5564">
        <w:t xml:space="preserve">with all cases converging with the permanent system until 2030. </w:t>
      </w:r>
    </w:p>
    <w:p w14:paraId="03C673DA" w14:textId="39C92E04" w:rsidR="00E9068D" w:rsidRDefault="009178AD" w:rsidP="001B5564">
      <w:pPr>
        <w:spacing w:before="120" w:after="120" w:line="360" w:lineRule="auto"/>
        <w:ind w:firstLine="720"/>
        <w:jc w:val="both"/>
      </w:pPr>
      <w:r>
        <w:t xml:space="preserve">EPL 3a has a negative impact compared with EPL2, although is not stark. </w:t>
      </w:r>
      <w:r w:rsidR="005B5ECC">
        <w:t>Keeping the capital allowance he</w:t>
      </w:r>
      <w:r w:rsidR="007B2017">
        <w:t xml:space="preserve">lps the operator claiming some relief and allows the government to extract additional economic rent by smoothing the net cashflow </w:t>
      </w:r>
      <w:r w:rsidR="003A67C0">
        <w:t xml:space="preserve">throughout the project’s lifetime. </w:t>
      </w:r>
      <w:r w:rsidR="003A67C0">
        <w:lastRenderedPageBreak/>
        <w:t>However, in the case of EPL 3b</w:t>
      </w:r>
      <w:r w:rsidR="00A65673">
        <w:t xml:space="preserve">, the negative impact is </w:t>
      </w:r>
      <w:r w:rsidR="00B62206">
        <w:t>stringer</w:t>
      </w:r>
      <w:r w:rsidR="00A65673">
        <w:t xml:space="preserve"> </w:t>
      </w:r>
      <w:r w:rsidR="004B1473">
        <w:t>because</w:t>
      </w:r>
      <w:r w:rsidR="00A65673">
        <w:t xml:space="preserve"> </w:t>
      </w:r>
      <w:r w:rsidR="00B62206">
        <w:t xml:space="preserve">there is no early relief for EPL and the and Levy applies </w:t>
      </w:r>
      <w:r w:rsidR="00CC7243">
        <w:t xml:space="preserve">for 5 years.  </w:t>
      </w:r>
    </w:p>
    <w:p w14:paraId="59F9EC6A" w14:textId="7B4BB1BC" w:rsidR="00CC7243" w:rsidRDefault="00CC7243" w:rsidP="001B5564">
      <w:pPr>
        <w:spacing w:before="120" w:after="120" w:line="360" w:lineRule="auto"/>
        <w:ind w:firstLine="720"/>
        <w:jc w:val="both"/>
      </w:pPr>
      <w:r>
        <w:t>The cashflow further supports the claim of the previous section about the incentive to delay investment</w:t>
      </w:r>
      <w:r w:rsidR="00F71B19">
        <w:t xml:space="preserve">s under EPL 3b. The operator of the small field will look to start the investment close to the sunset of the EPL to avoid the profits being extracted at such a high rate, waiting for a net cashflow profile similar in behaviour to that of the permanent system. </w:t>
      </w:r>
    </w:p>
    <w:p w14:paraId="6A294237" w14:textId="77777777" w:rsidR="00CF7BDA" w:rsidRDefault="00CF7BDA" w:rsidP="00CF7BDA">
      <w:pPr>
        <w:spacing w:before="120" w:after="120" w:line="360" w:lineRule="auto"/>
        <w:jc w:val="both"/>
      </w:pPr>
    </w:p>
    <w:p w14:paraId="22F6A499" w14:textId="56C5B1CE" w:rsidR="00CF7BDA" w:rsidRDefault="00F71B19" w:rsidP="00CF7BDA">
      <w:pPr>
        <w:pStyle w:val="Caption"/>
      </w:pPr>
      <w:r>
        <w:rPr>
          <w:noProof/>
        </w:rPr>
        <w:drawing>
          <wp:anchor distT="0" distB="0" distL="114300" distR="114300" simplePos="0" relativeHeight="251660288" behindDoc="0" locked="0" layoutInCell="1" allowOverlap="1" wp14:anchorId="47F4CDF5" wp14:editId="29AAA11D">
            <wp:simplePos x="0" y="0"/>
            <wp:positionH relativeFrom="column">
              <wp:posOffset>0</wp:posOffset>
            </wp:positionH>
            <wp:positionV relativeFrom="paragraph">
              <wp:posOffset>333416</wp:posOffset>
            </wp:positionV>
            <wp:extent cx="5731510" cy="3625850"/>
            <wp:effectExtent l="0" t="0" r="0" b="6350"/>
            <wp:wrapTopAndBottom/>
            <wp:docPr id="1209603349" name="Picture 1" descr="A graph of a graph showing the amount of money in the mar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603349" name="Picture 1" descr="A graph of a graph showing the amount of money in the marke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731510" cy="3625850"/>
                    </a:xfrm>
                    <a:prstGeom prst="rect">
                      <a:avLst/>
                    </a:prstGeom>
                  </pic:spPr>
                </pic:pic>
              </a:graphicData>
            </a:graphic>
            <wp14:sizeRelH relativeFrom="page">
              <wp14:pctWidth>0</wp14:pctWidth>
            </wp14:sizeRelH>
            <wp14:sizeRelV relativeFrom="page">
              <wp14:pctHeight>0</wp14:pctHeight>
            </wp14:sizeRelV>
          </wp:anchor>
        </w:drawing>
      </w:r>
      <w:r w:rsidR="00CF7BDA">
        <w:t>Figure 4.</w:t>
      </w:r>
    </w:p>
    <w:p w14:paraId="1FFFE0FC" w14:textId="12AECB9B" w:rsidR="00874809" w:rsidRPr="00874809" w:rsidRDefault="00874809" w:rsidP="00874809">
      <w:pPr>
        <w:rPr>
          <w:lang w:eastAsia="en-GB"/>
        </w:rPr>
      </w:pPr>
    </w:p>
    <w:p w14:paraId="6E37CC90" w14:textId="77777777" w:rsidR="00B53D56" w:rsidRDefault="00B53D56" w:rsidP="00D40D39">
      <w:pPr>
        <w:ind w:firstLine="720"/>
      </w:pPr>
    </w:p>
    <w:p w14:paraId="49A209D1" w14:textId="77777777" w:rsidR="00F71B19" w:rsidRDefault="00F71B19" w:rsidP="00D40D39">
      <w:pPr>
        <w:ind w:firstLine="720"/>
      </w:pPr>
    </w:p>
    <w:p w14:paraId="62D22FA8" w14:textId="77777777" w:rsidR="00F71B19" w:rsidRDefault="00F71B19" w:rsidP="00D40D39">
      <w:pPr>
        <w:ind w:firstLine="720"/>
      </w:pPr>
    </w:p>
    <w:p w14:paraId="74D54C90" w14:textId="77777777" w:rsidR="00F71B19" w:rsidRDefault="00F71B19" w:rsidP="00D40D39">
      <w:pPr>
        <w:ind w:firstLine="720"/>
      </w:pPr>
    </w:p>
    <w:p w14:paraId="0225DF27" w14:textId="77777777" w:rsidR="00F71B19" w:rsidRDefault="00F71B19" w:rsidP="00D40D39">
      <w:pPr>
        <w:ind w:firstLine="720"/>
      </w:pPr>
    </w:p>
    <w:p w14:paraId="3989AE9B" w14:textId="77777777" w:rsidR="00F71B19" w:rsidRDefault="00F71B19" w:rsidP="00D40D39">
      <w:pPr>
        <w:ind w:firstLine="720"/>
      </w:pPr>
    </w:p>
    <w:p w14:paraId="758A44EB" w14:textId="77777777" w:rsidR="00F71B19" w:rsidRDefault="00F71B19" w:rsidP="00D40D39">
      <w:pPr>
        <w:ind w:firstLine="720"/>
      </w:pPr>
    </w:p>
    <w:p w14:paraId="3B77D077" w14:textId="77777777" w:rsidR="00F71B19" w:rsidRDefault="00F71B19" w:rsidP="00D40D39">
      <w:pPr>
        <w:ind w:firstLine="720"/>
      </w:pPr>
    </w:p>
    <w:p w14:paraId="552B313E" w14:textId="77777777" w:rsidR="00F71B19" w:rsidRDefault="00F71B19" w:rsidP="00D40D39">
      <w:pPr>
        <w:ind w:firstLine="720"/>
      </w:pPr>
    </w:p>
    <w:p w14:paraId="0C0494ED" w14:textId="77777777" w:rsidR="00F71B19" w:rsidRDefault="00F71B19" w:rsidP="00D40D39">
      <w:pPr>
        <w:ind w:firstLine="720"/>
      </w:pPr>
    </w:p>
    <w:p w14:paraId="5CEBE6E1" w14:textId="77777777" w:rsidR="00F71B19" w:rsidRDefault="00F71B19" w:rsidP="00D40D39">
      <w:pPr>
        <w:ind w:firstLine="720"/>
      </w:pPr>
    </w:p>
    <w:p w14:paraId="6CBA19A2" w14:textId="65D69935" w:rsidR="00790E9F" w:rsidRDefault="00F71B19" w:rsidP="00111864">
      <w:pPr>
        <w:spacing w:before="120" w:after="120" w:line="360" w:lineRule="auto"/>
        <w:ind w:firstLine="720"/>
        <w:jc w:val="both"/>
      </w:pPr>
      <w:r>
        <w:t xml:space="preserve">In </w:t>
      </w:r>
      <w:r w:rsidR="00CE5983">
        <w:t>similar manner, Figure 5 shows the</w:t>
      </w:r>
      <w:r w:rsidR="0058401B">
        <w:t xml:space="preserve"> post-tax net cashflow for the medium field. </w:t>
      </w:r>
      <w:r w:rsidR="009C53A6">
        <w:t xml:space="preserve">The results largely follow the same trend as for the medium field with some differences. For </w:t>
      </w:r>
      <w:r w:rsidR="009C53A6">
        <w:lastRenderedPageBreak/>
        <w:t xml:space="preserve">example, under EPL </w:t>
      </w:r>
      <w:r w:rsidR="00E014FE">
        <w:t xml:space="preserve">2 and EPL 2 </w:t>
      </w:r>
      <w:r w:rsidR="009C53A6">
        <w:t>between 2026 and 2027,</w:t>
      </w:r>
      <w:r w:rsidR="00E014FE">
        <w:t xml:space="preserve"> the operator is still able to claim</w:t>
      </w:r>
      <w:r w:rsidR="00657436">
        <w:t xml:space="preserve"> relief under the capital allowance for EPL. This improves the cash flow compared </w:t>
      </w:r>
      <w:r w:rsidR="00A53504">
        <w:t>with EPL</w:t>
      </w:r>
      <w:r w:rsidR="00657436">
        <w:t xml:space="preserve"> 3b</w:t>
      </w:r>
      <w:r w:rsidR="00D84EED">
        <w:t xml:space="preserve"> where the cashfl</w:t>
      </w:r>
      <w:r w:rsidR="004F65A2">
        <w:t xml:space="preserve">ow doesn’t peak and remains mostly flat. Moreover, the one expiry of EPL 3a and 3b until the end of 2029 further reduces the cashflow until it converges to </w:t>
      </w:r>
      <w:r w:rsidR="00275FD6">
        <w:t xml:space="preserve">the </w:t>
      </w:r>
      <w:r w:rsidR="00A53504">
        <w:t>permanent</w:t>
      </w:r>
      <w:r w:rsidR="00275FD6">
        <w:t xml:space="preserve"> system once the EPL expires. </w:t>
      </w:r>
      <w:r w:rsidR="003C22A0">
        <w:t>The cash flow once again illustrates how the operator will try to delay investment in the case of EPL 3b to avoid</w:t>
      </w:r>
      <w:r w:rsidR="00111864">
        <w:t xml:space="preserve"> being taxed at the higher rate while not having access to the capital allowance for EPL.</w:t>
      </w:r>
    </w:p>
    <w:p w14:paraId="68D340F9" w14:textId="7516F61E" w:rsidR="00790E9F" w:rsidRDefault="00790E9F" w:rsidP="00D40D39">
      <w:pPr>
        <w:ind w:firstLine="720"/>
      </w:pPr>
    </w:p>
    <w:p w14:paraId="307ED05C" w14:textId="0CECC43A" w:rsidR="00790E9F" w:rsidRDefault="0058401B" w:rsidP="0058401B">
      <w:pPr>
        <w:pStyle w:val="Caption"/>
      </w:pPr>
      <w:r>
        <w:rPr>
          <w:noProof/>
        </w:rPr>
        <w:drawing>
          <wp:anchor distT="0" distB="0" distL="114300" distR="114300" simplePos="0" relativeHeight="251661312" behindDoc="0" locked="0" layoutInCell="1" allowOverlap="1" wp14:anchorId="580179A2" wp14:editId="2BEE7178">
            <wp:simplePos x="0" y="0"/>
            <wp:positionH relativeFrom="column">
              <wp:posOffset>135890</wp:posOffset>
            </wp:positionH>
            <wp:positionV relativeFrom="paragraph">
              <wp:posOffset>350358</wp:posOffset>
            </wp:positionV>
            <wp:extent cx="5731510" cy="3625850"/>
            <wp:effectExtent l="0" t="0" r="0" b="6350"/>
            <wp:wrapTopAndBottom/>
            <wp:docPr id="968596114" name="Picture 1" descr="A graph of a graph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596114" name="Picture 1" descr="A graph of a graph with number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731510" cy="3625850"/>
                    </a:xfrm>
                    <a:prstGeom prst="rect">
                      <a:avLst/>
                    </a:prstGeom>
                  </pic:spPr>
                </pic:pic>
              </a:graphicData>
            </a:graphic>
            <wp14:sizeRelH relativeFrom="page">
              <wp14:pctWidth>0</wp14:pctWidth>
            </wp14:sizeRelH>
            <wp14:sizeRelV relativeFrom="page">
              <wp14:pctHeight>0</wp14:pctHeight>
            </wp14:sizeRelV>
          </wp:anchor>
        </w:drawing>
      </w:r>
      <w:r>
        <w:t>Figure 5</w:t>
      </w:r>
    </w:p>
    <w:p w14:paraId="756537DA" w14:textId="1E9C9CE7" w:rsidR="00790E9F" w:rsidRPr="00777111" w:rsidRDefault="00790E9F" w:rsidP="00D40D39">
      <w:pPr>
        <w:ind w:firstLine="720"/>
      </w:pPr>
    </w:p>
    <w:p w14:paraId="221DB863" w14:textId="77777777" w:rsidR="009612B8" w:rsidRDefault="009612B8" w:rsidP="009612B8"/>
    <w:p w14:paraId="1E63D638" w14:textId="687D7095" w:rsidR="00AE4AB7" w:rsidRDefault="00360620" w:rsidP="00591A64">
      <w:pPr>
        <w:spacing w:before="120" w:after="120" w:line="360" w:lineRule="auto"/>
        <w:ind w:firstLine="720"/>
        <w:jc w:val="both"/>
      </w:pPr>
      <w:r>
        <w:tab/>
        <w:t xml:space="preserve">The results for the large field as presented in Figure 6, suggest the same effects and incentives as the smaller and medium fields apply. However, the large field has an advantage compared with the other fields: the project lifetime is significantly higher </w:t>
      </w:r>
      <w:r w:rsidR="007C68F9">
        <w:t xml:space="preserve">than the other two fields. The additional years of production </w:t>
      </w:r>
      <w:r w:rsidR="004206A7">
        <w:t xml:space="preserve">provide some kind safety net for the project. Despite, the </w:t>
      </w:r>
      <w:r w:rsidR="00E97B45">
        <w:t xml:space="preserve">early </w:t>
      </w:r>
      <w:r w:rsidR="00A53504">
        <w:t>profits</w:t>
      </w:r>
      <w:r w:rsidR="00E97B45">
        <w:t xml:space="preserve"> of years 2027-2029 being</w:t>
      </w:r>
      <w:r w:rsidR="004206A7">
        <w:t xml:space="preserve"> </w:t>
      </w:r>
      <w:r w:rsidR="00A53504">
        <w:t>severely</w:t>
      </w:r>
      <w:r w:rsidR="004206A7">
        <w:t xml:space="preserve"> reduced</w:t>
      </w:r>
      <w:r w:rsidR="001F41B5">
        <w:t xml:space="preserve"> under EPL 3b</w:t>
      </w:r>
      <w:r w:rsidR="00E97B45">
        <w:t xml:space="preserve"> compared to the permanent system, the longer production period </w:t>
      </w:r>
      <w:r w:rsidR="00591A64">
        <w:t xml:space="preserve">allows the operator to incur in sensible economic profits. </w:t>
      </w:r>
      <w:r w:rsidR="001F41B5">
        <w:t xml:space="preserve"> </w:t>
      </w:r>
      <w:r w:rsidR="00A53504">
        <w:t>Nonetheless</w:t>
      </w:r>
      <w:r w:rsidR="00473D27">
        <w:t>, c</w:t>
      </w:r>
      <w:r w:rsidR="001A53C7">
        <w:t>ompared t</w:t>
      </w:r>
      <w:r w:rsidR="00473D27">
        <w:t xml:space="preserve">he value of the investment under EPL 3b is reduced as the removal of the capital allowance </w:t>
      </w:r>
      <w:r w:rsidR="00870719">
        <w:t xml:space="preserve">makes the early cash flow worse. </w:t>
      </w:r>
      <w:r w:rsidR="001A53C7">
        <w:t xml:space="preserve"> </w:t>
      </w:r>
    </w:p>
    <w:p w14:paraId="08E07E87" w14:textId="77777777" w:rsidR="00AE4AB7" w:rsidRDefault="00AE4AB7" w:rsidP="009612B8"/>
    <w:p w14:paraId="5D9C4A46" w14:textId="54D75AA5" w:rsidR="00AE4AB7" w:rsidRDefault="00AE4AB7" w:rsidP="009612B8">
      <w:r>
        <w:t xml:space="preserve">Figure 6. </w:t>
      </w:r>
    </w:p>
    <w:p w14:paraId="4D27CFF2" w14:textId="77777777" w:rsidR="00AE4AB7" w:rsidRDefault="00AE4AB7" w:rsidP="009612B8"/>
    <w:p w14:paraId="32776A5A" w14:textId="7152FA4D" w:rsidR="00AE4AB7" w:rsidRDefault="00AE4AB7" w:rsidP="009612B8">
      <w:r>
        <w:rPr>
          <w:noProof/>
        </w:rPr>
        <w:drawing>
          <wp:inline distT="0" distB="0" distL="0" distR="0" wp14:anchorId="17594074" wp14:editId="549F4068">
            <wp:extent cx="5731510" cy="3625850"/>
            <wp:effectExtent l="0" t="0" r="0" b="6350"/>
            <wp:docPr id="902160379" name="Picture 1" descr="A graph of a graph showing the number of the sam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160379" name="Picture 1" descr="A graph of a graph showing the number of the same graph&#10;&#10;Description automatically generated with medium confidence"/>
                    <pic:cNvPicPr/>
                  </pic:nvPicPr>
                  <pic:blipFill>
                    <a:blip r:embed="rId16"/>
                    <a:stretch>
                      <a:fillRect/>
                    </a:stretch>
                  </pic:blipFill>
                  <pic:spPr>
                    <a:xfrm>
                      <a:off x="0" y="0"/>
                      <a:ext cx="5731510" cy="3625850"/>
                    </a:xfrm>
                    <a:prstGeom prst="rect">
                      <a:avLst/>
                    </a:prstGeom>
                  </pic:spPr>
                </pic:pic>
              </a:graphicData>
            </a:graphic>
          </wp:inline>
        </w:drawing>
      </w:r>
    </w:p>
    <w:p w14:paraId="67DDCC55" w14:textId="77777777" w:rsidR="00AE4AB7" w:rsidRDefault="00AE4AB7" w:rsidP="009612B8"/>
    <w:p w14:paraId="63F8F5E1" w14:textId="77777777" w:rsidR="00AE4AB7" w:rsidRDefault="00AE4AB7" w:rsidP="009612B8"/>
    <w:p w14:paraId="11845040" w14:textId="5FAD325C" w:rsidR="00AE4AB7" w:rsidRDefault="006D18BD" w:rsidP="00AE25E1">
      <w:pPr>
        <w:spacing w:before="120" w:after="120" w:line="360" w:lineRule="auto"/>
        <w:ind w:firstLine="720"/>
        <w:jc w:val="both"/>
      </w:pPr>
      <w:r>
        <w:t xml:space="preserve">Let us now turn to the results of the tax position where the operator has no other income available to claim immediate relief and the RFES applies. This tax position </w:t>
      </w:r>
      <w:r w:rsidR="00924A8C">
        <w:t>is common in small operators or new players in the basin would not likely have a</w:t>
      </w:r>
      <w:r>
        <w:t xml:space="preserve"> portfolio</w:t>
      </w:r>
      <w:r w:rsidR="00924A8C">
        <w:t xml:space="preserve"> of fields</w:t>
      </w:r>
      <w:r>
        <w:t xml:space="preserve"> </w:t>
      </w:r>
      <w:r w:rsidR="00924A8C">
        <w:t>to claim relief</w:t>
      </w:r>
      <w:r>
        <w:t xml:space="preserve">. </w:t>
      </w:r>
      <w:r w:rsidR="00924A8C">
        <w:t>These types of companies</w:t>
      </w:r>
      <w:r>
        <w:t xml:space="preserve"> will, in general, be at a dis</w:t>
      </w:r>
      <w:r w:rsidR="009B4BD1">
        <w:t>ad</w:t>
      </w:r>
      <w:r>
        <w:t xml:space="preserve">vantage when developing </w:t>
      </w:r>
      <w:r w:rsidR="00AE25E1">
        <w:t xml:space="preserve">a UKCS oil and gas </w:t>
      </w:r>
      <w:r w:rsidR="009B4BD1">
        <w:t>fields</w:t>
      </w:r>
      <w:r w:rsidR="00AE25E1">
        <w:t xml:space="preserve"> because the project has no </w:t>
      </w:r>
      <w:r w:rsidR="009B4BD1">
        <w:t>opportunity</w:t>
      </w:r>
      <w:r w:rsidR="00AE25E1">
        <w:t xml:space="preserve"> to offset early losses from the capital investment.  </w:t>
      </w:r>
    </w:p>
    <w:p w14:paraId="35409977" w14:textId="33758160" w:rsidR="009B4BD1" w:rsidRDefault="009B4BD1" w:rsidP="00AE25E1">
      <w:pPr>
        <w:spacing w:before="120" w:after="120" w:line="360" w:lineRule="auto"/>
        <w:ind w:firstLine="720"/>
        <w:jc w:val="both"/>
      </w:pPr>
      <w:r>
        <w:t>Figure 7 shows the cash flows for the small field</w:t>
      </w:r>
      <w:r w:rsidR="009E48D2">
        <w:t xml:space="preserve">. Comparing to the cashflows from Figure 4, the case where there </w:t>
      </w:r>
      <w:proofErr w:type="gramStart"/>
      <w:r w:rsidR="009E48D2">
        <w:t>is</w:t>
      </w:r>
      <w:proofErr w:type="gramEnd"/>
      <w:r w:rsidR="009E48D2">
        <w:t xml:space="preserve"> other income available, early losses are higher when no other income is available. This is because the operator has no option to immediately claim relief. When revenues </w:t>
      </w:r>
      <w:r w:rsidR="00EA4E34">
        <w:t xml:space="preserve">are realised, the net cash flow </w:t>
      </w:r>
      <w:r w:rsidR="00394165">
        <w:t>peaks at a slightly higher level while the RFES applies</w:t>
      </w:r>
      <w:r w:rsidR="002838EF">
        <w:t xml:space="preserve">, comparing to the case where there is other income available. However, this effect is not enough to offset </w:t>
      </w:r>
      <w:r w:rsidR="00EA4E34">
        <w:t xml:space="preserve">the early losses. Because </w:t>
      </w:r>
      <w:r w:rsidR="005C48E6">
        <w:t xml:space="preserve">of the time-value of money, early </w:t>
      </w:r>
      <w:r w:rsidR="002838EF">
        <w:t xml:space="preserve">relief is preferred. </w:t>
      </w:r>
    </w:p>
    <w:p w14:paraId="425AD3E9" w14:textId="34E695E9" w:rsidR="00390A34" w:rsidRDefault="00D96A40" w:rsidP="00D96A40">
      <w:pPr>
        <w:pStyle w:val="Caption"/>
      </w:pPr>
      <w:r>
        <w:t>Figure 7.</w:t>
      </w:r>
    </w:p>
    <w:p w14:paraId="23978907" w14:textId="0D11C964" w:rsidR="00390A34" w:rsidRDefault="00D96A40" w:rsidP="009612B8">
      <w:r>
        <w:rPr>
          <w:noProof/>
        </w:rPr>
        <w:lastRenderedPageBreak/>
        <w:drawing>
          <wp:anchor distT="0" distB="0" distL="114300" distR="114300" simplePos="0" relativeHeight="251662336" behindDoc="0" locked="0" layoutInCell="1" allowOverlap="1" wp14:anchorId="3F0C3E70" wp14:editId="7E48D6C2">
            <wp:simplePos x="0" y="0"/>
            <wp:positionH relativeFrom="column">
              <wp:posOffset>0</wp:posOffset>
            </wp:positionH>
            <wp:positionV relativeFrom="paragraph">
              <wp:posOffset>275871</wp:posOffset>
            </wp:positionV>
            <wp:extent cx="5731510" cy="3625850"/>
            <wp:effectExtent l="0" t="0" r="0" b="6350"/>
            <wp:wrapTopAndBottom/>
            <wp:docPr id="754630934" name="Picture 1" descr="A graph of a graph showing the number of the number of compani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630934" name="Picture 1" descr="A graph of a graph showing the number of the number of companies&#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731510" cy="3625850"/>
                    </a:xfrm>
                    <a:prstGeom prst="rect">
                      <a:avLst/>
                    </a:prstGeom>
                  </pic:spPr>
                </pic:pic>
              </a:graphicData>
            </a:graphic>
            <wp14:sizeRelH relativeFrom="page">
              <wp14:pctWidth>0</wp14:pctWidth>
            </wp14:sizeRelH>
            <wp14:sizeRelV relativeFrom="page">
              <wp14:pctHeight>0</wp14:pctHeight>
            </wp14:sizeRelV>
          </wp:anchor>
        </w:drawing>
      </w:r>
    </w:p>
    <w:p w14:paraId="6FF81B1F" w14:textId="77777777" w:rsidR="001A53C7" w:rsidRDefault="001A53C7" w:rsidP="009612B8"/>
    <w:p w14:paraId="7B10C6AE" w14:textId="77777777" w:rsidR="008D0C47" w:rsidRDefault="008D0C47" w:rsidP="009612B8"/>
    <w:p w14:paraId="473D5167" w14:textId="77777777" w:rsidR="00B32C9E" w:rsidRDefault="00127F43" w:rsidP="00B32C9E">
      <w:pPr>
        <w:spacing w:before="120" w:after="120" w:line="360" w:lineRule="auto"/>
        <w:ind w:firstLine="720"/>
        <w:jc w:val="both"/>
      </w:pPr>
      <w:r>
        <w:t>Continuing with the cash flow for the small field in Figure 7, notice how EPL</w:t>
      </w:r>
      <w:r w:rsidR="000D6990">
        <w:t xml:space="preserve"> 2 and</w:t>
      </w:r>
      <w:r>
        <w:t xml:space="preserve"> 3</w:t>
      </w:r>
      <w:r w:rsidR="00F5477A">
        <w:t xml:space="preserve"> severely </w:t>
      </w:r>
      <w:r w:rsidR="000D6990">
        <w:t>reduce</w:t>
      </w:r>
      <w:r w:rsidR="00F5477A">
        <w:t xml:space="preserve"> the cashflow compared to the permanent </w:t>
      </w:r>
      <w:r w:rsidR="000D6990">
        <w:t xml:space="preserve">system or EPL 1, especially after </w:t>
      </w:r>
      <w:r w:rsidR="00E91C17">
        <w:t xml:space="preserve">2027 when the </w:t>
      </w:r>
      <w:r w:rsidR="000D6990">
        <w:t xml:space="preserve">RFES </w:t>
      </w:r>
      <w:r w:rsidR="00E91C17">
        <w:t xml:space="preserve">is exhausted. </w:t>
      </w:r>
      <w:r w:rsidR="0049115B">
        <w:t xml:space="preserve"> </w:t>
      </w:r>
      <w:r w:rsidR="0049115B">
        <w:t xml:space="preserve">This is due to a combination of: 1) the operator not being able to claim immediate tax relief and 2) much of the income generated by the field being within the duration of the Levy. </w:t>
      </w:r>
      <w:r w:rsidR="0010660C">
        <w:t>In the small field, as seen in Table 5, this leads to a negative NPV.</w:t>
      </w:r>
    </w:p>
    <w:p w14:paraId="010CD62C" w14:textId="7AF0ACA1" w:rsidR="008D0C47" w:rsidRDefault="00B32C9E" w:rsidP="00B32C9E">
      <w:pPr>
        <w:spacing w:before="120" w:after="120" w:line="360" w:lineRule="auto"/>
        <w:ind w:firstLine="720"/>
        <w:jc w:val="both"/>
      </w:pPr>
      <w:r>
        <w:t>F</w:t>
      </w:r>
      <w:r w:rsidR="0010660C">
        <w:t>igure</w:t>
      </w:r>
      <w:r w:rsidR="00652573">
        <w:t>s</w:t>
      </w:r>
      <w:r w:rsidR="0010660C">
        <w:t xml:space="preserve"> 8 and 9 show the effect for the medium and large fields. </w:t>
      </w:r>
      <w:r w:rsidR="009C3A3D">
        <w:t xml:space="preserve">The results show a similar story to the small field. However, the size of the projects </w:t>
      </w:r>
      <w:r>
        <w:t>makes</w:t>
      </w:r>
      <w:r w:rsidR="009C3A3D">
        <w:t xml:space="preserve"> it so that the projects hold value, but </w:t>
      </w:r>
      <w:r>
        <w:t xml:space="preserve">the best part of the early profits are captured by the more stringent conditions of EPL 3 and EPL 3b. </w:t>
      </w:r>
    </w:p>
    <w:p w14:paraId="46C794DB" w14:textId="68C949E4" w:rsidR="008D0C47" w:rsidRDefault="00401A21" w:rsidP="00D96A40">
      <w:pPr>
        <w:pStyle w:val="Caption"/>
      </w:pPr>
      <w:r>
        <w:rPr>
          <w:noProof/>
        </w:rPr>
        <w:lastRenderedPageBreak/>
        <w:drawing>
          <wp:anchor distT="0" distB="0" distL="114300" distR="114300" simplePos="0" relativeHeight="251663360" behindDoc="0" locked="0" layoutInCell="1" allowOverlap="1" wp14:anchorId="05D95AE9" wp14:editId="2CB68E9C">
            <wp:simplePos x="0" y="0"/>
            <wp:positionH relativeFrom="column">
              <wp:posOffset>297712</wp:posOffset>
            </wp:positionH>
            <wp:positionV relativeFrom="paragraph">
              <wp:posOffset>402221</wp:posOffset>
            </wp:positionV>
            <wp:extent cx="5731510" cy="3625850"/>
            <wp:effectExtent l="0" t="0" r="0" b="6350"/>
            <wp:wrapTopAndBottom/>
            <wp:docPr id="250904901"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904901" name="Picture 1" descr="A graph with numbers and line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3625850"/>
                    </a:xfrm>
                    <a:prstGeom prst="rect">
                      <a:avLst/>
                    </a:prstGeom>
                  </pic:spPr>
                </pic:pic>
              </a:graphicData>
            </a:graphic>
            <wp14:sizeRelH relativeFrom="page">
              <wp14:pctWidth>0</wp14:pctWidth>
            </wp14:sizeRelH>
            <wp14:sizeRelV relativeFrom="page">
              <wp14:pctHeight>0</wp14:pctHeight>
            </wp14:sizeRelV>
          </wp:anchor>
        </w:drawing>
      </w:r>
      <w:r w:rsidR="00D96A40">
        <w:t>Figure 8</w:t>
      </w:r>
    </w:p>
    <w:p w14:paraId="1B84D147" w14:textId="45541270" w:rsidR="008D0C47" w:rsidRDefault="00401A21" w:rsidP="00401A21">
      <w:pPr>
        <w:pStyle w:val="Caption"/>
      </w:pPr>
      <w:r>
        <w:t>Figure 9</w:t>
      </w:r>
    </w:p>
    <w:p w14:paraId="3FA00337" w14:textId="67F6EE8C" w:rsidR="00401A21" w:rsidRPr="00401A21" w:rsidRDefault="00C156AD" w:rsidP="00401A21">
      <w:pPr>
        <w:rPr>
          <w:lang w:eastAsia="en-GB"/>
        </w:rPr>
      </w:pPr>
      <w:r>
        <w:rPr>
          <w:noProof/>
        </w:rPr>
        <w:drawing>
          <wp:inline distT="0" distB="0" distL="0" distR="0" wp14:anchorId="072A5352" wp14:editId="0FDA38CC">
            <wp:extent cx="5731510" cy="3625850"/>
            <wp:effectExtent l="0" t="0" r="0" b="6350"/>
            <wp:docPr id="1277727952"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727952" name="Picture 1" descr="A graph with numbers and lines&#10;&#10;Description automatically generated"/>
                    <pic:cNvPicPr/>
                  </pic:nvPicPr>
                  <pic:blipFill>
                    <a:blip r:embed="rId19"/>
                    <a:stretch>
                      <a:fillRect/>
                    </a:stretch>
                  </pic:blipFill>
                  <pic:spPr>
                    <a:xfrm>
                      <a:off x="0" y="0"/>
                      <a:ext cx="5731510" cy="3625850"/>
                    </a:xfrm>
                    <a:prstGeom prst="rect">
                      <a:avLst/>
                    </a:prstGeom>
                  </pic:spPr>
                </pic:pic>
              </a:graphicData>
            </a:graphic>
          </wp:inline>
        </w:drawing>
      </w:r>
    </w:p>
    <w:p w14:paraId="041C0534" w14:textId="22F7EF0F" w:rsidR="008D0C47" w:rsidRDefault="008D0C47" w:rsidP="009612B8"/>
    <w:p w14:paraId="5D7D096F" w14:textId="740B18F4" w:rsidR="00AE4AB7" w:rsidRDefault="00AE4AB7" w:rsidP="009612B8"/>
    <w:p w14:paraId="23757DDA" w14:textId="77777777" w:rsidR="008D0C47" w:rsidRDefault="008D0C47" w:rsidP="009612B8"/>
    <w:p w14:paraId="3F927996" w14:textId="77777777" w:rsidR="00390A34" w:rsidRDefault="00390A34" w:rsidP="009612B8"/>
    <w:p w14:paraId="2198558E" w14:textId="0011BCDD" w:rsidR="00390A34" w:rsidRDefault="00E776B3" w:rsidP="00652573">
      <w:pPr>
        <w:spacing w:line="360" w:lineRule="auto"/>
        <w:jc w:val="both"/>
      </w:pPr>
      <w:r>
        <w:lastRenderedPageBreak/>
        <w:t xml:space="preserve">The results in Table 5 and Figures 4 through 7 clearly show that </w:t>
      </w:r>
      <w:r w:rsidR="00355A0E">
        <w:t>the value of UKCS investment projects under tax conditions like the ones proposed for EPL 3a and EPL 3b could be severely reduced.</w:t>
      </w:r>
      <w:r w:rsidR="00193AF5">
        <w:t xml:space="preserve"> Notably:</w:t>
      </w:r>
    </w:p>
    <w:p w14:paraId="04966A3C" w14:textId="77777777" w:rsidR="00193AF5" w:rsidRDefault="00193AF5" w:rsidP="00652573">
      <w:pPr>
        <w:spacing w:line="360" w:lineRule="auto"/>
        <w:jc w:val="both"/>
      </w:pPr>
    </w:p>
    <w:p w14:paraId="0A22FD89" w14:textId="77777777" w:rsidR="009C71FC" w:rsidRDefault="00193AF5" w:rsidP="00652573">
      <w:pPr>
        <w:pStyle w:val="ListParagraph"/>
        <w:numPr>
          <w:ilvl w:val="0"/>
          <w:numId w:val="4"/>
        </w:numPr>
        <w:spacing w:line="360" w:lineRule="auto"/>
        <w:jc w:val="both"/>
      </w:pPr>
      <w:r>
        <w:t xml:space="preserve">Small projects will likely not be developed under </w:t>
      </w:r>
      <w:r w:rsidR="00F639BC">
        <w:t xml:space="preserve">EPL 3a or EPL 3 for any income case. </w:t>
      </w:r>
      <w:r w:rsidR="00E06794">
        <w:t xml:space="preserve">In the optimistic case that the operator decides to invest, </w:t>
      </w:r>
      <w:r w:rsidR="009C71FC">
        <w:t xml:space="preserve">there is a strong incentive to delay delaying the project closer until the EPL sunset. </w:t>
      </w:r>
    </w:p>
    <w:p w14:paraId="73D8A349" w14:textId="77777777" w:rsidR="009C71FC" w:rsidRDefault="009C71FC" w:rsidP="00652573">
      <w:pPr>
        <w:pStyle w:val="ListParagraph"/>
        <w:spacing w:line="360" w:lineRule="auto"/>
        <w:jc w:val="both"/>
      </w:pPr>
    </w:p>
    <w:p w14:paraId="6857620E" w14:textId="304FE5CA" w:rsidR="00193AF5" w:rsidRDefault="009C71FC" w:rsidP="00652573">
      <w:pPr>
        <w:pStyle w:val="ListParagraph"/>
        <w:numPr>
          <w:ilvl w:val="0"/>
          <w:numId w:val="4"/>
        </w:numPr>
        <w:spacing w:line="360" w:lineRule="auto"/>
        <w:jc w:val="both"/>
      </w:pPr>
      <w:r>
        <w:t xml:space="preserve"> </w:t>
      </w:r>
      <w:r w:rsidR="002F6BCE">
        <w:t xml:space="preserve">The one-year extension and even removing the investment allowance for EPL, while reducing value, it is not as strong compared to current EPL 2. However, the removal of the capital allowance for EPL </w:t>
      </w:r>
      <w:r w:rsidR="00C534AB">
        <w:t xml:space="preserve">reduces value by such </w:t>
      </w:r>
      <w:proofErr w:type="spellStart"/>
      <w:proofErr w:type="gramStart"/>
      <w:r w:rsidR="00C534AB">
        <w:t>a</w:t>
      </w:r>
      <w:proofErr w:type="spellEnd"/>
      <w:proofErr w:type="gramEnd"/>
      <w:r w:rsidR="00C534AB">
        <w:t xml:space="preserve"> extent that</w:t>
      </w:r>
      <w:r w:rsidR="008B7C34">
        <w:t xml:space="preserve"> there is no inbuilt incentive to increase capital expenditures while the Levy applies. </w:t>
      </w:r>
    </w:p>
    <w:p w14:paraId="16B36EF4" w14:textId="77777777" w:rsidR="008B7C34" w:rsidRDefault="008B7C34" w:rsidP="00652573">
      <w:pPr>
        <w:pStyle w:val="ListParagraph"/>
        <w:spacing w:line="360" w:lineRule="auto"/>
        <w:jc w:val="both"/>
      </w:pPr>
    </w:p>
    <w:p w14:paraId="24ACDD53" w14:textId="245C8F78" w:rsidR="008B7C34" w:rsidRDefault="008B7C34" w:rsidP="00652573">
      <w:pPr>
        <w:pStyle w:val="ListParagraph"/>
        <w:numPr>
          <w:ilvl w:val="0"/>
          <w:numId w:val="4"/>
        </w:numPr>
        <w:spacing w:line="360" w:lineRule="auto"/>
        <w:jc w:val="both"/>
      </w:pPr>
      <w:r>
        <w:t xml:space="preserve">Operators without other income to claim relief </w:t>
      </w:r>
      <w:r w:rsidR="00652573">
        <w:t xml:space="preserve">for capital expenditures will, in general, be worse off than those who have other income available. This poses problems mostly to small firms and new players in the UKCS. </w:t>
      </w:r>
    </w:p>
    <w:p w14:paraId="39D9475F" w14:textId="77777777" w:rsidR="00355A0E" w:rsidRDefault="00355A0E" w:rsidP="009612B8"/>
    <w:p w14:paraId="48213427" w14:textId="77777777" w:rsidR="00390A34" w:rsidRDefault="00390A34" w:rsidP="009612B8"/>
    <w:p w14:paraId="11FD4AE6" w14:textId="77777777" w:rsidR="00A02BD0" w:rsidRDefault="00A02BD0" w:rsidP="00DD22BB">
      <w:pPr>
        <w:pStyle w:val="Heading1"/>
      </w:pPr>
    </w:p>
    <w:p w14:paraId="4A3DCC02" w14:textId="5C32553F" w:rsidR="00744B66" w:rsidRPr="00744B66" w:rsidRDefault="00744B66" w:rsidP="00DD22BB">
      <w:pPr>
        <w:pStyle w:val="Heading1"/>
      </w:pPr>
      <w:bookmarkStart w:id="9" w:name="_Toc167823400"/>
      <w:r w:rsidRPr="00744B66">
        <w:t>Section 4 Concluding remarks and observations</w:t>
      </w:r>
      <w:bookmarkEnd w:id="9"/>
    </w:p>
    <w:p w14:paraId="1EA5B68F" w14:textId="79A0E0ED" w:rsidR="00744B66" w:rsidRPr="00652573" w:rsidRDefault="00652573" w:rsidP="004756A5">
      <w:pPr>
        <w:spacing w:before="120" w:after="240" w:line="360" w:lineRule="auto"/>
        <w:jc w:val="both"/>
        <w:rPr>
          <w:rFonts w:eastAsia="Calibri"/>
        </w:rPr>
      </w:pPr>
      <w:r w:rsidRPr="00652573">
        <w:rPr>
          <w:rFonts w:eastAsia="Calibri"/>
        </w:rPr>
        <w:t xml:space="preserve">To be written once we agree on the points to highlight.  </w:t>
      </w:r>
      <w:r w:rsidR="004756A5" w:rsidRPr="00652573">
        <w:rPr>
          <w:rFonts w:eastAsia="Calibri"/>
        </w:rPr>
        <w:t xml:space="preserve"> </w:t>
      </w:r>
    </w:p>
    <w:sectPr w:rsidR="00744B66" w:rsidRPr="00652573" w:rsidSect="00A97132">
      <w:footerReference w:type="default" r:id="rId2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F942D" w14:textId="77777777" w:rsidR="00E8116D" w:rsidRDefault="00E8116D">
      <w:r>
        <w:separator/>
      </w:r>
    </w:p>
    <w:p w14:paraId="04042DA9" w14:textId="77777777" w:rsidR="00E8116D" w:rsidRDefault="00E8116D"/>
  </w:endnote>
  <w:endnote w:type="continuationSeparator" w:id="0">
    <w:p w14:paraId="6C518075" w14:textId="77777777" w:rsidR="00E8116D" w:rsidRDefault="00E8116D">
      <w:r>
        <w:continuationSeparator/>
      </w:r>
    </w:p>
    <w:p w14:paraId="0DB9FAA0" w14:textId="77777777" w:rsidR="00E8116D" w:rsidRDefault="00E811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4E347" w14:textId="77777777" w:rsidR="00814197" w:rsidRDefault="008141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90</w:t>
    </w:r>
    <w:r>
      <w:rPr>
        <w:rStyle w:val="PageNumber"/>
      </w:rPr>
      <w:fldChar w:fldCharType="end"/>
    </w:r>
  </w:p>
  <w:p w14:paraId="73B01FDD" w14:textId="77777777" w:rsidR="00814197" w:rsidRDefault="008141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9E50E" w14:textId="77777777" w:rsidR="00814197" w:rsidRDefault="00814197">
    <w:pPr>
      <w:pStyle w:val="Footer"/>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8859490"/>
      <w:docPartObj>
        <w:docPartGallery w:val="Page Numbers (Bottom of Page)"/>
        <w:docPartUnique/>
      </w:docPartObj>
    </w:sdtPr>
    <w:sdtEndPr>
      <w:rPr>
        <w:noProof/>
      </w:rPr>
    </w:sdtEndPr>
    <w:sdtContent>
      <w:p w14:paraId="52740AC2" w14:textId="77777777" w:rsidR="00814197" w:rsidRDefault="00814197">
        <w:pPr>
          <w:pStyle w:val="Footer"/>
          <w:jc w:val="center"/>
        </w:pPr>
        <w:r>
          <w:fldChar w:fldCharType="begin"/>
        </w:r>
        <w:r>
          <w:instrText xml:space="preserve"> PAGE   \* MERGEFORMAT </w:instrText>
        </w:r>
        <w:r>
          <w:fldChar w:fldCharType="separate"/>
        </w:r>
        <w:r>
          <w:rPr>
            <w:noProof/>
          </w:rPr>
          <w:t>viii</w:t>
        </w:r>
        <w:r>
          <w:rPr>
            <w:noProof/>
          </w:rPr>
          <w:fldChar w:fldCharType="end"/>
        </w:r>
      </w:p>
    </w:sdtContent>
  </w:sdt>
  <w:p w14:paraId="48CD8433" w14:textId="77777777" w:rsidR="00814197" w:rsidRDefault="0081419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1813659"/>
      <w:docPartObj>
        <w:docPartGallery w:val="Page Numbers (Bottom of Page)"/>
        <w:docPartUnique/>
      </w:docPartObj>
    </w:sdtPr>
    <w:sdtEndPr>
      <w:rPr>
        <w:noProof/>
      </w:rPr>
    </w:sdtEndPr>
    <w:sdtContent>
      <w:p w14:paraId="5D98403B" w14:textId="77777777" w:rsidR="00814197" w:rsidRDefault="00814197">
        <w:pPr>
          <w:pStyle w:val="Footer"/>
          <w:jc w:val="center"/>
        </w:pPr>
        <w:r>
          <w:fldChar w:fldCharType="begin"/>
        </w:r>
        <w:r>
          <w:instrText xml:space="preserve"> PAGE   \* MERGEFORMAT </w:instrText>
        </w:r>
        <w:r>
          <w:fldChar w:fldCharType="separate"/>
        </w:r>
        <w:r>
          <w:rPr>
            <w:noProof/>
          </w:rPr>
          <w:t>70</w:t>
        </w:r>
        <w:r>
          <w:rPr>
            <w:noProof/>
          </w:rPr>
          <w:fldChar w:fldCharType="end"/>
        </w:r>
      </w:p>
    </w:sdtContent>
  </w:sdt>
  <w:p w14:paraId="34E4FFCF" w14:textId="77777777" w:rsidR="00814197" w:rsidRDefault="00814197">
    <w:pPr>
      <w:pStyle w:val="Footer"/>
    </w:pPr>
  </w:p>
  <w:p w14:paraId="30D0DFD1" w14:textId="77777777" w:rsidR="00884BC6" w:rsidRDefault="00884BC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78E8E" w14:textId="77777777" w:rsidR="00E8116D" w:rsidRDefault="00E8116D">
      <w:r>
        <w:separator/>
      </w:r>
    </w:p>
    <w:p w14:paraId="2234AD9D" w14:textId="77777777" w:rsidR="00E8116D" w:rsidRDefault="00E8116D"/>
  </w:footnote>
  <w:footnote w:type="continuationSeparator" w:id="0">
    <w:p w14:paraId="29EEDAC8" w14:textId="77777777" w:rsidR="00E8116D" w:rsidRDefault="00E8116D">
      <w:r>
        <w:continuationSeparator/>
      </w:r>
    </w:p>
    <w:p w14:paraId="4B4BEE2B" w14:textId="77777777" w:rsidR="00E8116D" w:rsidRDefault="00E8116D"/>
  </w:footnote>
  <w:footnote w:id="1">
    <w:p w14:paraId="682280EE" w14:textId="77777777" w:rsidR="00744B66" w:rsidRDefault="00744B66" w:rsidP="00744B66">
      <w:pPr>
        <w:pStyle w:val="FootnoteText"/>
      </w:pPr>
      <w:r>
        <w:rPr>
          <w:rStyle w:val="FootnoteReference"/>
        </w:rPr>
        <w:footnoteRef/>
      </w:r>
      <w:r>
        <w:t xml:space="preserve"> See </w:t>
      </w:r>
      <w:hyperlink r:id="rId1" w:history="1">
        <w:r w:rsidRPr="00895CC8">
          <w:rPr>
            <w:rStyle w:val="Hyperlink"/>
          </w:rPr>
          <w:t>https://www.theguardian.com/business/2022/may/05/shell-profits-windfall-tax</w:t>
        </w:r>
      </w:hyperlink>
      <w:r>
        <w:t xml:space="preserve"> </w:t>
      </w:r>
    </w:p>
  </w:footnote>
  <w:footnote w:id="2">
    <w:p w14:paraId="4479F2BD" w14:textId="77777777" w:rsidR="00905A61" w:rsidRDefault="00905A61" w:rsidP="00905A61">
      <w:pPr>
        <w:pStyle w:val="FootnoteText"/>
      </w:pPr>
      <w:r>
        <w:rPr>
          <w:rStyle w:val="FootnoteReference"/>
        </w:rPr>
        <w:footnoteRef/>
      </w:r>
      <w:r>
        <w:t xml:space="preserve"> See the revised Energy Profits Levy factsheet from November 2022 at </w:t>
      </w:r>
      <w:hyperlink r:id="rId2" w:history="1">
        <w:r w:rsidRPr="005203AC">
          <w:rPr>
            <w:rStyle w:val="Hyperlink"/>
          </w:rPr>
          <w:t>https://www.gov.uk/government/publications/autumn-statement-2022-energy-taxes-factsheet/energy-taxes-factsheet</w:t>
        </w:r>
      </w:hyperlink>
      <w:r>
        <w:t xml:space="preserve"> </w:t>
      </w:r>
    </w:p>
  </w:footnote>
  <w:footnote w:id="3">
    <w:p w14:paraId="4970D3E4" w14:textId="498D6A46" w:rsidR="008F6E87" w:rsidRPr="008F6E87" w:rsidRDefault="008F6E87">
      <w:pPr>
        <w:pStyle w:val="FootnoteText"/>
      </w:pPr>
      <w:r>
        <w:rPr>
          <w:rStyle w:val="FootnoteReference"/>
        </w:rPr>
        <w:footnoteRef/>
      </w:r>
      <w:r>
        <w:t xml:space="preserve"> See </w:t>
      </w:r>
      <w:hyperlink r:id="rId3" w:history="1">
        <w:r w:rsidRPr="006C52B2">
          <w:rPr>
            <w:rStyle w:val="Hyperlink"/>
          </w:rPr>
          <w:t>https://www.gov.uk/government/publications/spring-budget-2024</w:t>
        </w:r>
      </w:hyperlink>
      <w:r>
        <w:t xml:space="preserve"> </w:t>
      </w:r>
    </w:p>
  </w:footnote>
  <w:footnote w:id="4">
    <w:p w14:paraId="4C345FE3" w14:textId="77777777" w:rsidR="009B741E" w:rsidRPr="009B741E" w:rsidRDefault="009B741E" w:rsidP="009B741E">
      <w:pPr>
        <w:pStyle w:val="FootnoteText"/>
      </w:pPr>
      <w:r>
        <w:rPr>
          <w:rStyle w:val="FootnoteReference"/>
        </w:rPr>
        <w:footnoteRef/>
      </w:r>
      <w:r>
        <w:t xml:space="preserve"> See the ESIM mechanism here </w:t>
      </w:r>
      <w:hyperlink r:id="rId4" w:history="1">
        <w:r w:rsidRPr="006C52B2">
          <w:rPr>
            <w:rStyle w:val="Hyperlink"/>
          </w:rPr>
          <w:t>https://www.gov.uk/government/consultations/energy-profits-levy-and-the-energy-security-investment-mechanism-discussion-note/discussion-note-energy-profits-levy-energy-security-investment-mechanism</w:t>
        </w:r>
      </w:hyperlink>
      <w:r>
        <w:t xml:space="preserve"> </w:t>
      </w:r>
    </w:p>
  </w:footnote>
  <w:footnote w:id="5">
    <w:p w14:paraId="13365B1D" w14:textId="46A57F55" w:rsidR="002928B9" w:rsidRPr="002928B9" w:rsidRDefault="002928B9">
      <w:pPr>
        <w:pStyle w:val="FootnoteText"/>
      </w:pPr>
      <w:r>
        <w:rPr>
          <w:rStyle w:val="FootnoteReference"/>
        </w:rPr>
        <w:footnoteRef/>
      </w:r>
      <w:r>
        <w:t xml:space="preserve"> See here for a summary of </w:t>
      </w:r>
      <w:proofErr w:type="spellStart"/>
      <w:r>
        <w:t>Labour’s</w:t>
      </w:r>
      <w:proofErr w:type="spellEnd"/>
      <w:r>
        <w:t xml:space="preserve"> changes to the oil and gas tax regime </w:t>
      </w:r>
      <w:hyperlink r:id="rId5" w:history="1">
        <w:r w:rsidRPr="006C52B2">
          <w:rPr>
            <w:rStyle w:val="Hyperlink"/>
          </w:rPr>
          <w:t>https://www.energyvoice.com/promoted/548737/labour-windfall-tax-proposals-a-summary/</w:t>
        </w:r>
      </w:hyperlink>
      <w:r>
        <w:t xml:space="preserve"> </w:t>
      </w:r>
    </w:p>
  </w:footnote>
  <w:footnote w:id="6">
    <w:p w14:paraId="5E4EDA7F" w14:textId="54A2AA64" w:rsidR="0001701D" w:rsidRPr="0001701D" w:rsidRDefault="0001701D">
      <w:pPr>
        <w:pStyle w:val="FootnoteText"/>
      </w:pPr>
      <w:r>
        <w:rPr>
          <w:rStyle w:val="FootnoteReference"/>
        </w:rPr>
        <w:footnoteRef/>
      </w:r>
      <w:r>
        <w:t xml:space="preserve"> See here </w:t>
      </w:r>
      <w:r w:rsidR="007738A0">
        <w:t xml:space="preserve">for the Oil and Gas Levy policy costing document from </w:t>
      </w:r>
      <w:proofErr w:type="spellStart"/>
      <w:r w:rsidR="007738A0">
        <w:t>Labour</w:t>
      </w:r>
      <w:proofErr w:type="spellEnd"/>
      <w:r w:rsidR="007738A0">
        <w:t xml:space="preserve"> </w:t>
      </w:r>
      <w:hyperlink r:id="rId6" w:history="1">
        <w:r w:rsidR="007738A0" w:rsidRPr="006C52B2">
          <w:rPr>
            <w:rStyle w:val="Hyperlink"/>
          </w:rPr>
          <w:t>https://assets.publishing.service.gov.uk/media/65c66cbf9c5b7f000c951c82/Opposition_costing_-_Oil_and_Gas_Levy__003__final.pdf</w:t>
        </w:r>
      </w:hyperlink>
      <w:r w:rsidR="007738A0">
        <w:t xml:space="preserve"> </w:t>
      </w:r>
    </w:p>
  </w:footnote>
  <w:footnote w:id="7">
    <w:p w14:paraId="3548E41E" w14:textId="77E87BC2" w:rsidR="00F77419" w:rsidRPr="00F77419" w:rsidRDefault="00F77419">
      <w:pPr>
        <w:pStyle w:val="FootnoteText"/>
      </w:pPr>
      <w:r>
        <w:rPr>
          <w:rStyle w:val="FootnoteReference"/>
        </w:rPr>
        <w:footnoteRef/>
      </w:r>
      <w:r>
        <w:t xml:space="preserve"> See </w:t>
      </w:r>
      <w:hyperlink r:id="rId7" w:history="1">
        <w:r w:rsidR="0080618D" w:rsidRPr="006C52B2">
          <w:rPr>
            <w:rStyle w:val="Hyperlink"/>
          </w:rPr>
          <w:t>https://www.offshore-mag.com/regional-reports/north-sea-europe/article/14310742/oeuk-urges-more-positive-uk-offshore-energy-policy</w:t>
        </w:r>
      </w:hyperlink>
      <w:r w:rsidR="0080618D">
        <w:t xml:space="preserve"> </w:t>
      </w:r>
    </w:p>
  </w:footnote>
  <w:footnote w:id="8">
    <w:p w14:paraId="435046B9" w14:textId="2DE6A8E8" w:rsidR="00DA3920" w:rsidRPr="00DA3920" w:rsidRDefault="00DA3920">
      <w:pPr>
        <w:pStyle w:val="FootnoteText"/>
      </w:pPr>
      <w:r>
        <w:rPr>
          <w:rStyle w:val="FootnoteReference"/>
        </w:rPr>
        <w:footnoteRef/>
      </w:r>
      <w:r>
        <w:t xml:space="preserve"> See </w:t>
      </w:r>
      <w:hyperlink r:id="rId8" w:history="1">
        <w:r w:rsidRPr="006C52B2">
          <w:rPr>
            <w:rStyle w:val="Hyperlink"/>
          </w:rPr>
          <w:t>https://oeuk.org.uk/manifesto/</w:t>
        </w:r>
      </w:hyperlink>
      <w:r>
        <w:t xml:space="preserve"> </w:t>
      </w:r>
    </w:p>
  </w:footnote>
  <w:footnote w:id="9">
    <w:p w14:paraId="17B7AE99" w14:textId="508DEED1" w:rsidR="00D8693E" w:rsidRPr="00D8693E" w:rsidRDefault="00D8693E">
      <w:pPr>
        <w:pStyle w:val="FootnoteText"/>
      </w:pPr>
      <w:r>
        <w:rPr>
          <w:rStyle w:val="FootnoteReference"/>
        </w:rPr>
        <w:footnoteRef/>
      </w:r>
      <w:r>
        <w:t xml:space="preserve"> See a </w:t>
      </w:r>
      <w:proofErr w:type="spellStart"/>
      <w:r>
        <w:t>summar</w:t>
      </w:r>
      <w:proofErr w:type="spellEnd"/>
      <w:r>
        <w:t xml:space="preserve"> of claims </w:t>
      </w:r>
      <w:r w:rsidR="003A45CF">
        <w:t xml:space="preserve">in an analysis by </w:t>
      </w:r>
      <w:proofErr w:type="spellStart"/>
      <w:r w:rsidR="003A45CF">
        <w:t>Rystad</w:t>
      </w:r>
      <w:proofErr w:type="spellEnd"/>
      <w:r w:rsidR="003A45CF">
        <w:t xml:space="preserve"> Energy </w:t>
      </w:r>
      <w:hyperlink r:id="rId9" w:history="1">
        <w:r w:rsidR="003A45CF" w:rsidRPr="006C52B2">
          <w:rPr>
            <w:rStyle w:val="Hyperlink"/>
          </w:rPr>
          <w:t>https://www.energyindepth.org/after-two-years-its-clear-uks-windfall-tax-harms-north-sea-oil-natural-gas-investment/</w:t>
        </w:r>
      </w:hyperlink>
      <w:r w:rsidR="003A45CF">
        <w:t xml:space="preserve"> </w:t>
      </w:r>
    </w:p>
  </w:footnote>
  <w:footnote w:id="10">
    <w:p w14:paraId="40E17E42" w14:textId="77777777" w:rsidR="00137ACB" w:rsidRDefault="00137ACB" w:rsidP="00137ACB">
      <w:pPr>
        <w:pStyle w:val="FootnoteText"/>
      </w:pPr>
      <w:r>
        <w:rPr>
          <w:rStyle w:val="FootnoteReference"/>
        </w:rPr>
        <w:footnoteRef/>
      </w:r>
      <w:r>
        <w:t xml:space="preserve"> See the case of Total Energies at </w:t>
      </w:r>
      <w:hyperlink r:id="rId10" w:history="1">
        <w:r w:rsidRPr="00FB2A88">
          <w:rPr>
            <w:rStyle w:val="Hyperlink"/>
          </w:rPr>
          <w:t>https://oeuk.org.uk/oeuk-calls-on-government-to-rebuild-investor-confidence-after-windfall-tax-changes/</w:t>
        </w:r>
      </w:hyperlink>
      <w:r>
        <w:t xml:space="preserve"> </w:t>
      </w:r>
    </w:p>
  </w:footnote>
  <w:footnote w:id="11">
    <w:p w14:paraId="7E3E6755" w14:textId="073A4C1F" w:rsidR="00C3704E" w:rsidRPr="00C3704E" w:rsidRDefault="00C3704E">
      <w:pPr>
        <w:pStyle w:val="FootnoteText"/>
      </w:pPr>
      <w:r>
        <w:rPr>
          <w:rStyle w:val="FootnoteReference"/>
        </w:rPr>
        <w:footnoteRef/>
      </w:r>
      <w:r>
        <w:t xml:space="preserve"> </w:t>
      </w:r>
      <w:r w:rsidR="00780726">
        <w:t xml:space="preserve">See declarations from INEOS </w:t>
      </w:r>
      <w:hyperlink r:id="rId11" w:history="1">
        <w:r w:rsidR="00780726" w:rsidRPr="006C52B2">
          <w:rPr>
            <w:rStyle w:val="Hyperlink"/>
          </w:rPr>
          <w:t>https://www.offshore-energy.biz/ineos-windfall-taxes-and-mixed-signals-from-politicians-tearing-down-uks-oil-gas-industry/</w:t>
        </w:r>
      </w:hyperlink>
      <w:r>
        <w:t xml:space="preserve"> </w:t>
      </w:r>
    </w:p>
  </w:footnote>
  <w:footnote w:id="12">
    <w:p w14:paraId="4D3E7D99" w14:textId="1C36524D" w:rsidR="001A5F5A" w:rsidRDefault="00527C97">
      <w:pPr>
        <w:pStyle w:val="FootnoteText"/>
      </w:pPr>
      <w:r>
        <w:rPr>
          <w:rStyle w:val="FootnoteReference"/>
        </w:rPr>
        <w:footnoteRef/>
      </w:r>
      <w:r>
        <w:t xml:space="preserve"> See </w:t>
      </w:r>
      <w:hyperlink r:id="rId12" w:history="1">
        <w:r w:rsidR="001A5F5A" w:rsidRPr="006C52B2">
          <w:rPr>
            <w:rStyle w:val="Hyperlink"/>
          </w:rPr>
          <w:t>https://www.energyindepth.org/after-two-years-its-clear-uks-windfall-tax-harms-north-sea-oil-natural-gas-investment/</w:t>
        </w:r>
      </w:hyperlink>
      <w:r w:rsidR="001A5F5A">
        <w:t xml:space="preserve"> </w:t>
      </w:r>
    </w:p>
    <w:p w14:paraId="03B364A3" w14:textId="77777777" w:rsidR="00527C97" w:rsidRPr="00527C97" w:rsidRDefault="00527C97">
      <w:pPr>
        <w:pStyle w:val="FootnoteText"/>
      </w:pPr>
    </w:p>
  </w:footnote>
  <w:footnote w:id="13">
    <w:p w14:paraId="08494CB6" w14:textId="0EB5EDD9" w:rsidR="001A5F5A" w:rsidRPr="001A5F5A" w:rsidRDefault="001A5F5A">
      <w:pPr>
        <w:pStyle w:val="FootnoteText"/>
      </w:pPr>
      <w:r>
        <w:rPr>
          <w:rStyle w:val="FootnoteReference"/>
        </w:rPr>
        <w:footnoteRef/>
      </w:r>
      <w:r>
        <w:t xml:space="preserve"> See </w:t>
      </w:r>
      <w:hyperlink r:id="rId13" w:history="1">
        <w:r w:rsidRPr="006C52B2">
          <w:rPr>
            <w:rStyle w:val="Hyperlink"/>
          </w:rPr>
          <w:t>https://www.energyvoice.com/oilandgas/north-sea/553700/new-report-finds-north-sea-could-lose-100000-jobs-under-labour-windfall-tax-plans/</w:t>
        </w:r>
      </w:hyperlink>
      <w:r>
        <w:t xml:space="preserve"> </w:t>
      </w:r>
    </w:p>
  </w:footnote>
  <w:footnote w:id="14">
    <w:p w14:paraId="3C2262F2" w14:textId="77777777" w:rsidR="001A1A8F" w:rsidRPr="00026024" w:rsidRDefault="001A1A8F" w:rsidP="001A1A8F">
      <w:pPr>
        <w:pStyle w:val="FootnoteText"/>
      </w:pPr>
      <w:r>
        <w:rPr>
          <w:rStyle w:val="FootnoteReference"/>
        </w:rPr>
        <w:footnoteRef/>
      </w:r>
      <w:r>
        <w:t xml:space="preserve"> See North Sea Paper 148 here </w:t>
      </w:r>
      <w:hyperlink r:id="rId14" w:history="1">
        <w:r w:rsidRPr="006C52B2">
          <w:rPr>
            <w:rStyle w:val="Hyperlink"/>
          </w:rPr>
          <w:t>https://www.abdn.ac.uk/business/documents/NSP-148_access_final.pdf</w:t>
        </w:r>
      </w:hyperlink>
      <w:r>
        <w:t xml:space="preserve"> </w:t>
      </w:r>
    </w:p>
  </w:footnote>
  <w:footnote w:id="15">
    <w:p w14:paraId="24E51C5A" w14:textId="77777777" w:rsidR="00744B66" w:rsidRDefault="00744B66" w:rsidP="00744B66">
      <w:pPr>
        <w:pStyle w:val="FootnoteText"/>
      </w:pPr>
      <w:r>
        <w:rPr>
          <w:rStyle w:val="FootnoteReference"/>
        </w:rPr>
        <w:footnoteRef/>
      </w:r>
      <w:r>
        <w:t xml:space="preserve"> See Taxation overview by the NSTA on the RFES </w:t>
      </w:r>
      <w:hyperlink r:id="rId15" w:history="1">
        <w:r w:rsidRPr="00FB2A88">
          <w:rPr>
            <w:rStyle w:val="Hyperlink"/>
          </w:rPr>
          <w:t>https://www.nstauthority.co.uk/exploration-production/taxation/overview/</w:t>
        </w:r>
      </w:hyperlink>
      <w:r>
        <w:t xml:space="preserve"> </w:t>
      </w:r>
    </w:p>
  </w:footnote>
  <w:footnote w:id="16">
    <w:p w14:paraId="047D7ABF" w14:textId="77777777" w:rsidR="00744B66" w:rsidRDefault="00744B66" w:rsidP="00744B66">
      <w:pPr>
        <w:pStyle w:val="FootnoteText"/>
      </w:pPr>
      <w:r>
        <w:rPr>
          <w:rStyle w:val="FootnoteReference"/>
        </w:rPr>
        <w:footnoteRef/>
      </w:r>
      <w:r>
        <w:t xml:space="preserve"> See Shell’s mid-price scenario on p.243 in </w:t>
      </w:r>
      <w:hyperlink r:id="rId16" w:history="1">
        <w:r w:rsidRPr="008326B3">
          <w:rPr>
            <w:rStyle w:val="Hyperlink"/>
          </w:rPr>
          <w:t>https://reports.shell.com/annual-report/2021/_assets/downloads/shell-annual-report-2021.pdf</w:t>
        </w:r>
      </w:hyperlink>
      <w:r>
        <w:t>. See also BP’s Annual Report and Form 20-F 2021, p.32, where the Brent price used for appraising investments is stated at $60 in real terms to 2030 falling thereafter to $55 in 2040 and $45 in 2050.</w:t>
      </w:r>
    </w:p>
  </w:footnote>
  <w:footnote w:id="17">
    <w:p w14:paraId="1F62391F" w14:textId="77777777" w:rsidR="006A543E" w:rsidRPr="00026024" w:rsidRDefault="00780032" w:rsidP="006A543E">
      <w:pPr>
        <w:pStyle w:val="FootnoteText"/>
      </w:pPr>
      <w:r>
        <w:rPr>
          <w:rStyle w:val="FootnoteReference"/>
        </w:rPr>
        <w:footnoteRef/>
      </w:r>
      <w:r>
        <w:t xml:space="preserve"> For more details on </w:t>
      </w:r>
      <w:r w:rsidR="006A543E">
        <w:t xml:space="preserve">the impact of EPL 2 compared to the permanent system, the reader can access our previous paper on the subject: North Sea Paper – 148 in </w:t>
      </w:r>
      <w:hyperlink r:id="rId17" w:history="1">
        <w:r w:rsidR="006A543E" w:rsidRPr="006C52B2">
          <w:rPr>
            <w:rStyle w:val="Hyperlink"/>
          </w:rPr>
          <w:t>https://www.abdn.ac.uk/business/documents/NSP-148_access_final.pdf</w:t>
        </w:r>
      </w:hyperlink>
      <w:r w:rsidR="006A543E">
        <w:t xml:space="preserve"> </w:t>
      </w:r>
    </w:p>
    <w:p w14:paraId="524E26CF" w14:textId="16361828" w:rsidR="00780032" w:rsidRPr="00780032" w:rsidRDefault="00780032">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478F2"/>
    <w:multiLevelType w:val="hybridMultilevel"/>
    <w:tmpl w:val="72720A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85200C"/>
    <w:multiLevelType w:val="hybridMultilevel"/>
    <w:tmpl w:val="45D460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0D0C4A"/>
    <w:multiLevelType w:val="hybridMultilevel"/>
    <w:tmpl w:val="37CCDC0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 w15:restartNumberingAfterBreak="0">
    <w:nsid w:val="58592092"/>
    <w:multiLevelType w:val="multilevel"/>
    <w:tmpl w:val="B1021B4C"/>
    <w:lvl w:ilvl="0">
      <w:start w:val="1"/>
      <w:numFmt w:val="decimal"/>
      <w:pStyle w:val="Heading5"/>
      <w:lvlText w:val="%1."/>
      <w:lvlJc w:val="left"/>
      <w:pPr>
        <w:tabs>
          <w:tab w:val="num" w:pos="360"/>
        </w:tabs>
        <w:ind w:left="360" w:hanging="360"/>
      </w:pPr>
      <w:rPr>
        <w:rFonts w:hint="default"/>
      </w:rPr>
    </w:lvl>
    <w:lvl w:ilvl="1">
      <w:start w:val="1"/>
      <w:numFmt w:val="decimal"/>
      <w:lvlText w:val="%2."/>
      <w:lvlJc w:val="left"/>
      <w:pPr>
        <w:tabs>
          <w:tab w:val="num" w:pos="-360"/>
        </w:tabs>
        <w:ind w:left="-360" w:hanging="360"/>
      </w:pPr>
      <w:rPr>
        <w:rFonts w:hint="default"/>
      </w:rPr>
    </w:lvl>
    <w:lvl w:ilvl="2">
      <w:start w:val="1"/>
      <w:numFmt w:val="lowerLetter"/>
      <w:pStyle w:val="StyleHeading3TimesNewRomanNotBoldLinespacing15lin"/>
      <w:lvlText w:val="(%3)"/>
      <w:lvlJc w:val="left"/>
      <w:pPr>
        <w:tabs>
          <w:tab w:val="num" w:pos="432"/>
        </w:tabs>
        <w:ind w:left="432" w:hanging="432"/>
      </w:pPr>
      <w:rPr>
        <w:rFonts w:ascii="Times New Roman" w:hAnsi="Times New Roman" w:hint="default"/>
        <w:b w:val="0"/>
        <w:bCs w:val="0"/>
        <w:i w:val="0"/>
        <w:iCs w:val="0"/>
        <w:caps w:val="0"/>
        <w:smallCaps w:val="0"/>
        <w:strike w:val="0"/>
        <w:dstrike w:val="0"/>
        <w:color w:val="auto"/>
        <w:spacing w:val="0"/>
        <w:w w:val="100"/>
        <w:kern w:val="0"/>
        <w:position w:val="0"/>
        <w:sz w:val="28"/>
        <w:u w:val="none"/>
        <w:effect w:val="none"/>
        <w:bdr w:val="none" w:sz="0" w:space="0" w:color="auto"/>
        <w:shd w:val="clear" w:color="auto" w:fill="auto"/>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Heading4"/>
      <w:lvlText w:val="(%4)"/>
      <w:lvlJc w:val="right"/>
      <w:pPr>
        <w:tabs>
          <w:tab w:val="num" w:pos="144"/>
        </w:tabs>
        <w:ind w:left="144" w:hanging="144"/>
      </w:pPr>
      <w:rPr>
        <w:rFonts w:hint="default"/>
      </w:rPr>
    </w:lvl>
    <w:lvl w:ilvl="4">
      <w:start w:val="1"/>
      <w:numFmt w:val="decimal"/>
      <w:lvlText w:val="%5."/>
      <w:lvlJc w:val="left"/>
      <w:pPr>
        <w:tabs>
          <w:tab w:val="num" w:pos="216"/>
        </w:tabs>
        <w:ind w:left="216" w:hanging="360"/>
      </w:pPr>
      <w:rPr>
        <w:rFonts w:hint="default"/>
      </w:rPr>
    </w:lvl>
    <w:lvl w:ilvl="5">
      <w:start w:val="1"/>
      <w:numFmt w:val="lowerLetter"/>
      <w:pStyle w:val="Heading6"/>
      <w:lvlText w:val="%6)"/>
      <w:lvlJc w:val="left"/>
      <w:pPr>
        <w:tabs>
          <w:tab w:val="num" w:pos="432"/>
        </w:tabs>
        <w:ind w:left="432" w:hanging="432"/>
      </w:pPr>
      <w:rPr>
        <w:rFonts w:hint="default"/>
      </w:rPr>
    </w:lvl>
    <w:lvl w:ilvl="6">
      <w:start w:val="1"/>
      <w:numFmt w:val="lowerRoman"/>
      <w:pStyle w:val="Heading7"/>
      <w:lvlText w:val="%7)"/>
      <w:lvlJc w:val="right"/>
      <w:pPr>
        <w:tabs>
          <w:tab w:val="num" w:pos="576"/>
        </w:tabs>
        <w:ind w:left="576" w:hanging="288"/>
      </w:pPr>
      <w:rPr>
        <w:rFonts w:hint="default"/>
      </w:rPr>
    </w:lvl>
    <w:lvl w:ilvl="7">
      <w:start w:val="1"/>
      <w:numFmt w:val="lowerLetter"/>
      <w:pStyle w:val="Heading8"/>
      <w:lvlText w:val="%8."/>
      <w:lvlJc w:val="left"/>
      <w:pPr>
        <w:tabs>
          <w:tab w:val="num" w:pos="720"/>
        </w:tabs>
        <w:ind w:left="720" w:hanging="432"/>
      </w:pPr>
      <w:rPr>
        <w:rFonts w:hint="default"/>
      </w:rPr>
    </w:lvl>
    <w:lvl w:ilvl="8">
      <w:start w:val="1"/>
      <w:numFmt w:val="lowerRoman"/>
      <w:pStyle w:val="Heading9"/>
      <w:lvlText w:val="%9."/>
      <w:lvlJc w:val="right"/>
      <w:pPr>
        <w:tabs>
          <w:tab w:val="num" w:pos="864"/>
        </w:tabs>
        <w:ind w:left="864" w:hanging="144"/>
      </w:pPr>
      <w:rPr>
        <w:rFonts w:hint="default"/>
      </w:rPr>
    </w:lvl>
  </w:abstractNum>
  <w:num w:numId="1" w16cid:durableId="2146775712">
    <w:abstractNumId w:val="3"/>
  </w:num>
  <w:num w:numId="2" w16cid:durableId="1971863593">
    <w:abstractNumId w:val="2"/>
  </w:num>
  <w:num w:numId="3" w16cid:durableId="338578601">
    <w:abstractNumId w:val="0"/>
  </w:num>
  <w:num w:numId="4" w16cid:durableId="1087965251">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0A7"/>
    <w:rsid w:val="0000002E"/>
    <w:rsid w:val="00001026"/>
    <w:rsid w:val="0000190C"/>
    <w:rsid w:val="00001CB7"/>
    <w:rsid w:val="00001CE9"/>
    <w:rsid w:val="00001E7F"/>
    <w:rsid w:val="00002235"/>
    <w:rsid w:val="000029D1"/>
    <w:rsid w:val="00003849"/>
    <w:rsid w:val="00003979"/>
    <w:rsid w:val="00003D42"/>
    <w:rsid w:val="00004DFD"/>
    <w:rsid w:val="00005595"/>
    <w:rsid w:val="0000581A"/>
    <w:rsid w:val="00005BA3"/>
    <w:rsid w:val="00005CB6"/>
    <w:rsid w:val="00005EC7"/>
    <w:rsid w:val="00007530"/>
    <w:rsid w:val="00007582"/>
    <w:rsid w:val="00007609"/>
    <w:rsid w:val="000076F7"/>
    <w:rsid w:val="00010396"/>
    <w:rsid w:val="00010666"/>
    <w:rsid w:val="00011ADE"/>
    <w:rsid w:val="00012DD9"/>
    <w:rsid w:val="000139EC"/>
    <w:rsid w:val="00014FEB"/>
    <w:rsid w:val="0001505F"/>
    <w:rsid w:val="00015354"/>
    <w:rsid w:val="00015670"/>
    <w:rsid w:val="00015771"/>
    <w:rsid w:val="00015F1B"/>
    <w:rsid w:val="00016245"/>
    <w:rsid w:val="0001701D"/>
    <w:rsid w:val="00017C3B"/>
    <w:rsid w:val="00017F52"/>
    <w:rsid w:val="0002046B"/>
    <w:rsid w:val="00020F9D"/>
    <w:rsid w:val="00021C9A"/>
    <w:rsid w:val="00021D50"/>
    <w:rsid w:val="00022159"/>
    <w:rsid w:val="0002222E"/>
    <w:rsid w:val="0002248A"/>
    <w:rsid w:val="0002257E"/>
    <w:rsid w:val="0002266F"/>
    <w:rsid w:val="000226A9"/>
    <w:rsid w:val="00022BF3"/>
    <w:rsid w:val="000234CA"/>
    <w:rsid w:val="00023C79"/>
    <w:rsid w:val="000241FC"/>
    <w:rsid w:val="00025AAE"/>
    <w:rsid w:val="00026024"/>
    <w:rsid w:val="0002637B"/>
    <w:rsid w:val="00027E20"/>
    <w:rsid w:val="00030758"/>
    <w:rsid w:val="0003096A"/>
    <w:rsid w:val="00031119"/>
    <w:rsid w:val="00031476"/>
    <w:rsid w:val="00032494"/>
    <w:rsid w:val="00032735"/>
    <w:rsid w:val="000329B9"/>
    <w:rsid w:val="0003306B"/>
    <w:rsid w:val="00033B15"/>
    <w:rsid w:val="00033D5C"/>
    <w:rsid w:val="000347CE"/>
    <w:rsid w:val="00034927"/>
    <w:rsid w:val="00035776"/>
    <w:rsid w:val="000357EF"/>
    <w:rsid w:val="00036A2B"/>
    <w:rsid w:val="000373BF"/>
    <w:rsid w:val="00037941"/>
    <w:rsid w:val="00037A95"/>
    <w:rsid w:val="000401CC"/>
    <w:rsid w:val="000410BD"/>
    <w:rsid w:val="00041EB6"/>
    <w:rsid w:val="00042D47"/>
    <w:rsid w:val="00042DB7"/>
    <w:rsid w:val="00042E07"/>
    <w:rsid w:val="00042E57"/>
    <w:rsid w:val="00043468"/>
    <w:rsid w:val="00043699"/>
    <w:rsid w:val="0004506B"/>
    <w:rsid w:val="00045996"/>
    <w:rsid w:val="0004664D"/>
    <w:rsid w:val="00046B9E"/>
    <w:rsid w:val="00047B0E"/>
    <w:rsid w:val="000510DA"/>
    <w:rsid w:val="0005190C"/>
    <w:rsid w:val="0005197B"/>
    <w:rsid w:val="00051C0D"/>
    <w:rsid w:val="00051C6A"/>
    <w:rsid w:val="00051F66"/>
    <w:rsid w:val="000523B8"/>
    <w:rsid w:val="00053BAA"/>
    <w:rsid w:val="00054290"/>
    <w:rsid w:val="00054457"/>
    <w:rsid w:val="0005449E"/>
    <w:rsid w:val="00054DD3"/>
    <w:rsid w:val="00055DB5"/>
    <w:rsid w:val="00056085"/>
    <w:rsid w:val="000564B5"/>
    <w:rsid w:val="00056DE1"/>
    <w:rsid w:val="00056FB0"/>
    <w:rsid w:val="00057334"/>
    <w:rsid w:val="000574D6"/>
    <w:rsid w:val="00057865"/>
    <w:rsid w:val="0005797E"/>
    <w:rsid w:val="00060226"/>
    <w:rsid w:val="000602F0"/>
    <w:rsid w:val="0006082A"/>
    <w:rsid w:val="00061C75"/>
    <w:rsid w:val="00063519"/>
    <w:rsid w:val="00063D56"/>
    <w:rsid w:val="00066914"/>
    <w:rsid w:val="00066A7A"/>
    <w:rsid w:val="00066BE0"/>
    <w:rsid w:val="0006700F"/>
    <w:rsid w:val="00067CF2"/>
    <w:rsid w:val="00070A56"/>
    <w:rsid w:val="00070C8B"/>
    <w:rsid w:val="00070F91"/>
    <w:rsid w:val="00071079"/>
    <w:rsid w:val="00071BEB"/>
    <w:rsid w:val="00072FD9"/>
    <w:rsid w:val="000741EC"/>
    <w:rsid w:val="00074409"/>
    <w:rsid w:val="00074573"/>
    <w:rsid w:val="00074B78"/>
    <w:rsid w:val="000758B9"/>
    <w:rsid w:val="00075C99"/>
    <w:rsid w:val="000760F2"/>
    <w:rsid w:val="00076119"/>
    <w:rsid w:val="00076602"/>
    <w:rsid w:val="00077208"/>
    <w:rsid w:val="00077EE1"/>
    <w:rsid w:val="000800F9"/>
    <w:rsid w:val="000801D2"/>
    <w:rsid w:val="00080344"/>
    <w:rsid w:val="00082624"/>
    <w:rsid w:val="00082AA3"/>
    <w:rsid w:val="00083185"/>
    <w:rsid w:val="00083631"/>
    <w:rsid w:val="00083EFD"/>
    <w:rsid w:val="00083FFC"/>
    <w:rsid w:val="00084883"/>
    <w:rsid w:val="00085130"/>
    <w:rsid w:val="00085633"/>
    <w:rsid w:val="00086FFE"/>
    <w:rsid w:val="000874BB"/>
    <w:rsid w:val="000902B7"/>
    <w:rsid w:val="00090E78"/>
    <w:rsid w:val="00091353"/>
    <w:rsid w:val="0009295B"/>
    <w:rsid w:val="0009328C"/>
    <w:rsid w:val="00093396"/>
    <w:rsid w:val="00093A5A"/>
    <w:rsid w:val="00093E7A"/>
    <w:rsid w:val="00094F3E"/>
    <w:rsid w:val="00095232"/>
    <w:rsid w:val="00095811"/>
    <w:rsid w:val="0009633B"/>
    <w:rsid w:val="000965C1"/>
    <w:rsid w:val="00097956"/>
    <w:rsid w:val="00097AD9"/>
    <w:rsid w:val="00097C81"/>
    <w:rsid w:val="000A0289"/>
    <w:rsid w:val="000A068A"/>
    <w:rsid w:val="000A114D"/>
    <w:rsid w:val="000A13B0"/>
    <w:rsid w:val="000A1A12"/>
    <w:rsid w:val="000A2268"/>
    <w:rsid w:val="000A2427"/>
    <w:rsid w:val="000A2C80"/>
    <w:rsid w:val="000A305B"/>
    <w:rsid w:val="000A30ED"/>
    <w:rsid w:val="000A3384"/>
    <w:rsid w:val="000A343E"/>
    <w:rsid w:val="000A3A7C"/>
    <w:rsid w:val="000A41AB"/>
    <w:rsid w:val="000A6A82"/>
    <w:rsid w:val="000A6C54"/>
    <w:rsid w:val="000A712F"/>
    <w:rsid w:val="000B04D7"/>
    <w:rsid w:val="000B054B"/>
    <w:rsid w:val="000B0642"/>
    <w:rsid w:val="000B108D"/>
    <w:rsid w:val="000B11EE"/>
    <w:rsid w:val="000B160A"/>
    <w:rsid w:val="000B1F65"/>
    <w:rsid w:val="000B311F"/>
    <w:rsid w:val="000B32C3"/>
    <w:rsid w:val="000B33F4"/>
    <w:rsid w:val="000B3BDA"/>
    <w:rsid w:val="000B4B08"/>
    <w:rsid w:val="000B5837"/>
    <w:rsid w:val="000B5FDF"/>
    <w:rsid w:val="000B64E6"/>
    <w:rsid w:val="000B7040"/>
    <w:rsid w:val="000B7D61"/>
    <w:rsid w:val="000C1790"/>
    <w:rsid w:val="000C2975"/>
    <w:rsid w:val="000C33BE"/>
    <w:rsid w:val="000C38AC"/>
    <w:rsid w:val="000C3923"/>
    <w:rsid w:val="000C3FE0"/>
    <w:rsid w:val="000C40CA"/>
    <w:rsid w:val="000C449A"/>
    <w:rsid w:val="000C4615"/>
    <w:rsid w:val="000C4A82"/>
    <w:rsid w:val="000C4D80"/>
    <w:rsid w:val="000C5252"/>
    <w:rsid w:val="000C590D"/>
    <w:rsid w:val="000C6212"/>
    <w:rsid w:val="000C7212"/>
    <w:rsid w:val="000D2080"/>
    <w:rsid w:val="000D2115"/>
    <w:rsid w:val="000D24ED"/>
    <w:rsid w:val="000D2B4B"/>
    <w:rsid w:val="000D3089"/>
    <w:rsid w:val="000D3330"/>
    <w:rsid w:val="000D3910"/>
    <w:rsid w:val="000D3F7A"/>
    <w:rsid w:val="000D5009"/>
    <w:rsid w:val="000D59C5"/>
    <w:rsid w:val="000D6990"/>
    <w:rsid w:val="000D7592"/>
    <w:rsid w:val="000D7EB5"/>
    <w:rsid w:val="000E0126"/>
    <w:rsid w:val="000E0382"/>
    <w:rsid w:val="000E0497"/>
    <w:rsid w:val="000E0548"/>
    <w:rsid w:val="000E1937"/>
    <w:rsid w:val="000E1D07"/>
    <w:rsid w:val="000E202D"/>
    <w:rsid w:val="000E2072"/>
    <w:rsid w:val="000E2417"/>
    <w:rsid w:val="000E2A04"/>
    <w:rsid w:val="000E2A4F"/>
    <w:rsid w:val="000E2D00"/>
    <w:rsid w:val="000E2D13"/>
    <w:rsid w:val="000E30ED"/>
    <w:rsid w:val="000E372D"/>
    <w:rsid w:val="000E3A3B"/>
    <w:rsid w:val="000E48AB"/>
    <w:rsid w:val="000E4DBE"/>
    <w:rsid w:val="000E62D0"/>
    <w:rsid w:val="000E64C3"/>
    <w:rsid w:val="000E7156"/>
    <w:rsid w:val="000E7B65"/>
    <w:rsid w:val="000F0295"/>
    <w:rsid w:val="000F1BFE"/>
    <w:rsid w:val="000F252C"/>
    <w:rsid w:val="000F2B23"/>
    <w:rsid w:val="000F2CBE"/>
    <w:rsid w:val="000F2D51"/>
    <w:rsid w:val="000F4393"/>
    <w:rsid w:val="000F43AC"/>
    <w:rsid w:val="000F4F9F"/>
    <w:rsid w:val="000F52FE"/>
    <w:rsid w:val="000F57BA"/>
    <w:rsid w:val="000F6D74"/>
    <w:rsid w:val="000F7229"/>
    <w:rsid w:val="000F73CF"/>
    <w:rsid w:val="001002D1"/>
    <w:rsid w:val="0010083F"/>
    <w:rsid w:val="0010188F"/>
    <w:rsid w:val="001018B6"/>
    <w:rsid w:val="00101F9E"/>
    <w:rsid w:val="001032E8"/>
    <w:rsid w:val="00103496"/>
    <w:rsid w:val="001037F8"/>
    <w:rsid w:val="00104382"/>
    <w:rsid w:val="0010443E"/>
    <w:rsid w:val="0010660C"/>
    <w:rsid w:val="00111581"/>
    <w:rsid w:val="00111864"/>
    <w:rsid w:val="001118D4"/>
    <w:rsid w:val="00112CCE"/>
    <w:rsid w:val="00113897"/>
    <w:rsid w:val="001141A3"/>
    <w:rsid w:val="001142B6"/>
    <w:rsid w:val="001148EE"/>
    <w:rsid w:val="00114C2F"/>
    <w:rsid w:val="00114C4B"/>
    <w:rsid w:val="00114D60"/>
    <w:rsid w:val="0011506D"/>
    <w:rsid w:val="00115C5B"/>
    <w:rsid w:val="00115DE4"/>
    <w:rsid w:val="001161B6"/>
    <w:rsid w:val="00116C97"/>
    <w:rsid w:val="001177D4"/>
    <w:rsid w:val="001204BE"/>
    <w:rsid w:val="00120A0F"/>
    <w:rsid w:val="001211B6"/>
    <w:rsid w:val="0012189F"/>
    <w:rsid w:val="00121AFD"/>
    <w:rsid w:val="00121DDB"/>
    <w:rsid w:val="0012254B"/>
    <w:rsid w:val="00124EDC"/>
    <w:rsid w:val="00125384"/>
    <w:rsid w:val="001257BB"/>
    <w:rsid w:val="00125988"/>
    <w:rsid w:val="00125AEC"/>
    <w:rsid w:val="001267F7"/>
    <w:rsid w:val="0012685C"/>
    <w:rsid w:val="0012759A"/>
    <w:rsid w:val="00127D36"/>
    <w:rsid w:val="00127F43"/>
    <w:rsid w:val="001303D4"/>
    <w:rsid w:val="00131B18"/>
    <w:rsid w:val="001326D8"/>
    <w:rsid w:val="00132701"/>
    <w:rsid w:val="00134762"/>
    <w:rsid w:val="00134C85"/>
    <w:rsid w:val="00134ED7"/>
    <w:rsid w:val="00135118"/>
    <w:rsid w:val="00135539"/>
    <w:rsid w:val="0013568F"/>
    <w:rsid w:val="00135EB2"/>
    <w:rsid w:val="00135F8D"/>
    <w:rsid w:val="00136303"/>
    <w:rsid w:val="00137ACB"/>
    <w:rsid w:val="00137D0B"/>
    <w:rsid w:val="00137D68"/>
    <w:rsid w:val="00142A55"/>
    <w:rsid w:val="00142A5B"/>
    <w:rsid w:val="00142B7F"/>
    <w:rsid w:val="00142E0F"/>
    <w:rsid w:val="001437EC"/>
    <w:rsid w:val="00143A58"/>
    <w:rsid w:val="00143E01"/>
    <w:rsid w:val="00144F48"/>
    <w:rsid w:val="00144F76"/>
    <w:rsid w:val="0014525A"/>
    <w:rsid w:val="00145C43"/>
    <w:rsid w:val="00145E0B"/>
    <w:rsid w:val="00145FC0"/>
    <w:rsid w:val="00147CFE"/>
    <w:rsid w:val="00150563"/>
    <w:rsid w:val="00150739"/>
    <w:rsid w:val="00150A10"/>
    <w:rsid w:val="00151198"/>
    <w:rsid w:val="00151D23"/>
    <w:rsid w:val="001521D0"/>
    <w:rsid w:val="00152CF9"/>
    <w:rsid w:val="00153AFD"/>
    <w:rsid w:val="001542DC"/>
    <w:rsid w:val="001543F7"/>
    <w:rsid w:val="00154AC2"/>
    <w:rsid w:val="001554D2"/>
    <w:rsid w:val="00155CAC"/>
    <w:rsid w:val="00156A98"/>
    <w:rsid w:val="00156AB8"/>
    <w:rsid w:val="00156B0B"/>
    <w:rsid w:val="00157981"/>
    <w:rsid w:val="00157EE8"/>
    <w:rsid w:val="00160BD6"/>
    <w:rsid w:val="00160EE9"/>
    <w:rsid w:val="00161618"/>
    <w:rsid w:val="00161AA4"/>
    <w:rsid w:val="00161E36"/>
    <w:rsid w:val="00162AA1"/>
    <w:rsid w:val="0016332C"/>
    <w:rsid w:val="00164897"/>
    <w:rsid w:val="001663AF"/>
    <w:rsid w:val="00166C08"/>
    <w:rsid w:val="0016774D"/>
    <w:rsid w:val="00167D6D"/>
    <w:rsid w:val="00170164"/>
    <w:rsid w:val="00170C03"/>
    <w:rsid w:val="00172657"/>
    <w:rsid w:val="001728B7"/>
    <w:rsid w:val="0017298B"/>
    <w:rsid w:val="001731DA"/>
    <w:rsid w:val="00173345"/>
    <w:rsid w:val="001734DC"/>
    <w:rsid w:val="00173ADA"/>
    <w:rsid w:val="0017411F"/>
    <w:rsid w:val="0017460C"/>
    <w:rsid w:val="0017464F"/>
    <w:rsid w:val="0017585E"/>
    <w:rsid w:val="00175EAD"/>
    <w:rsid w:val="00176123"/>
    <w:rsid w:val="00176ED9"/>
    <w:rsid w:val="001771C7"/>
    <w:rsid w:val="001776E2"/>
    <w:rsid w:val="001779ED"/>
    <w:rsid w:val="00177BC5"/>
    <w:rsid w:val="00177C4F"/>
    <w:rsid w:val="001803E0"/>
    <w:rsid w:val="00180BB2"/>
    <w:rsid w:val="00180E56"/>
    <w:rsid w:val="0018110E"/>
    <w:rsid w:val="001812ED"/>
    <w:rsid w:val="00181812"/>
    <w:rsid w:val="0018208C"/>
    <w:rsid w:val="00182249"/>
    <w:rsid w:val="001822D4"/>
    <w:rsid w:val="00182304"/>
    <w:rsid w:val="001826F3"/>
    <w:rsid w:val="00182FCF"/>
    <w:rsid w:val="0018322F"/>
    <w:rsid w:val="0018323B"/>
    <w:rsid w:val="00183292"/>
    <w:rsid w:val="00183981"/>
    <w:rsid w:val="00183BB7"/>
    <w:rsid w:val="00184137"/>
    <w:rsid w:val="0018606C"/>
    <w:rsid w:val="00186352"/>
    <w:rsid w:val="00186EE6"/>
    <w:rsid w:val="00187076"/>
    <w:rsid w:val="00187D1B"/>
    <w:rsid w:val="00191295"/>
    <w:rsid w:val="001918CC"/>
    <w:rsid w:val="001918EA"/>
    <w:rsid w:val="001920E3"/>
    <w:rsid w:val="00193415"/>
    <w:rsid w:val="0019366D"/>
    <w:rsid w:val="00193AF5"/>
    <w:rsid w:val="00194118"/>
    <w:rsid w:val="001944EE"/>
    <w:rsid w:val="001945DC"/>
    <w:rsid w:val="00194839"/>
    <w:rsid w:val="00194D1B"/>
    <w:rsid w:val="00194D64"/>
    <w:rsid w:val="001969D9"/>
    <w:rsid w:val="00197B9A"/>
    <w:rsid w:val="001A10A5"/>
    <w:rsid w:val="001A189D"/>
    <w:rsid w:val="001A1A8F"/>
    <w:rsid w:val="001A2792"/>
    <w:rsid w:val="001A2DF1"/>
    <w:rsid w:val="001A2E31"/>
    <w:rsid w:val="001A2EFE"/>
    <w:rsid w:val="001A2F01"/>
    <w:rsid w:val="001A4484"/>
    <w:rsid w:val="001A4823"/>
    <w:rsid w:val="001A53C7"/>
    <w:rsid w:val="001A5F5A"/>
    <w:rsid w:val="001A6153"/>
    <w:rsid w:val="001A6B75"/>
    <w:rsid w:val="001A6C97"/>
    <w:rsid w:val="001A6ECE"/>
    <w:rsid w:val="001A7271"/>
    <w:rsid w:val="001A7A3D"/>
    <w:rsid w:val="001B048B"/>
    <w:rsid w:val="001B06E3"/>
    <w:rsid w:val="001B0A38"/>
    <w:rsid w:val="001B1F5C"/>
    <w:rsid w:val="001B32D4"/>
    <w:rsid w:val="001B3EAC"/>
    <w:rsid w:val="001B4027"/>
    <w:rsid w:val="001B49D5"/>
    <w:rsid w:val="001B5492"/>
    <w:rsid w:val="001B5564"/>
    <w:rsid w:val="001B611F"/>
    <w:rsid w:val="001B63B3"/>
    <w:rsid w:val="001B6409"/>
    <w:rsid w:val="001B69D9"/>
    <w:rsid w:val="001B6AE4"/>
    <w:rsid w:val="001B7390"/>
    <w:rsid w:val="001B763B"/>
    <w:rsid w:val="001B78A1"/>
    <w:rsid w:val="001C0304"/>
    <w:rsid w:val="001C0459"/>
    <w:rsid w:val="001C0E50"/>
    <w:rsid w:val="001C215C"/>
    <w:rsid w:val="001C219C"/>
    <w:rsid w:val="001C31F0"/>
    <w:rsid w:val="001C34B4"/>
    <w:rsid w:val="001C34F7"/>
    <w:rsid w:val="001C36D2"/>
    <w:rsid w:val="001C40C3"/>
    <w:rsid w:val="001C57DE"/>
    <w:rsid w:val="001C5CAE"/>
    <w:rsid w:val="001C66A7"/>
    <w:rsid w:val="001C679E"/>
    <w:rsid w:val="001C797F"/>
    <w:rsid w:val="001D04F5"/>
    <w:rsid w:val="001D112E"/>
    <w:rsid w:val="001D13B3"/>
    <w:rsid w:val="001D1D30"/>
    <w:rsid w:val="001D22D7"/>
    <w:rsid w:val="001D275F"/>
    <w:rsid w:val="001D2CBE"/>
    <w:rsid w:val="001D2FB0"/>
    <w:rsid w:val="001D43F0"/>
    <w:rsid w:val="001D4D16"/>
    <w:rsid w:val="001D4EEB"/>
    <w:rsid w:val="001D503D"/>
    <w:rsid w:val="001D516B"/>
    <w:rsid w:val="001D52F6"/>
    <w:rsid w:val="001D5371"/>
    <w:rsid w:val="001D5643"/>
    <w:rsid w:val="001D575D"/>
    <w:rsid w:val="001D6B11"/>
    <w:rsid w:val="001D7274"/>
    <w:rsid w:val="001E1D23"/>
    <w:rsid w:val="001E23CD"/>
    <w:rsid w:val="001E2EBC"/>
    <w:rsid w:val="001E36DB"/>
    <w:rsid w:val="001E3CDD"/>
    <w:rsid w:val="001E472F"/>
    <w:rsid w:val="001E4C72"/>
    <w:rsid w:val="001E59DC"/>
    <w:rsid w:val="001E5E09"/>
    <w:rsid w:val="001E7371"/>
    <w:rsid w:val="001E75D2"/>
    <w:rsid w:val="001F27FA"/>
    <w:rsid w:val="001F34AE"/>
    <w:rsid w:val="001F3822"/>
    <w:rsid w:val="001F38BB"/>
    <w:rsid w:val="001F41B5"/>
    <w:rsid w:val="001F44C7"/>
    <w:rsid w:val="001F5C7A"/>
    <w:rsid w:val="001F644F"/>
    <w:rsid w:val="001F6E06"/>
    <w:rsid w:val="001F775B"/>
    <w:rsid w:val="001F79DC"/>
    <w:rsid w:val="00201FFE"/>
    <w:rsid w:val="002024C0"/>
    <w:rsid w:val="002024F8"/>
    <w:rsid w:val="0020274A"/>
    <w:rsid w:val="0020289A"/>
    <w:rsid w:val="00202CD2"/>
    <w:rsid w:val="00202D6F"/>
    <w:rsid w:val="0020312E"/>
    <w:rsid w:val="00203564"/>
    <w:rsid w:val="00203C99"/>
    <w:rsid w:val="00203EDF"/>
    <w:rsid w:val="00204BE7"/>
    <w:rsid w:val="00204DD4"/>
    <w:rsid w:val="002059C4"/>
    <w:rsid w:val="002060D7"/>
    <w:rsid w:val="0020654F"/>
    <w:rsid w:val="002069E6"/>
    <w:rsid w:val="00210057"/>
    <w:rsid w:val="00210B25"/>
    <w:rsid w:val="002115ED"/>
    <w:rsid w:val="0021183A"/>
    <w:rsid w:val="002128B0"/>
    <w:rsid w:val="002130C0"/>
    <w:rsid w:val="00213221"/>
    <w:rsid w:val="00213413"/>
    <w:rsid w:val="002137E2"/>
    <w:rsid w:val="002139B2"/>
    <w:rsid w:val="00214475"/>
    <w:rsid w:val="00214BC4"/>
    <w:rsid w:val="00214F53"/>
    <w:rsid w:val="00215410"/>
    <w:rsid w:val="0021541E"/>
    <w:rsid w:val="00215B7E"/>
    <w:rsid w:val="00215DCD"/>
    <w:rsid w:val="002163AB"/>
    <w:rsid w:val="002174E3"/>
    <w:rsid w:val="00217EE7"/>
    <w:rsid w:val="002209F3"/>
    <w:rsid w:val="0022201D"/>
    <w:rsid w:val="0022217F"/>
    <w:rsid w:val="00222A8F"/>
    <w:rsid w:val="0022322A"/>
    <w:rsid w:val="0022332F"/>
    <w:rsid w:val="00223AD9"/>
    <w:rsid w:val="00223B17"/>
    <w:rsid w:val="002242C7"/>
    <w:rsid w:val="00226C30"/>
    <w:rsid w:val="00226EDD"/>
    <w:rsid w:val="00226F14"/>
    <w:rsid w:val="00226F31"/>
    <w:rsid w:val="0022733F"/>
    <w:rsid w:val="002277FA"/>
    <w:rsid w:val="00227AD3"/>
    <w:rsid w:val="00227C85"/>
    <w:rsid w:val="00230482"/>
    <w:rsid w:val="00231585"/>
    <w:rsid w:val="00234E9D"/>
    <w:rsid w:val="0023533D"/>
    <w:rsid w:val="00235562"/>
    <w:rsid w:val="00235827"/>
    <w:rsid w:val="00235AF9"/>
    <w:rsid w:val="0023672C"/>
    <w:rsid w:val="00236BB5"/>
    <w:rsid w:val="002375D2"/>
    <w:rsid w:val="0023770D"/>
    <w:rsid w:val="002404A8"/>
    <w:rsid w:val="00240903"/>
    <w:rsid w:val="002413F2"/>
    <w:rsid w:val="00241574"/>
    <w:rsid w:val="00242203"/>
    <w:rsid w:val="002426B5"/>
    <w:rsid w:val="00242A5D"/>
    <w:rsid w:val="00242B3F"/>
    <w:rsid w:val="002435DD"/>
    <w:rsid w:val="00243AF4"/>
    <w:rsid w:val="00243C11"/>
    <w:rsid w:val="00244DE0"/>
    <w:rsid w:val="0024516B"/>
    <w:rsid w:val="00245948"/>
    <w:rsid w:val="00246F48"/>
    <w:rsid w:val="002470B6"/>
    <w:rsid w:val="00247B60"/>
    <w:rsid w:val="00247F47"/>
    <w:rsid w:val="00250775"/>
    <w:rsid w:val="00250BE7"/>
    <w:rsid w:val="002510D9"/>
    <w:rsid w:val="0025149C"/>
    <w:rsid w:val="0025158A"/>
    <w:rsid w:val="00251876"/>
    <w:rsid w:val="0025263F"/>
    <w:rsid w:val="00253398"/>
    <w:rsid w:val="00253786"/>
    <w:rsid w:val="00254382"/>
    <w:rsid w:val="0025446B"/>
    <w:rsid w:val="002545C4"/>
    <w:rsid w:val="00254A5F"/>
    <w:rsid w:val="00256645"/>
    <w:rsid w:val="00256DC9"/>
    <w:rsid w:val="002572CF"/>
    <w:rsid w:val="00257CC1"/>
    <w:rsid w:val="00257E73"/>
    <w:rsid w:val="0026012D"/>
    <w:rsid w:val="00260176"/>
    <w:rsid w:val="002605AA"/>
    <w:rsid w:val="002607BB"/>
    <w:rsid w:val="00260963"/>
    <w:rsid w:val="00260BC8"/>
    <w:rsid w:val="00260F04"/>
    <w:rsid w:val="002614F8"/>
    <w:rsid w:val="00261870"/>
    <w:rsid w:val="00262333"/>
    <w:rsid w:val="002628D8"/>
    <w:rsid w:val="00262F43"/>
    <w:rsid w:val="00263932"/>
    <w:rsid w:val="0026414D"/>
    <w:rsid w:val="002649CE"/>
    <w:rsid w:val="00265098"/>
    <w:rsid w:val="00265521"/>
    <w:rsid w:val="002664FA"/>
    <w:rsid w:val="00266E76"/>
    <w:rsid w:val="00267288"/>
    <w:rsid w:val="0026770F"/>
    <w:rsid w:val="0027005B"/>
    <w:rsid w:val="0027301C"/>
    <w:rsid w:val="00273504"/>
    <w:rsid w:val="00274D41"/>
    <w:rsid w:val="00275E5A"/>
    <w:rsid w:val="00275FD6"/>
    <w:rsid w:val="002763D3"/>
    <w:rsid w:val="00276B38"/>
    <w:rsid w:val="00276D31"/>
    <w:rsid w:val="0027757B"/>
    <w:rsid w:val="00280A01"/>
    <w:rsid w:val="0028115D"/>
    <w:rsid w:val="002822FD"/>
    <w:rsid w:val="00283113"/>
    <w:rsid w:val="002838EF"/>
    <w:rsid w:val="0028399B"/>
    <w:rsid w:val="0028399E"/>
    <w:rsid w:val="00283C54"/>
    <w:rsid w:val="002844ED"/>
    <w:rsid w:val="002849C6"/>
    <w:rsid w:val="002853FD"/>
    <w:rsid w:val="0028550C"/>
    <w:rsid w:val="002869CF"/>
    <w:rsid w:val="00286E8F"/>
    <w:rsid w:val="00287172"/>
    <w:rsid w:val="0028723C"/>
    <w:rsid w:val="00287E72"/>
    <w:rsid w:val="00287FD1"/>
    <w:rsid w:val="00290E7B"/>
    <w:rsid w:val="00291494"/>
    <w:rsid w:val="00291637"/>
    <w:rsid w:val="00291AE0"/>
    <w:rsid w:val="002928B9"/>
    <w:rsid w:val="00292D15"/>
    <w:rsid w:val="00292F34"/>
    <w:rsid w:val="0029333A"/>
    <w:rsid w:val="002941AE"/>
    <w:rsid w:val="0029430D"/>
    <w:rsid w:val="00294451"/>
    <w:rsid w:val="00295532"/>
    <w:rsid w:val="00295AEC"/>
    <w:rsid w:val="002972B5"/>
    <w:rsid w:val="00297B64"/>
    <w:rsid w:val="002A03F8"/>
    <w:rsid w:val="002A083E"/>
    <w:rsid w:val="002A1325"/>
    <w:rsid w:val="002A1886"/>
    <w:rsid w:val="002A1B8A"/>
    <w:rsid w:val="002A2C3E"/>
    <w:rsid w:val="002A432C"/>
    <w:rsid w:val="002A4B4C"/>
    <w:rsid w:val="002A4C00"/>
    <w:rsid w:val="002A5338"/>
    <w:rsid w:val="002A547F"/>
    <w:rsid w:val="002A753A"/>
    <w:rsid w:val="002B0031"/>
    <w:rsid w:val="002B019E"/>
    <w:rsid w:val="002B027F"/>
    <w:rsid w:val="002B0929"/>
    <w:rsid w:val="002B0E46"/>
    <w:rsid w:val="002B1137"/>
    <w:rsid w:val="002B257D"/>
    <w:rsid w:val="002B2885"/>
    <w:rsid w:val="002B28D3"/>
    <w:rsid w:val="002B2954"/>
    <w:rsid w:val="002B2C38"/>
    <w:rsid w:val="002B5005"/>
    <w:rsid w:val="002B58E6"/>
    <w:rsid w:val="002B5BA1"/>
    <w:rsid w:val="002B5ED6"/>
    <w:rsid w:val="002B6789"/>
    <w:rsid w:val="002B6E57"/>
    <w:rsid w:val="002B7D7C"/>
    <w:rsid w:val="002C004F"/>
    <w:rsid w:val="002C050E"/>
    <w:rsid w:val="002C07A7"/>
    <w:rsid w:val="002C07C1"/>
    <w:rsid w:val="002C0DD3"/>
    <w:rsid w:val="002C2AAC"/>
    <w:rsid w:val="002C32DE"/>
    <w:rsid w:val="002C33D1"/>
    <w:rsid w:val="002C46A2"/>
    <w:rsid w:val="002C69D2"/>
    <w:rsid w:val="002C69DC"/>
    <w:rsid w:val="002C6A8E"/>
    <w:rsid w:val="002C74D3"/>
    <w:rsid w:val="002C7DD2"/>
    <w:rsid w:val="002D0C5B"/>
    <w:rsid w:val="002D126D"/>
    <w:rsid w:val="002D26B6"/>
    <w:rsid w:val="002D2755"/>
    <w:rsid w:val="002D27AF"/>
    <w:rsid w:val="002D37E4"/>
    <w:rsid w:val="002D3B05"/>
    <w:rsid w:val="002D41EF"/>
    <w:rsid w:val="002D522B"/>
    <w:rsid w:val="002D52C4"/>
    <w:rsid w:val="002D5F7C"/>
    <w:rsid w:val="002E0AD1"/>
    <w:rsid w:val="002E0B0C"/>
    <w:rsid w:val="002E0E8D"/>
    <w:rsid w:val="002E1009"/>
    <w:rsid w:val="002E3E6A"/>
    <w:rsid w:val="002E3E97"/>
    <w:rsid w:val="002E4064"/>
    <w:rsid w:val="002E5231"/>
    <w:rsid w:val="002E5499"/>
    <w:rsid w:val="002E7107"/>
    <w:rsid w:val="002F0F98"/>
    <w:rsid w:val="002F137A"/>
    <w:rsid w:val="002F1725"/>
    <w:rsid w:val="002F1BCE"/>
    <w:rsid w:val="002F30D1"/>
    <w:rsid w:val="002F30D9"/>
    <w:rsid w:val="002F3689"/>
    <w:rsid w:val="002F3846"/>
    <w:rsid w:val="002F3EEA"/>
    <w:rsid w:val="002F4290"/>
    <w:rsid w:val="002F4B5A"/>
    <w:rsid w:val="002F5D09"/>
    <w:rsid w:val="002F63BD"/>
    <w:rsid w:val="002F6BCE"/>
    <w:rsid w:val="002F7D4F"/>
    <w:rsid w:val="003000ED"/>
    <w:rsid w:val="00300A92"/>
    <w:rsid w:val="003018AC"/>
    <w:rsid w:val="0030192B"/>
    <w:rsid w:val="00301B0A"/>
    <w:rsid w:val="0030219E"/>
    <w:rsid w:val="00302688"/>
    <w:rsid w:val="00302B0A"/>
    <w:rsid w:val="00303275"/>
    <w:rsid w:val="00303278"/>
    <w:rsid w:val="003039D0"/>
    <w:rsid w:val="0030451C"/>
    <w:rsid w:val="00304A1D"/>
    <w:rsid w:val="00304FD0"/>
    <w:rsid w:val="00305438"/>
    <w:rsid w:val="00306147"/>
    <w:rsid w:val="00310139"/>
    <w:rsid w:val="003105F9"/>
    <w:rsid w:val="00310900"/>
    <w:rsid w:val="00310EF5"/>
    <w:rsid w:val="00310F2D"/>
    <w:rsid w:val="00312A2E"/>
    <w:rsid w:val="00312BC4"/>
    <w:rsid w:val="003132A7"/>
    <w:rsid w:val="003133F5"/>
    <w:rsid w:val="00314500"/>
    <w:rsid w:val="003149DD"/>
    <w:rsid w:val="00316F32"/>
    <w:rsid w:val="00317C46"/>
    <w:rsid w:val="003205A2"/>
    <w:rsid w:val="0032088C"/>
    <w:rsid w:val="00320931"/>
    <w:rsid w:val="00320CA3"/>
    <w:rsid w:val="00322412"/>
    <w:rsid w:val="00322797"/>
    <w:rsid w:val="00323852"/>
    <w:rsid w:val="00325939"/>
    <w:rsid w:val="0032738D"/>
    <w:rsid w:val="003274A7"/>
    <w:rsid w:val="00327945"/>
    <w:rsid w:val="003306C6"/>
    <w:rsid w:val="003307C9"/>
    <w:rsid w:val="003307FE"/>
    <w:rsid w:val="00331256"/>
    <w:rsid w:val="00331634"/>
    <w:rsid w:val="003327D5"/>
    <w:rsid w:val="003333B4"/>
    <w:rsid w:val="00333DBB"/>
    <w:rsid w:val="00333E0D"/>
    <w:rsid w:val="00333EFA"/>
    <w:rsid w:val="00333FDB"/>
    <w:rsid w:val="00334966"/>
    <w:rsid w:val="00334E70"/>
    <w:rsid w:val="00335BB1"/>
    <w:rsid w:val="00336F69"/>
    <w:rsid w:val="0033725E"/>
    <w:rsid w:val="003379C1"/>
    <w:rsid w:val="00337C00"/>
    <w:rsid w:val="00340136"/>
    <w:rsid w:val="003401A3"/>
    <w:rsid w:val="0034086B"/>
    <w:rsid w:val="00340D18"/>
    <w:rsid w:val="00340ECC"/>
    <w:rsid w:val="003410EB"/>
    <w:rsid w:val="00341E78"/>
    <w:rsid w:val="0034243D"/>
    <w:rsid w:val="00342C96"/>
    <w:rsid w:val="00342E76"/>
    <w:rsid w:val="00343B23"/>
    <w:rsid w:val="00344478"/>
    <w:rsid w:val="00345745"/>
    <w:rsid w:val="00345D4B"/>
    <w:rsid w:val="00346E6F"/>
    <w:rsid w:val="00347992"/>
    <w:rsid w:val="00351281"/>
    <w:rsid w:val="0035129F"/>
    <w:rsid w:val="00351E46"/>
    <w:rsid w:val="003525A5"/>
    <w:rsid w:val="00354130"/>
    <w:rsid w:val="00354D31"/>
    <w:rsid w:val="00355A0E"/>
    <w:rsid w:val="00355BBB"/>
    <w:rsid w:val="003567E3"/>
    <w:rsid w:val="003577E1"/>
    <w:rsid w:val="00357F1D"/>
    <w:rsid w:val="003602E4"/>
    <w:rsid w:val="003603BE"/>
    <w:rsid w:val="00360620"/>
    <w:rsid w:val="003608D2"/>
    <w:rsid w:val="00360AC8"/>
    <w:rsid w:val="00361E5E"/>
    <w:rsid w:val="003630FE"/>
    <w:rsid w:val="00363558"/>
    <w:rsid w:val="00363835"/>
    <w:rsid w:val="003643A2"/>
    <w:rsid w:val="003647D1"/>
    <w:rsid w:val="00364ACD"/>
    <w:rsid w:val="0036530B"/>
    <w:rsid w:val="00365B81"/>
    <w:rsid w:val="003661FF"/>
    <w:rsid w:val="003662E7"/>
    <w:rsid w:val="0036651E"/>
    <w:rsid w:val="003666B4"/>
    <w:rsid w:val="00367F12"/>
    <w:rsid w:val="00370126"/>
    <w:rsid w:val="00370688"/>
    <w:rsid w:val="00371148"/>
    <w:rsid w:val="003715BA"/>
    <w:rsid w:val="00372648"/>
    <w:rsid w:val="003736A2"/>
    <w:rsid w:val="003737BA"/>
    <w:rsid w:val="00373919"/>
    <w:rsid w:val="00374E1F"/>
    <w:rsid w:val="0037673C"/>
    <w:rsid w:val="00377200"/>
    <w:rsid w:val="00377FCD"/>
    <w:rsid w:val="0038057F"/>
    <w:rsid w:val="00381837"/>
    <w:rsid w:val="003818CF"/>
    <w:rsid w:val="00381F77"/>
    <w:rsid w:val="00381FAE"/>
    <w:rsid w:val="0038217D"/>
    <w:rsid w:val="003829E4"/>
    <w:rsid w:val="0038303A"/>
    <w:rsid w:val="00383DC9"/>
    <w:rsid w:val="00383FA7"/>
    <w:rsid w:val="0038406C"/>
    <w:rsid w:val="00384913"/>
    <w:rsid w:val="0038506D"/>
    <w:rsid w:val="00385293"/>
    <w:rsid w:val="003852C2"/>
    <w:rsid w:val="00385370"/>
    <w:rsid w:val="003853B4"/>
    <w:rsid w:val="003865AD"/>
    <w:rsid w:val="00386628"/>
    <w:rsid w:val="0039019A"/>
    <w:rsid w:val="00390339"/>
    <w:rsid w:val="00390A34"/>
    <w:rsid w:val="00390B95"/>
    <w:rsid w:val="00390C9B"/>
    <w:rsid w:val="00391050"/>
    <w:rsid w:val="00392132"/>
    <w:rsid w:val="00392C47"/>
    <w:rsid w:val="0039308C"/>
    <w:rsid w:val="00393951"/>
    <w:rsid w:val="00393EDA"/>
    <w:rsid w:val="00394165"/>
    <w:rsid w:val="00394342"/>
    <w:rsid w:val="00396B11"/>
    <w:rsid w:val="00396C7D"/>
    <w:rsid w:val="003970A2"/>
    <w:rsid w:val="00397E5A"/>
    <w:rsid w:val="003A08A6"/>
    <w:rsid w:val="003A08D5"/>
    <w:rsid w:val="003A10A9"/>
    <w:rsid w:val="003A22CD"/>
    <w:rsid w:val="003A2821"/>
    <w:rsid w:val="003A2FF4"/>
    <w:rsid w:val="003A3D4A"/>
    <w:rsid w:val="003A45CF"/>
    <w:rsid w:val="003A4CC2"/>
    <w:rsid w:val="003A5515"/>
    <w:rsid w:val="003A577A"/>
    <w:rsid w:val="003A58D7"/>
    <w:rsid w:val="003A5ECF"/>
    <w:rsid w:val="003A6736"/>
    <w:rsid w:val="003A67C0"/>
    <w:rsid w:val="003A728D"/>
    <w:rsid w:val="003B01BA"/>
    <w:rsid w:val="003B0BA0"/>
    <w:rsid w:val="003B1DAA"/>
    <w:rsid w:val="003B2D61"/>
    <w:rsid w:val="003B6DCA"/>
    <w:rsid w:val="003B70C6"/>
    <w:rsid w:val="003C00C3"/>
    <w:rsid w:val="003C04C4"/>
    <w:rsid w:val="003C16CC"/>
    <w:rsid w:val="003C21F1"/>
    <w:rsid w:val="003C22A0"/>
    <w:rsid w:val="003C2E2D"/>
    <w:rsid w:val="003C3659"/>
    <w:rsid w:val="003C3B7B"/>
    <w:rsid w:val="003C40EA"/>
    <w:rsid w:val="003C4EB7"/>
    <w:rsid w:val="003C56DC"/>
    <w:rsid w:val="003C5A40"/>
    <w:rsid w:val="003C63EC"/>
    <w:rsid w:val="003C6C6E"/>
    <w:rsid w:val="003C6F80"/>
    <w:rsid w:val="003C7AD3"/>
    <w:rsid w:val="003C7B99"/>
    <w:rsid w:val="003C7E89"/>
    <w:rsid w:val="003D018B"/>
    <w:rsid w:val="003D0C8C"/>
    <w:rsid w:val="003D0F38"/>
    <w:rsid w:val="003D167D"/>
    <w:rsid w:val="003D2147"/>
    <w:rsid w:val="003D2B76"/>
    <w:rsid w:val="003D3593"/>
    <w:rsid w:val="003D412B"/>
    <w:rsid w:val="003D54A1"/>
    <w:rsid w:val="003D6248"/>
    <w:rsid w:val="003D676C"/>
    <w:rsid w:val="003D7165"/>
    <w:rsid w:val="003D7806"/>
    <w:rsid w:val="003E0115"/>
    <w:rsid w:val="003E01DE"/>
    <w:rsid w:val="003E029D"/>
    <w:rsid w:val="003E0686"/>
    <w:rsid w:val="003E0E88"/>
    <w:rsid w:val="003E1902"/>
    <w:rsid w:val="003E1985"/>
    <w:rsid w:val="003E19FF"/>
    <w:rsid w:val="003E1BD6"/>
    <w:rsid w:val="003E2FFC"/>
    <w:rsid w:val="003E3405"/>
    <w:rsid w:val="003E4B62"/>
    <w:rsid w:val="003E4FC1"/>
    <w:rsid w:val="003E52AA"/>
    <w:rsid w:val="003E5956"/>
    <w:rsid w:val="003E5BA6"/>
    <w:rsid w:val="003E5EA9"/>
    <w:rsid w:val="003E6BD3"/>
    <w:rsid w:val="003E700C"/>
    <w:rsid w:val="003E754C"/>
    <w:rsid w:val="003E75C6"/>
    <w:rsid w:val="003E7654"/>
    <w:rsid w:val="003E79FB"/>
    <w:rsid w:val="003E7FA2"/>
    <w:rsid w:val="003F0FE5"/>
    <w:rsid w:val="003F1D5E"/>
    <w:rsid w:val="003F1E5B"/>
    <w:rsid w:val="003F2000"/>
    <w:rsid w:val="003F23F7"/>
    <w:rsid w:val="003F262F"/>
    <w:rsid w:val="003F2A65"/>
    <w:rsid w:val="003F31FD"/>
    <w:rsid w:val="003F35E8"/>
    <w:rsid w:val="003F3653"/>
    <w:rsid w:val="003F38C0"/>
    <w:rsid w:val="003F4DC7"/>
    <w:rsid w:val="003F5F60"/>
    <w:rsid w:val="003F6648"/>
    <w:rsid w:val="003F68C8"/>
    <w:rsid w:val="003F70FB"/>
    <w:rsid w:val="004001F2"/>
    <w:rsid w:val="00400F44"/>
    <w:rsid w:val="00400FC9"/>
    <w:rsid w:val="0040114D"/>
    <w:rsid w:val="004015C9"/>
    <w:rsid w:val="00401A21"/>
    <w:rsid w:val="00401C43"/>
    <w:rsid w:val="0040217B"/>
    <w:rsid w:val="00402240"/>
    <w:rsid w:val="0040272F"/>
    <w:rsid w:val="00403734"/>
    <w:rsid w:val="00403988"/>
    <w:rsid w:val="00403ED8"/>
    <w:rsid w:val="00404088"/>
    <w:rsid w:val="0040653C"/>
    <w:rsid w:val="0040657E"/>
    <w:rsid w:val="00407A30"/>
    <w:rsid w:val="0041045B"/>
    <w:rsid w:val="004115F6"/>
    <w:rsid w:val="0041181C"/>
    <w:rsid w:val="00411918"/>
    <w:rsid w:val="00411E6A"/>
    <w:rsid w:val="00411FCE"/>
    <w:rsid w:val="004120CB"/>
    <w:rsid w:val="00412AF7"/>
    <w:rsid w:val="00412DC5"/>
    <w:rsid w:val="00412FEA"/>
    <w:rsid w:val="004151AE"/>
    <w:rsid w:val="00415396"/>
    <w:rsid w:val="00415F98"/>
    <w:rsid w:val="0041689E"/>
    <w:rsid w:val="00417719"/>
    <w:rsid w:val="00417896"/>
    <w:rsid w:val="00417937"/>
    <w:rsid w:val="00417A77"/>
    <w:rsid w:val="00417C69"/>
    <w:rsid w:val="004206A7"/>
    <w:rsid w:val="00420EC7"/>
    <w:rsid w:val="0042139A"/>
    <w:rsid w:val="00422020"/>
    <w:rsid w:val="0042254B"/>
    <w:rsid w:val="004230CB"/>
    <w:rsid w:val="00423773"/>
    <w:rsid w:val="00423A46"/>
    <w:rsid w:val="00424143"/>
    <w:rsid w:val="0042528B"/>
    <w:rsid w:val="004266A5"/>
    <w:rsid w:val="00426FF1"/>
    <w:rsid w:val="00427E07"/>
    <w:rsid w:val="0043168C"/>
    <w:rsid w:val="00432ABB"/>
    <w:rsid w:val="00433C28"/>
    <w:rsid w:val="00433D01"/>
    <w:rsid w:val="004341AC"/>
    <w:rsid w:val="004348B6"/>
    <w:rsid w:val="004356B2"/>
    <w:rsid w:val="00435703"/>
    <w:rsid w:val="00435E0B"/>
    <w:rsid w:val="00435F12"/>
    <w:rsid w:val="00436754"/>
    <w:rsid w:val="00436B3C"/>
    <w:rsid w:val="00436D8E"/>
    <w:rsid w:val="00436EB4"/>
    <w:rsid w:val="00437113"/>
    <w:rsid w:val="00437D75"/>
    <w:rsid w:val="00437F59"/>
    <w:rsid w:val="00437FA1"/>
    <w:rsid w:val="004400FC"/>
    <w:rsid w:val="004404E4"/>
    <w:rsid w:val="004406C7"/>
    <w:rsid w:val="004407EA"/>
    <w:rsid w:val="004428D0"/>
    <w:rsid w:val="00442AAB"/>
    <w:rsid w:val="0044384C"/>
    <w:rsid w:val="00444D75"/>
    <w:rsid w:val="00445C34"/>
    <w:rsid w:val="00446932"/>
    <w:rsid w:val="00446A6C"/>
    <w:rsid w:val="00446A7B"/>
    <w:rsid w:val="00446E67"/>
    <w:rsid w:val="00446E7C"/>
    <w:rsid w:val="004470EB"/>
    <w:rsid w:val="00447FF5"/>
    <w:rsid w:val="0045105A"/>
    <w:rsid w:val="0045110D"/>
    <w:rsid w:val="00451C0D"/>
    <w:rsid w:val="0045203B"/>
    <w:rsid w:val="004538AD"/>
    <w:rsid w:val="00453C21"/>
    <w:rsid w:val="00454A41"/>
    <w:rsid w:val="00454C12"/>
    <w:rsid w:val="0045605E"/>
    <w:rsid w:val="004563E8"/>
    <w:rsid w:val="0045644F"/>
    <w:rsid w:val="0045702E"/>
    <w:rsid w:val="00457A5B"/>
    <w:rsid w:val="00457B04"/>
    <w:rsid w:val="00457CF2"/>
    <w:rsid w:val="00460BBA"/>
    <w:rsid w:val="004610AE"/>
    <w:rsid w:val="00461C76"/>
    <w:rsid w:val="004628F4"/>
    <w:rsid w:val="00462B10"/>
    <w:rsid w:val="0046353B"/>
    <w:rsid w:val="0046389D"/>
    <w:rsid w:val="0046435F"/>
    <w:rsid w:val="00464541"/>
    <w:rsid w:val="00464FE8"/>
    <w:rsid w:val="004655A4"/>
    <w:rsid w:val="00466413"/>
    <w:rsid w:val="004664DE"/>
    <w:rsid w:val="004671B0"/>
    <w:rsid w:val="00470004"/>
    <w:rsid w:val="0047127F"/>
    <w:rsid w:val="00471E67"/>
    <w:rsid w:val="004723BD"/>
    <w:rsid w:val="00473104"/>
    <w:rsid w:val="00473D27"/>
    <w:rsid w:val="00473DEA"/>
    <w:rsid w:val="00473ED2"/>
    <w:rsid w:val="0047421F"/>
    <w:rsid w:val="00474BE9"/>
    <w:rsid w:val="0047568C"/>
    <w:rsid w:val="004756A5"/>
    <w:rsid w:val="00475B03"/>
    <w:rsid w:val="00475CC1"/>
    <w:rsid w:val="004770CA"/>
    <w:rsid w:val="0047790E"/>
    <w:rsid w:val="00477B41"/>
    <w:rsid w:val="00480CF8"/>
    <w:rsid w:val="004810A2"/>
    <w:rsid w:val="0048216C"/>
    <w:rsid w:val="0048253C"/>
    <w:rsid w:val="0048318B"/>
    <w:rsid w:val="004833F9"/>
    <w:rsid w:val="00484200"/>
    <w:rsid w:val="00484202"/>
    <w:rsid w:val="004849C7"/>
    <w:rsid w:val="0048544F"/>
    <w:rsid w:val="00485B7E"/>
    <w:rsid w:val="0048685D"/>
    <w:rsid w:val="0048767D"/>
    <w:rsid w:val="00487A90"/>
    <w:rsid w:val="0049115B"/>
    <w:rsid w:val="004918C1"/>
    <w:rsid w:val="0049282F"/>
    <w:rsid w:val="00492F38"/>
    <w:rsid w:val="00493E88"/>
    <w:rsid w:val="00494688"/>
    <w:rsid w:val="00495382"/>
    <w:rsid w:val="004957E0"/>
    <w:rsid w:val="00495D11"/>
    <w:rsid w:val="00495EBF"/>
    <w:rsid w:val="0049633C"/>
    <w:rsid w:val="004965EC"/>
    <w:rsid w:val="004976F2"/>
    <w:rsid w:val="00497AFF"/>
    <w:rsid w:val="00497EC9"/>
    <w:rsid w:val="004A01E2"/>
    <w:rsid w:val="004A0A37"/>
    <w:rsid w:val="004A1A9E"/>
    <w:rsid w:val="004A1FF9"/>
    <w:rsid w:val="004A40AF"/>
    <w:rsid w:val="004A4C35"/>
    <w:rsid w:val="004A556F"/>
    <w:rsid w:val="004A58F4"/>
    <w:rsid w:val="004A6F56"/>
    <w:rsid w:val="004A72C3"/>
    <w:rsid w:val="004A7B2B"/>
    <w:rsid w:val="004B0E0A"/>
    <w:rsid w:val="004B0F51"/>
    <w:rsid w:val="004B121C"/>
    <w:rsid w:val="004B1473"/>
    <w:rsid w:val="004B2E4D"/>
    <w:rsid w:val="004B3682"/>
    <w:rsid w:val="004B3E2D"/>
    <w:rsid w:val="004B4E47"/>
    <w:rsid w:val="004B5D86"/>
    <w:rsid w:val="004B6375"/>
    <w:rsid w:val="004B6397"/>
    <w:rsid w:val="004B6A3E"/>
    <w:rsid w:val="004B7041"/>
    <w:rsid w:val="004B736B"/>
    <w:rsid w:val="004C089A"/>
    <w:rsid w:val="004C1F37"/>
    <w:rsid w:val="004C29BA"/>
    <w:rsid w:val="004C29F9"/>
    <w:rsid w:val="004C32B3"/>
    <w:rsid w:val="004C3B5B"/>
    <w:rsid w:val="004C3D91"/>
    <w:rsid w:val="004C442B"/>
    <w:rsid w:val="004C4B63"/>
    <w:rsid w:val="004C53DC"/>
    <w:rsid w:val="004C57C3"/>
    <w:rsid w:val="004C5888"/>
    <w:rsid w:val="004C59DE"/>
    <w:rsid w:val="004C5E5B"/>
    <w:rsid w:val="004C607B"/>
    <w:rsid w:val="004C683C"/>
    <w:rsid w:val="004C6A86"/>
    <w:rsid w:val="004C6D9C"/>
    <w:rsid w:val="004C75BA"/>
    <w:rsid w:val="004C7890"/>
    <w:rsid w:val="004C790F"/>
    <w:rsid w:val="004D0300"/>
    <w:rsid w:val="004D0E51"/>
    <w:rsid w:val="004D12DF"/>
    <w:rsid w:val="004D154E"/>
    <w:rsid w:val="004D2A07"/>
    <w:rsid w:val="004D2A96"/>
    <w:rsid w:val="004D3BF7"/>
    <w:rsid w:val="004D4833"/>
    <w:rsid w:val="004D51B8"/>
    <w:rsid w:val="004D528B"/>
    <w:rsid w:val="004D53EC"/>
    <w:rsid w:val="004D5854"/>
    <w:rsid w:val="004D75A4"/>
    <w:rsid w:val="004D7B29"/>
    <w:rsid w:val="004E044B"/>
    <w:rsid w:val="004E11DF"/>
    <w:rsid w:val="004E1E38"/>
    <w:rsid w:val="004E25A8"/>
    <w:rsid w:val="004E25F2"/>
    <w:rsid w:val="004E2647"/>
    <w:rsid w:val="004E2DDF"/>
    <w:rsid w:val="004E3AED"/>
    <w:rsid w:val="004E4145"/>
    <w:rsid w:val="004E46ED"/>
    <w:rsid w:val="004E5F78"/>
    <w:rsid w:val="004E6044"/>
    <w:rsid w:val="004E624A"/>
    <w:rsid w:val="004E65DB"/>
    <w:rsid w:val="004E699E"/>
    <w:rsid w:val="004E6B73"/>
    <w:rsid w:val="004E7696"/>
    <w:rsid w:val="004F04CC"/>
    <w:rsid w:val="004F0759"/>
    <w:rsid w:val="004F0972"/>
    <w:rsid w:val="004F0E56"/>
    <w:rsid w:val="004F18AA"/>
    <w:rsid w:val="004F1C88"/>
    <w:rsid w:val="004F1E45"/>
    <w:rsid w:val="004F2115"/>
    <w:rsid w:val="004F22D6"/>
    <w:rsid w:val="004F2412"/>
    <w:rsid w:val="004F287C"/>
    <w:rsid w:val="004F4196"/>
    <w:rsid w:val="004F4B12"/>
    <w:rsid w:val="004F5244"/>
    <w:rsid w:val="004F535F"/>
    <w:rsid w:val="004F53CA"/>
    <w:rsid w:val="004F65A2"/>
    <w:rsid w:val="004F65AD"/>
    <w:rsid w:val="004F661D"/>
    <w:rsid w:val="00500336"/>
    <w:rsid w:val="00500742"/>
    <w:rsid w:val="00500CCC"/>
    <w:rsid w:val="00501AE8"/>
    <w:rsid w:val="00504043"/>
    <w:rsid w:val="0050490C"/>
    <w:rsid w:val="005058E4"/>
    <w:rsid w:val="005062C0"/>
    <w:rsid w:val="00506F32"/>
    <w:rsid w:val="005079E2"/>
    <w:rsid w:val="00507AD3"/>
    <w:rsid w:val="0051062B"/>
    <w:rsid w:val="00511C3C"/>
    <w:rsid w:val="00512060"/>
    <w:rsid w:val="005120CC"/>
    <w:rsid w:val="00512559"/>
    <w:rsid w:val="00513C14"/>
    <w:rsid w:val="00513F55"/>
    <w:rsid w:val="005146FA"/>
    <w:rsid w:val="0051485A"/>
    <w:rsid w:val="00514974"/>
    <w:rsid w:val="00514CEB"/>
    <w:rsid w:val="0051562C"/>
    <w:rsid w:val="00516231"/>
    <w:rsid w:val="00516371"/>
    <w:rsid w:val="00516D99"/>
    <w:rsid w:val="00520131"/>
    <w:rsid w:val="005202B3"/>
    <w:rsid w:val="0052090E"/>
    <w:rsid w:val="00520D31"/>
    <w:rsid w:val="00520FAA"/>
    <w:rsid w:val="005238CE"/>
    <w:rsid w:val="00523AFF"/>
    <w:rsid w:val="00524A80"/>
    <w:rsid w:val="00524B21"/>
    <w:rsid w:val="0052565A"/>
    <w:rsid w:val="00525E38"/>
    <w:rsid w:val="00525EB0"/>
    <w:rsid w:val="0052660D"/>
    <w:rsid w:val="0052753F"/>
    <w:rsid w:val="00527C97"/>
    <w:rsid w:val="00530260"/>
    <w:rsid w:val="005305FE"/>
    <w:rsid w:val="00531B13"/>
    <w:rsid w:val="00532839"/>
    <w:rsid w:val="005336C1"/>
    <w:rsid w:val="0053528F"/>
    <w:rsid w:val="00535865"/>
    <w:rsid w:val="0053772A"/>
    <w:rsid w:val="00540699"/>
    <w:rsid w:val="005419EF"/>
    <w:rsid w:val="005425C6"/>
    <w:rsid w:val="00544265"/>
    <w:rsid w:val="00544571"/>
    <w:rsid w:val="00544E6F"/>
    <w:rsid w:val="00545094"/>
    <w:rsid w:val="00546D13"/>
    <w:rsid w:val="00546D6C"/>
    <w:rsid w:val="005472B0"/>
    <w:rsid w:val="005479B2"/>
    <w:rsid w:val="00547C3E"/>
    <w:rsid w:val="00547F2B"/>
    <w:rsid w:val="005502DB"/>
    <w:rsid w:val="005508D2"/>
    <w:rsid w:val="005511D8"/>
    <w:rsid w:val="00551DF6"/>
    <w:rsid w:val="00552779"/>
    <w:rsid w:val="00553725"/>
    <w:rsid w:val="005537AD"/>
    <w:rsid w:val="00553F65"/>
    <w:rsid w:val="00554629"/>
    <w:rsid w:val="005549E3"/>
    <w:rsid w:val="005556B9"/>
    <w:rsid w:val="00556481"/>
    <w:rsid w:val="00556B88"/>
    <w:rsid w:val="00556CE2"/>
    <w:rsid w:val="00556F6C"/>
    <w:rsid w:val="005571BF"/>
    <w:rsid w:val="00557C27"/>
    <w:rsid w:val="00560242"/>
    <w:rsid w:val="00560490"/>
    <w:rsid w:val="00561281"/>
    <w:rsid w:val="00561717"/>
    <w:rsid w:val="00561A52"/>
    <w:rsid w:val="0056206B"/>
    <w:rsid w:val="005622E2"/>
    <w:rsid w:val="00562C42"/>
    <w:rsid w:val="00562DF1"/>
    <w:rsid w:val="00562FB2"/>
    <w:rsid w:val="00563148"/>
    <w:rsid w:val="005631C9"/>
    <w:rsid w:val="005639C4"/>
    <w:rsid w:val="00563B3D"/>
    <w:rsid w:val="005658CA"/>
    <w:rsid w:val="00566A49"/>
    <w:rsid w:val="005676EB"/>
    <w:rsid w:val="005679CF"/>
    <w:rsid w:val="0057030A"/>
    <w:rsid w:val="0057051D"/>
    <w:rsid w:val="0057101B"/>
    <w:rsid w:val="00573367"/>
    <w:rsid w:val="005733A0"/>
    <w:rsid w:val="00573D3C"/>
    <w:rsid w:val="005741DA"/>
    <w:rsid w:val="00576732"/>
    <w:rsid w:val="00576C84"/>
    <w:rsid w:val="005775E6"/>
    <w:rsid w:val="00577BE4"/>
    <w:rsid w:val="005803E2"/>
    <w:rsid w:val="0058252E"/>
    <w:rsid w:val="005831B0"/>
    <w:rsid w:val="0058401B"/>
    <w:rsid w:val="005842C3"/>
    <w:rsid w:val="00584851"/>
    <w:rsid w:val="005849E7"/>
    <w:rsid w:val="00584A7C"/>
    <w:rsid w:val="00585123"/>
    <w:rsid w:val="00585BAE"/>
    <w:rsid w:val="005879EA"/>
    <w:rsid w:val="0059013A"/>
    <w:rsid w:val="00590854"/>
    <w:rsid w:val="00590B9D"/>
    <w:rsid w:val="00590E25"/>
    <w:rsid w:val="00591866"/>
    <w:rsid w:val="00591A64"/>
    <w:rsid w:val="005922C7"/>
    <w:rsid w:val="00592D31"/>
    <w:rsid w:val="0059376C"/>
    <w:rsid w:val="00594605"/>
    <w:rsid w:val="005947D7"/>
    <w:rsid w:val="00594A13"/>
    <w:rsid w:val="00594C00"/>
    <w:rsid w:val="005950E4"/>
    <w:rsid w:val="00595626"/>
    <w:rsid w:val="005956C3"/>
    <w:rsid w:val="00596313"/>
    <w:rsid w:val="005A0AB9"/>
    <w:rsid w:val="005A1887"/>
    <w:rsid w:val="005A1A03"/>
    <w:rsid w:val="005A1A89"/>
    <w:rsid w:val="005A2175"/>
    <w:rsid w:val="005A2418"/>
    <w:rsid w:val="005A2494"/>
    <w:rsid w:val="005A2AD8"/>
    <w:rsid w:val="005A33F4"/>
    <w:rsid w:val="005A4197"/>
    <w:rsid w:val="005A4946"/>
    <w:rsid w:val="005A4B9D"/>
    <w:rsid w:val="005A4D76"/>
    <w:rsid w:val="005A50C1"/>
    <w:rsid w:val="005A51EC"/>
    <w:rsid w:val="005A6321"/>
    <w:rsid w:val="005A7098"/>
    <w:rsid w:val="005A77DE"/>
    <w:rsid w:val="005B006C"/>
    <w:rsid w:val="005B05B7"/>
    <w:rsid w:val="005B092E"/>
    <w:rsid w:val="005B10B0"/>
    <w:rsid w:val="005B12C5"/>
    <w:rsid w:val="005B15F2"/>
    <w:rsid w:val="005B2764"/>
    <w:rsid w:val="005B27EF"/>
    <w:rsid w:val="005B2E21"/>
    <w:rsid w:val="005B35E5"/>
    <w:rsid w:val="005B3EAD"/>
    <w:rsid w:val="005B42FA"/>
    <w:rsid w:val="005B4A57"/>
    <w:rsid w:val="005B4AA1"/>
    <w:rsid w:val="005B52C6"/>
    <w:rsid w:val="005B5ECC"/>
    <w:rsid w:val="005B61E2"/>
    <w:rsid w:val="005B62E2"/>
    <w:rsid w:val="005B63E4"/>
    <w:rsid w:val="005B6515"/>
    <w:rsid w:val="005B6848"/>
    <w:rsid w:val="005B6D93"/>
    <w:rsid w:val="005B7028"/>
    <w:rsid w:val="005B76F6"/>
    <w:rsid w:val="005B79F9"/>
    <w:rsid w:val="005C1B7A"/>
    <w:rsid w:val="005C2D14"/>
    <w:rsid w:val="005C48E6"/>
    <w:rsid w:val="005C77EE"/>
    <w:rsid w:val="005D1795"/>
    <w:rsid w:val="005D2863"/>
    <w:rsid w:val="005D2ACD"/>
    <w:rsid w:val="005D333A"/>
    <w:rsid w:val="005D3B12"/>
    <w:rsid w:val="005D3B2A"/>
    <w:rsid w:val="005D41CC"/>
    <w:rsid w:val="005D461A"/>
    <w:rsid w:val="005D4831"/>
    <w:rsid w:val="005D5FB4"/>
    <w:rsid w:val="005D637A"/>
    <w:rsid w:val="005D7684"/>
    <w:rsid w:val="005D7892"/>
    <w:rsid w:val="005D7B50"/>
    <w:rsid w:val="005D7DCD"/>
    <w:rsid w:val="005E1D98"/>
    <w:rsid w:val="005E22AA"/>
    <w:rsid w:val="005E25BA"/>
    <w:rsid w:val="005E281A"/>
    <w:rsid w:val="005E2DBC"/>
    <w:rsid w:val="005E31E8"/>
    <w:rsid w:val="005E39B7"/>
    <w:rsid w:val="005E6742"/>
    <w:rsid w:val="005E6BFD"/>
    <w:rsid w:val="005E6DDF"/>
    <w:rsid w:val="005E6FA4"/>
    <w:rsid w:val="005E7582"/>
    <w:rsid w:val="005E7777"/>
    <w:rsid w:val="005E7C66"/>
    <w:rsid w:val="005F05FD"/>
    <w:rsid w:val="005F1936"/>
    <w:rsid w:val="005F1F6D"/>
    <w:rsid w:val="005F209E"/>
    <w:rsid w:val="005F28FA"/>
    <w:rsid w:val="005F338A"/>
    <w:rsid w:val="005F3A15"/>
    <w:rsid w:val="005F3CA1"/>
    <w:rsid w:val="005F445C"/>
    <w:rsid w:val="005F47A6"/>
    <w:rsid w:val="005F4A0F"/>
    <w:rsid w:val="005F4E2E"/>
    <w:rsid w:val="005F4EE9"/>
    <w:rsid w:val="005F54D3"/>
    <w:rsid w:val="005F64CB"/>
    <w:rsid w:val="005F6735"/>
    <w:rsid w:val="005F6ABD"/>
    <w:rsid w:val="005F6F0D"/>
    <w:rsid w:val="005F72A7"/>
    <w:rsid w:val="005F730E"/>
    <w:rsid w:val="00600E28"/>
    <w:rsid w:val="00601233"/>
    <w:rsid w:val="006022CA"/>
    <w:rsid w:val="00602315"/>
    <w:rsid w:val="00602A4D"/>
    <w:rsid w:val="00602FAD"/>
    <w:rsid w:val="00603636"/>
    <w:rsid w:val="006037FB"/>
    <w:rsid w:val="00603891"/>
    <w:rsid w:val="00604534"/>
    <w:rsid w:val="00604972"/>
    <w:rsid w:val="006055E6"/>
    <w:rsid w:val="00606517"/>
    <w:rsid w:val="0060689F"/>
    <w:rsid w:val="00606E53"/>
    <w:rsid w:val="00607BD1"/>
    <w:rsid w:val="00607FC1"/>
    <w:rsid w:val="00610334"/>
    <w:rsid w:val="00610FEF"/>
    <w:rsid w:val="0061111B"/>
    <w:rsid w:val="0061125B"/>
    <w:rsid w:val="006112E8"/>
    <w:rsid w:val="006112E9"/>
    <w:rsid w:val="00611D11"/>
    <w:rsid w:val="00611D7C"/>
    <w:rsid w:val="00612856"/>
    <w:rsid w:val="006128A3"/>
    <w:rsid w:val="006128FD"/>
    <w:rsid w:val="0061298D"/>
    <w:rsid w:val="00613E62"/>
    <w:rsid w:val="00613F5E"/>
    <w:rsid w:val="00614442"/>
    <w:rsid w:val="00614C48"/>
    <w:rsid w:val="0061536F"/>
    <w:rsid w:val="00615CCF"/>
    <w:rsid w:val="00615F5E"/>
    <w:rsid w:val="00616180"/>
    <w:rsid w:val="006163EA"/>
    <w:rsid w:val="00616533"/>
    <w:rsid w:val="00616A97"/>
    <w:rsid w:val="00616E9F"/>
    <w:rsid w:val="00616F0D"/>
    <w:rsid w:val="00617D04"/>
    <w:rsid w:val="00620679"/>
    <w:rsid w:val="00621B96"/>
    <w:rsid w:val="00621FAC"/>
    <w:rsid w:val="00622685"/>
    <w:rsid w:val="0062399A"/>
    <w:rsid w:val="00623E06"/>
    <w:rsid w:val="0062464D"/>
    <w:rsid w:val="00624E82"/>
    <w:rsid w:val="0062532B"/>
    <w:rsid w:val="00625370"/>
    <w:rsid w:val="006253D8"/>
    <w:rsid w:val="00625657"/>
    <w:rsid w:val="00626095"/>
    <w:rsid w:val="0062781B"/>
    <w:rsid w:val="00627821"/>
    <w:rsid w:val="0063079F"/>
    <w:rsid w:val="006317C8"/>
    <w:rsid w:val="00633AF9"/>
    <w:rsid w:val="00634AC5"/>
    <w:rsid w:val="00634DA9"/>
    <w:rsid w:val="00634ED3"/>
    <w:rsid w:val="006368B6"/>
    <w:rsid w:val="00636F49"/>
    <w:rsid w:val="00640A97"/>
    <w:rsid w:val="00640BE8"/>
    <w:rsid w:val="00640EA3"/>
    <w:rsid w:val="00641298"/>
    <w:rsid w:val="0064380D"/>
    <w:rsid w:val="00644068"/>
    <w:rsid w:val="006455B3"/>
    <w:rsid w:val="00645632"/>
    <w:rsid w:val="00645F6E"/>
    <w:rsid w:val="0064623F"/>
    <w:rsid w:val="0064654B"/>
    <w:rsid w:val="00646D4B"/>
    <w:rsid w:val="00647526"/>
    <w:rsid w:val="0064764F"/>
    <w:rsid w:val="00650D4B"/>
    <w:rsid w:val="0065117D"/>
    <w:rsid w:val="00651462"/>
    <w:rsid w:val="00652573"/>
    <w:rsid w:val="00653687"/>
    <w:rsid w:val="00653B20"/>
    <w:rsid w:val="00653C4E"/>
    <w:rsid w:val="006543B3"/>
    <w:rsid w:val="0065442D"/>
    <w:rsid w:val="006545A5"/>
    <w:rsid w:val="00654CF0"/>
    <w:rsid w:val="00655F5E"/>
    <w:rsid w:val="0065615E"/>
    <w:rsid w:val="00656DA7"/>
    <w:rsid w:val="00656EC0"/>
    <w:rsid w:val="00657436"/>
    <w:rsid w:val="00657D4E"/>
    <w:rsid w:val="00660732"/>
    <w:rsid w:val="00660789"/>
    <w:rsid w:val="00661272"/>
    <w:rsid w:val="00661BCE"/>
    <w:rsid w:val="00661F84"/>
    <w:rsid w:val="00662984"/>
    <w:rsid w:val="00662AB2"/>
    <w:rsid w:val="00663203"/>
    <w:rsid w:val="006637D0"/>
    <w:rsid w:val="00663DFD"/>
    <w:rsid w:val="0066431E"/>
    <w:rsid w:val="0066498F"/>
    <w:rsid w:val="0066625F"/>
    <w:rsid w:val="0066648C"/>
    <w:rsid w:val="00666DEC"/>
    <w:rsid w:val="0066759A"/>
    <w:rsid w:val="00667660"/>
    <w:rsid w:val="00667F99"/>
    <w:rsid w:val="00667FD6"/>
    <w:rsid w:val="00670AF4"/>
    <w:rsid w:val="00671F31"/>
    <w:rsid w:val="00673711"/>
    <w:rsid w:val="006738BC"/>
    <w:rsid w:val="00673BA8"/>
    <w:rsid w:val="006744F8"/>
    <w:rsid w:val="0067472C"/>
    <w:rsid w:val="00675AD5"/>
    <w:rsid w:val="00676031"/>
    <w:rsid w:val="006764C1"/>
    <w:rsid w:val="00676CF8"/>
    <w:rsid w:val="006771ED"/>
    <w:rsid w:val="0067723B"/>
    <w:rsid w:val="00677339"/>
    <w:rsid w:val="00677954"/>
    <w:rsid w:val="00680060"/>
    <w:rsid w:val="00680404"/>
    <w:rsid w:val="00680699"/>
    <w:rsid w:val="0068072F"/>
    <w:rsid w:val="0068075F"/>
    <w:rsid w:val="00680B9C"/>
    <w:rsid w:val="00681389"/>
    <w:rsid w:val="00681A0B"/>
    <w:rsid w:val="006822B8"/>
    <w:rsid w:val="006823FF"/>
    <w:rsid w:val="00682BF3"/>
    <w:rsid w:val="006837D6"/>
    <w:rsid w:val="00684C2A"/>
    <w:rsid w:val="006861A1"/>
    <w:rsid w:val="00686333"/>
    <w:rsid w:val="006868D0"/>
    <w:rsid w:val="00687A45"/>
    <w:rsid w:val="00690025"/>
    <w:rsid w:val="00690B4E"/>
    <w:rsid w:val="00691248"/>
    <w:rsid w:val="00691255"/>
    <w:rsid w:val="00691362"/>
    <w:rsid w:val="00691C00"/>
    <w:rsid w:val="006940C2"/>
    <w:rsid w:val="00694649"/>
    <w:rsid w:val="00694737"/>
    <w:rsid w:val="006961AB"/>
    <w:rsid w:val="00696864"/>
    <w:rsid w:val="006A0373"/>
    <w:rsid w:val="006A100E"/>
    <w:rsid w:val="006A11BF"/>
    <w:rsid w:val="006A162C"/>
    <w:rsid w:val="006A1ADF"/>
    <w:rsid w:val="006A1BDA"/>
    <w:rsid w:val="006A3300"/>
    <w:rsid w:val="006A543E"/>
    <w:rsid w:val="006A5908"/>
    <w:rsid w:val="006A5C0A"/>
    <w:rsid w:val="006A6402"/>
    <w:rsid w:val="006A6D5F"/>
    <w:rsid w:val="006A716F"/>
    <w:rsid w:val="006A756E"/>
    <w:rsid w:val="006A768D"/>
    <w:rsid w:val="006A7949"/>
    <w:rsid w:val="006A7AED"/>
    <w:rsid w:val="006A7BCB"/>
    <w:rsid w:val="006B0DBD"/>
    <w:rsid w:val="006B1352"/>
    <w:rsid w:val="006B157A"/>
    <w:rsid w:val="006B20A5"/>
    <w:rsid w:val="006B2641"/>
    <w:rsid w:val="006B267E"/>
    <w:rsid w:val="006B2A76"/>
    <w:rsid w:val="006B31A4"/>
    <w:rsid w:val="006B31D5"/>
    <w:rsid w:val="006B38DF"/>
    <w:rsid w:val="006B39B0"/>
    <w:rsid w:val="006B4004"/>
    <w:rsid w:val="006B4412"/>
    <w:rsid w:val="006B473E"/>
    <w:rsid w:val="006B539D"/>
    <w:rsid w:val="006B6C9A"/>
    <w:rsid w:val="006B7621"/>
    <w:rsid w:val="006B792D"/>
    <w:rsid w:val="006B7D05"/>
    <w:rsid w:val="006C07FB"/>
    <w:rsid w:val="006C0C5A"/>
    <w:rsid w:val="006C10B5"/>
    <w:rsid w:val="006C1569"/>
    <w:rsid w:val="006C18C0"/>
    <w:rsid w:val="006C1921"/>
    <w:rsid w:val="006C218C"/>
    <w:rsid w:val="006C2A50"/>
    <w:rsid w:val="006C2A65"/>
    <w:rsid w:val="006C2DEC"/>
    <w:rsid w:val="006C31C0"/>
    <w:rsid w:val="006C4457"/>
    <w:rsid w:val="006C4744"/>
    <w:rsid w:val="006C4775"/>
    <w:rsid w:val="006C55B1"/>
    <w:rsid w:val="006C5884"/>
    <w:rsid w:val="006C5FC5"/>
    <w:rsid w:val="006C662A"/>
    <w:rsid w:val="006C6668"/>
    <w:rsid w:val="006C6B18"/>
    <w:rsid w:val="006C7074"/>
    <w:rsid w:val="006C7ACC"/>
    <w:rsid w:val="006C7DB0"/>
    <w:rsid w:val="006D06B0"/>
    <w:rsid w:val="006D0C5A"/>
    <w:rsid w:val="006D101D"/>
    <w:rsid w:val="006D18BD"/>
    <w:rsid w:val="006D2CE7"/>
    <w:rsid w:val="006D2D38"/>
    <w:rsid w:val="006D3201"/>
    <w:rsid w:val="006D385E"/>
    <w:rsid w:val="006D3AF9"/>
    <w:rsid w:val="006D3C89"/>
    <w:rsid w:val="006D3E46"/>
    <w:rsid w:val="006D3FE7"/>
    <w:rsid w:val="006D4024"/>
    <w:rsid w:val="006D463A"/>
    <w:rsid w:val="006D4AA3"/>
    <w:rsid w:val="006D4C71"/>
    <w:rsid w:val="006D4DCD"/>
    <w:rsid w:val="006D5BC0"/>
    <w:rsid w:val="006D5C47"/>
    <w:rsid w:val="006D5F46"/>
    <w:rsid w:val="006D67B4"/>
    <w:rsid w:val="006D7171"/>
    <w:rsid w:val="006D74C5"/>
    <w:rsid w:val="006D7661"/>
    <w:rsid w:val="006D7A6D"/>
    <w:rsid w:val="006D7CFF"/>
    <w:rsid w:val="006E10E9"/>
    <w:rsid w:val="006E1667"/>
    <w:rsid w:val="006E198A"/>
    <w:rsid w:val="006E1C97"/>
    <w:rsid w:val="006E2AE7"/>
    <w:rsid w:val="006E38D3"/>
    <w:rsid w:val="006E3972"/>
    <w:rsid w:val="006E4E3B"/>
    <w:rsid w:val="006E54CA"/>
    <w:rsid w:val="006E5F44"/>
    <w:rsid w:val="006E718B"/>
    <w:rsid w:val="006E74F6"/>
    <w:rsid w:val="006E7CA9"/>
    <w:rsid w:val="006F01E9"/>
    <w:rsid w:val="006F1534"/>
    <w:rsid w:val="006F266D"/>
    <w:rsid w:val="006F29A0"/>
    <w:rsid w:val="006F3421"/>
    <w:rsid w:val="006F37A2"/>
    <w:rsid w:val="006F3E73"/>
    <w:rsid w:val="006F3FDA"/>
    <w:rsid w:val="006F4F9D"/>
    <w:rsid w:val="006F59BC"/>
    <w:rsid w:val="006F5B4F"/>
    <w:rsid w:val="006F61EB"/>
    <w:rsid w:val="006F6E89"/>
    <w:rsid w:val="006F7CB8"/>
    <w:rsid w:val="007000D0"/>
    <w:rsid w:val="007003D2"/>
    <w:rsid w:val="00700F28"/>
    <w:rsid w:val="00701397"/>
    <w:rsid w:val="0070368C"/>
    <w:rsid w:val="00703862"/>
    <w:rsid w:val="00703CAF"/>
    <w:rsid w:val="00703EFC"/>
    <w:rsid w:val="007046BD"/>
    <w:rsid w:val="00704B82"/>
    <w:rsid w:val="00704D6A"/>
    <w:rsid w:val="00705241"/>
    <w:rsid w:val="00707905"/>
    <w:rsid w:val="007079E1"/>
    <w:rsid w:val="00707ADC"/>
    <w:rsid w:val="00707BB6"/>
    <w:rsid w:val="007111E9"/>
    <w:rsid w:val="00711AB3"/>
    <w:rsid w:val="00711DCA"/>
    <w:rsid w:val="0071239F"/>
    <w:rsid w:val="007138E9"/>
    <w:rsid w:val="00713D2A"/>
    <w:rsid w:val="007140C4"/>
    <w:rsid w:val="007140F8"/>
    <w:rsid w:val="0071437F"/>
    <w:rsid w:val="007149E3"/>
    <w:rsid w:val="00715DAC"/>
    <w:rsid w:val="007164C0"/>
    <w:rsid w:val="00716982"/>
    <w:rsid w:val="007169EA"/>
    <w:rsid w:val="0071739D"/>
    <w:rsid w:val="0072021C"/>
    <w:rsid w:val="007208F8"/>
    <w:rsid w:val="0072130C"/>
    <w:rsid w:val="00721F9D"/>
    <w:rsid w:val="00722A82"/>
    <w:rsid w:val="00722B17"/>
    <w:rsid w:val="007231B5"/>
    <w:rsid w:val="00723291"/>
    <w:rsid w:val="007238BC"/>
    <w:rsid w:val="00723AB3"/>
    <w:rsid w:val="00723D31"/>
    <w:rsid w:val="00724190"/>
    <w:rsid w:val="00724BA7"/>
    <w:rsid w:val="007251D6"/>
    <w:rsid w:val="00725204"/>
    <w:rsid w:val="00725512"/>
    <w:rsid w:val="00725C5F"/>
    <w:rsid w:val="0072679A"/>
    <w:rsid w:val="00726AB2"/>
    <w:rsid w:val="00726C0A"/>
    <w:rsid w:val="00726F21"/>
    <w:rsid w:val="00727092"/>
    <w:rsid w:val="007279F7"/>
    <w:rsid w:val="007300BB"/>
    <w:rsid w:val="00730D8A"/>
    <w:rsid w:val="007320AC"/>
    <w:rsid w:val="00732385"/>
    <w:rsid w:val="0073277E"/>
    <w:rsid w:val="00732AF7"/>
    <w:rsid w:val="0073309B"/>
    <w:rsid w:val="007346A5"/>
    <w:rsid w:val="00735FC4"/>
    <w:rsid w:val="00736778"/>
    <w:rsid w:val="007367A2"/>
    <w:rsid w:val="00736F6D"/>
    <w:rsid w:val="00737353"/>
    <w:rsid w:val="00737C15"/>
    <w:rsid w:val="00740113"/>
    <w:rsid w:val="00740B26"/>
    <w:rsid w:val="00740B96"/>
    <w:rsid w:val="00741FAB"/>
    <w:rsid w:val="007426BE"/>
    <w:rsid w:val="00742765"/>
    <w:rsid w:val="00742FFE"/>
    <w:rsid w:val="00743ADF"/>
    <w:rsid w:val="00744090"/>
    <w:rsid w:val="00744846"/>
    <w:rsid w:val="00744946"/>
    <w:rsid w:val="00744B66"/>
    <w:rsid w:val="007455D0"/>
    <w:rsid w:val="007455DC"/>
    <w:rsid w:val="00745724"/>
    <w:rsid w:val="00745FA9"/>
    <w:rsid w:val="0074636A"/>
    <w:rsid w:val="007469BE"/>
    <w:rsid w:val="00746FD8"/>
    <w:rsid w:val="00747111"/>
    <w:rsid w:val="0074741A"/>
    <w:rsid w:val="00747636"/>
    <w:rsid w:val="00747A65"/>
    <w:rsid w:val="00750022"/>
    <w:rsid w:val="00751206"/>
    <w:rsid w:val="0075241D"/>
    <w:rsid w:val="00752CA4"/>
    <w:rsid w:val="00753250"/>
    <w:rsid w:val="00753D69"/>
    <w:rsid w:val="0075647D"/>
    <w:rsid w:val="00757453"/>
    <w:rsid w:val="00757B9F"/>
    <w:rsid w:val="00760707"/>
    <w:rsid w:val="0076109A"/>
    <w:rsid w:val="00761467"/>
    <w:rsid w:val="00761A29"/>
    <w:rsid w:val="00761D9D"/>
    <w:rsid w:val="0076278C"/>
    <w:rsid w:val="007630C2"/>
    <w:rsid w:val="00763685"/>
    <w:rsid w:val="0076384C"/>
    <w:rsid w:val="00763AF1"/>
    <w:rsid w:val="007649E6"/>
    <w:rsid w:val="00764FD5"/>
    <w:rsid w:val="00765091"/>
    <w:rsid w:val="0076531E"/>
    <w:rsid w:val="0076536E"/>
    <w:rsid w:val="00765C71"/>
    <w:rsid w:val="00767009"/>
    <w:rsid w:val="0076782F"/>
    <w:rsid w:val="00767CD9"/>
    <w:rsid w:val="00770437"/>
    <w:rsid w:val="00770475"/>
    <w:rsid w:val="0077225A"/>
    <w:rsid w:val="00772662"/>
    <w:rsid w:val="00772D1B"/>
    <w:rsid w:val="00773260"/>
    <w:rsid w:val="007738A0"/>
    <w:rsid w:val="00774531"/>
    <w:rsid w:val="00774861"/>
    <w:rsid w:val="007752A5"/>
    <w:rsid w:val="00775464"/>
    <w:rsid w:val="0077564F"/>
    <w:rsid w:val="0077566B"/>
    <w:rsid w:val="00775705"/>
    <w:rsid w:val="007757DC"/>
    <w:rsid w:val="00775932"/>
    <w:rsid w:val="00775AE6"/>
    <w:rsid w:val="00776F0E"/>
    <w:rsid w:val="00777111"/>
    <w:rsid w:val="00777EFE"/>
    <w:rsid w:val="00780032"/>
    <w:rsid w:val="007801FD"/>
    <w:rsid w:val="00780726"/>
    <w:rsid w:val="00780B2B"/>
    <w:rsid w:val="00783FB7"/>
    <w:rsid w:val="007842C7"/>
    <w:rsid w:val="007843AC"/>
    <w:rsid w:val="007848E9"/>
    <w:rsid w:val="00784C77"/>
    <w:rsid w:val="0078577D"/>
    <w:rsid w:val="00785C84"/>
    <w:rsid w:val="007870E1"/>
    <w:rsid w:val="00787553"/>
    <w:rsid w:val="00790E9F"/>
    <w:rsid w:val="0079264D"/>
    <w:rsid w:val="0079305D"/>
    <w:rsid w:val="0079326B"/>
    <w:rsid w:val="0079542C"/>
    <w:rsid w:val="007954BD"/>
    <w:rsid w:val="007969EA"/>
    <w:rsid w:val="00796DF2"/>
    <w:rsid w:val="00796E6B"/>
    <w:rsid w:val="00797B41"/>
    <w:rsid w:val="007A0404"/>
    <w:rsid w:val="007A0B86"/>
    <w:rsid w:val="007A17A2"/>
    <w:rsid w:val="007A17F6"/>
    <w:rsid w:val="007A1A2B"/>
    <w:rsid w:val="007A1CA0"/>
    <w:rsid w:val="007A2060"/>
    <w:rsid w:val="007A282F"/>
    <w:rsid w:val="007A2A9A"/>
    <w:rsid w:val="007A2F15"/>
    <w:rsid w:val="007A31E4"/>
    <w:rsid w:val="007A3235"/>
    <w:rsid w:val="007A44E8"/>
    <w:rsid w:val="007A4E87"/>
    <w:rsid w:val="007A56E3"/>
    <w:rsid w:val="007A5832"/>
    <w:rsid w:val="007A5AE5"/>
    <w:rsid w:val="007A6439"/>
    <w:rsid w:val="007A6780"/>
    <w:rsid w:val="007A6C31"/>
    <w:rsid w:val="007A6FFD"/>
    <w:rsid w:val="007A7525"/>
    <w:rsid w:val="007A768C"/>
    <w:rsid w:val="007A769F"/>
    <w:rsid w:val="007B0A4E"/>
    <w:rsid w:val="007B2017"/>
    <w:rsid w:val="007B28D7"/>
    <w:rsid w:val="007B340D"/>
    <w:rsid w:val="007B38FE"/>
    <w:rsid w:val="007B3997"/>
    <w:rsid w:val="007B3BF1"/>
    <w:rsid w:val="007B3E4D"/>
    <w:rsid w:val="007B68CD"/>
    <w:rsid w:val="007B7249"/>
    <w:rsid w:val="007C128C"/>
    <w:rsid w:val="007C1875"/>
    <w:rsid w:val="007C1C4A"/>
    <w:rsid w:val="007C1D69"/>
    <w:rsid w:val="007C2BD3"/>
    <w:rsid w:val="007C2D0A"/>
    <w:rsid w:val="007C3FDD"/>
    <w:rsid w:val="007C4847"/>
    <w:rsid w:val="007C4D5A"/>
    <w:rsid w:val="007C68A6"/>
    <w:rsid w:val="007C68F9"/>
    <w:rsid w:val="007C7937"/>
    <w:rsid w:val="007D1CB7"/>
    <w:rsid w:val="007D1EB7"/>
    <w:rsid w:val="007D2435"/>
    <w:rsid w:val="007D2BC8"/>
    <w:rsid w:val="007D42D0"/>
    <w:rsid w:val="007D498C"/>
    <w:rsid w:val="007D4C63"/>
    <w:rsid w:val="007D4DE6"/>
    <w:rsid w:val="007D4EE1"/>
    <w:rsid w:val="007D60D2"/>
    <w:rsid w:val="007D66BB"/>
    <w:rsid w:val="007D68BB"/>
    <w:rsid w:val="007D6A27"/>
    <w:rsid w:val="007D6F81"/>
    <w:rsid w:val="007D78D3"/>
    <w:rsid w:val="007E00B0"/>
    <w:rsid w:val="007E012A"/>
    <w:rsid w:val="007E050E"/>
    <w:rsid w:val="007E21C8"/>
    <w:rsid w:val="007E21E5"/>
    <w:rsid w:val="007E27ED"/>
    <w:rsid w:val="007E2AC8"/>
    <w:rsid w:val="007E2CB5"/>
    <w:rsid w:val="007E2D24"/>
    <w:rsid w:val="007E3114"/>
    <w:rsid w:val="007E44F5"/>
    <w:rsid w:val="007E59D8"/>
    <w:rsid w:val="007E5F19"/>
    <w:rsid w:val="007E6F68"/>
    <w:rsid w:val="007E6F7F"/>
    <w:rsid w:val="007E7162"/>
    <w:rsid w:val="007F025F"/>
    <w:rsid w:val="007F1511"/>
    <w:rsid w:val="007F1B1A"/>
    <w:rsid w:val="007F1F97"/>
    <w:rsid w:val="007F2B88"/>
    <w:rsid w:val="007F35C4"/>
    <w:rsid w:val="007F3870"/>
    <w:rsid w:val="007F4232"/>
    <w:rsid w:val="007F5281"/>
    <w:rsid w:val="007F543A"/>
    <w:rsid w:val="007F5CAF"/>
    <w:rsid w:val="007F62EB"/>
    <w:rsid w:val="007F64AB"/>
    <w:rsid w:val="007F664A"/>
    <w:rsid w:val="007F6D85"/>
    <w:rsid w:val="007F71C8"/>
    <w:rsid w:val="007F7B62"/>
    <w:rsid w:val="00800781"/>
    <w:rsid w:val="008008BF"/>
    <w:rsid w:val="00800C7C"/>
    <w:rsid w:val="00802C0A"/>
    <w:rsid w:val="0080300E"/>
    <w:rsid w:val="00803748"/>
    <w:rsid w:val="008037A9"/>
    <w:rsid w:val="00803ACD"/>
    <w:rsid w:val="00804B7A"/>
    <w:rsid w:val="0080528B"/>
    <w:rsid w:val="0080582C"/>
    <w:rsid w:val="00805895"/>
    <w:rsid w:val="00805A3A"/>
    <w:rsid w:val="00805C3B"/>
    <w:rsid w:val="00805F48"/>
    <w:rsid w:val="0080618D"/>
    <w:rsid w:val="00806A5B"/>
    <w:rsid w:val="008071C1"/>
    <w:rsid w:val="008072D7"/>
    <w:rsid w:val="00807497"/>
    <w:rsid w:val="0081099A"/>
    <w:rsid w:val="00810B8F"/>
    <w:rsid w:val="00810F11"/>
    <w:rsid w:val="00812C49"/>
    <w:rsid w:val="00813CE3"/>
    <w:rsid w:val="00814197"/>
    <w:rsid w:val="00814E7C"/>
    <w:rsid w:val="008153BE"/>
    <w:rsid w:val="00815A89"/>
    <w:rsid w:val="0081646F"/>
    <w:rsid w:val="008164BD"/>
    <w:rsid w:val="0081766A"/>
    <w:rsid w:val="00817A6C"/>
    <w:rsid w:val="00820700"/>
    <w:rsid w:val="008209B3"/>
    <w:rsid w:val="00821571"/>
    <w:rsid w:val="0082174E"/>
    <w:rsid w:val="00823A68"/>
    <w:rsid w:val="00824CB0"/>
    <w:rsid w:val="00826A95"/>
    <w:rsid w:val="00827020"/>
    <w:rsid w:val="00830132"/>
    <w:rsid w:val="008313C8"/>
    <w:rsid w:val="008319EE"/>
    <w:rsid w:val="00831ABE"/>
    <w:rsid w:val="00831CAF"/>
    <w:rsid w:val="00832066"/>
    <w:rsid w:val="008322AA"/>
    <w:rsid w:val="008329FD"/>
    <w:rsid w:val="00833714"/>
    <w:rsid w:val="00833A1D"/>
    <w:rsid w:val="00834740"/>
    <w:rsid w:val="00834E3F"/>
    <w:rsid w:val="00834F4F"/>
    <w:rsid w:val="0083511B"/>
    <w:rsid w:val="00835579"/>
    <w:rsid w:val="0083606A"/>
    <w:rsid w:val="008365A8"/>
    <w:rsid w:val="00836F5A"/>
    <w:rsid w:val="008407FD"/>
    <w:rsid w:val="00840B76"/>
    <w:rsid w:val="00841E54"/>
    <w:rsid w:val="00841FE7"/>
    <w:rsid w:val="008430F0"/>
    <w:rsid w:val="00843495"/>
    <w:rsid w:val="008434DF"/>
    <w:rsid w:val="00843FCF"/>
    <w:rsid w:val="008441DB"/>
    <w:rsid w:val="00844C60"/>
    <w:rsid w:val="00845ED9"/>
    <w:rsid w:val="00847028"/>
    <w:rsid w:val="008473C6"/>
    <w:rsid w:val="00847556"/>
    <w:rsid w:val="0084766F"/>
    <w:rsid w:val="0084774D"/>
    <w:rsid w:val="00847A69"/>
    <w:rsid w:val="00847BE9"/>
    <w:rsid w:val="00847CC8"/>
    <w:rsid w:val="00847FE8"/>
    <w:rsid w:val="00851A1F"/>
    <w:rsid w:val="00851A75"/>
    <w:rsid w:val="00851B5E"/>
    <w:rsid w:val="00851D03"/>
    <w:rsid w:val="00852367"/>
    <w:rsid w:val="00852DBA"/>
    <w:rsid w:val="00852DE9"/>
    <w:rsid w:val="00854442"/>
    <w:rsid w:val="00854632"/>
    <w:rsid w:val="00854C18"/>
    <w:rsid w:val="00855064"/>
    <w:rsid w:val="0085530B"/>
    <w:rsid w:val="008554E3"/>
    <w:rsid w:val="00855B65"/>
    <w:rsid w:val="00855C7A"/>
    <w:rsid w:val="00855FF7"/>
    <w:rsid w:val="008564A3"/>
    <w:rsid w:val="00856534"/>
    <w:rsid w:val="008567DE"/>
    <w:rsid w:val="0085756A"/>
    <w:rsid w:val="00857769"/>
    <w:rsid w:val="00857AFC"/>
    <w:rsid w:val="008614B5"/>
    <w:rsid w:val="00861566"/>
    <w:rsid w:val="00861AA8"/>
    <w:rsid w:val="00861DD2"/>
    <w:rsid w:val="00862C2A"/>
    <w:rsid w:val="008637DA"/>
    <w:rsid w:val="008643DE"/>
    <w:rsid w:val="008654D9"/>
    <w:rsid w:val="00865E2A"/>
    <w:rsid w:val="00867E47"/>
    <w:rsid w:val="00870168"/>
    <w:rsid w:val="0087038A"/>
    <w:rsid w:val="00870719"/>
    <w:rsid w:val="00870931"/>
    <w:rsid w:val="00870DC0"/>
    <w:rsid w:val="0087153F"/>
    <w:rsid w:val="00872265"/>
    <w:rsid w:val="0087261D"/>
    <w:rsid w:val="00872D22"/>
    <w:rsid w:val="008733EF"/>
    <w:rsid w:val="0087347C"/>
    <w:rsid w:val="0087417D"/>
    <w:rsid w:val="00874433"/>
    <w:rsid w:val="00874809"/>
    <w:rsid w:val="008753A1"/>
    <w:rsid w:val="008753F4"/>
    <w:rsid w:val="00875BE5"/>
    <w:rsid w:val="00876E57"/>
    <w:rsid w:val="00877374"/>
    <w:rsid w:val="00880DC0"/>
    <w:rsid w:val="008819B3"/>
    <w:rsid w:val="00881D1B"/>
    <w:rsid w:val="008826B9"/>
    <w:rsid w:val="0088280E"/>
    <w:rsid w:val="00882B77"/>
    <w:rsid w:val="00882CE4"/>
    <w:rsid w:val="00882F5B"/>
    <w:rsid w:val="00884006"/>
    <w:rsid w:val="00884BC6"/>
    <w:rsid w:val="00885446"/>
    <w:rsid w:val="00885BE5"/>
    <w:rsid w:val="00885DA0"/>
    <w:rsid w:val="00885E80"/>
    <w:rsid w:val="0088768D"/>
    <w:rsid w:val="00890FE1"/>
    <w:rsid w:val="00891E6F"/>
    <w:rsid w:val="00893336"/>
    <w:rsid w:val="008950A6"/>
    <w:rsid w:val="00895134"/>
    <w:rsid w:val="00897301"/>
    <w:rsid w:val="00897854"/>
    <w:rsid w:val="00897DD9"/>
    <w:rsid w:val="008A05D7"/>
    <w:rsid w:val="008A0D3D"/>
    <w:rsid w:val="008A213F"/>
    <w:rsid w:val="008A261D"/>
    <w:rsid w:val="008A33CB"/>
    <w:rsid w:val="008A47A5"/>
    <w:rsid w:val="008A47D6"/>
    <w:rsid w:val="008A4D4B"/>
    <w:rsid w:val="008A6177"/>
    <w:rsid w:val="008A6687"/>
    <w:rsid w:val="008A6F53"/>
    <w:rsid w:val="008A7680"/>
    <w:rsid w:val="008A76CF"/>
    <w:rsid w:val="008A7BC4"/>
    <w:rsid w:val="008B072F"/>
    <w:rsid w:val="008B0954"/>
    <w:rsid w:val="008B0C09"/>
    <w:rsid w:val="008B0D73"/>
    <w:rsid w:val="008B139C"/>
    <w:rsid w:val="008B3169"/>
    <w:rsid w:val="008B3F26"/>
    <w:rsid w:val="008B4381"/>
    <w:rsid w:val="008B46B4"/>
    <w:rsid w:val="008B509E"/>
    <w:rsid w:val="008B6452"/>
    <w:rsid w:val="008B67D0"/>
    <w:rsid w:val="008B74D2"/>
    <w:rsid w:val="008B7C34"/>
    <w:rsid w:val="008B7D3B"/>
    <w:rsid w:val="008B7E46"/>
    <w:rsid w:val="008C167B"/>
    <w:rsid w:val="008C1880"/>
    <w:rsid w:val="008C1A5F"/>
    <w:rsid w:val="008C1DFB"/>
    <w:rsid w:val="008C3117"/>
    <w:rsid w:val="008C38BB"/>
    <w:rsid w:val="008C5065"/>
    <w:rsid w:val="008C58F1"/>
    <w:rsid w:val="008C5F78"/>
    <w:rsid w:val="008C6236"/>
    <w:rsid w:val="008C686F"/>
    <w:rsid w:val="008C78E9"/>
    <w:rsid w:val="008C7C08"/>
    <w:rsid w:val="008C7F93"/>
    <w:rsid w:val="008D005E"/>
    <w:rsid w:val="008D0C47"/>
    <w:rsid w:val="008D1C7E"/>
    <w:rsid w:val="008D1EF9"/>
    <w:rsid w:val="008D2BFF"/>
    <w:rsid w:val="008D4199"/>
    <w:rsid w:val="008D4671"/>
    <w:rsid w:val="008D4E86"/>
    <w:rsid w:val="008D55A3"/>
    <w:rsid w:val="008D581F"/>
    <w:rsid w:val="008D6967"/>
    <w:rsid w:val="008D6A2D"/>
    <w:rsid w:val="008D7959"/>
    <w:rsid w:val="008E0139"/>
    <w:rsid w:val="008E0E12"/>
    <w:rsid w:val="008E132F"/>
    <w:rsid w:val="008E1773"/>
    <w:rsid w:val="008E1924"/>
    <w:rsid w:val="008E27E4"/>
    <w:rsid w:val="008E3CBA"/>
    <w:rsid w:val="008E4333"/>
    <w:rsid w:val="008E4915"/>
    <w:rsid w:val="008E4AD3"/>
    <w:rsid w:val="008E5E01"/>
    <w:rsid w:val="008E5EDA"/>
    <w:rsid w:val="008E6940"/>
    <w:rsid w:val="008E7AA4"/>
    <w:rsid w:val="008F027E"/>
    <w:rsid w:val="008F0ADF"/>
    <w:rsid w:val="008F1C00"/>
    <w:rsid w:val="008F2475"/>
    <w:rsid w:val="008F416E"/>
    <w:rsid w:val="008F42AB"/>
    <w:rsid w:val="008F51B7"/>
    <w:rsid w:val="008F623C"/>
    <w:rsid w:val="008F63E8"/>
    <w:rsid w:val="008F6828"/>
    <w:rsid w:val="008F69DC"/>
    <w:rsid w:val="008F6E87"/>
    <w:rsid w:val="008F75A2"/>
    <w:rsid w:val="008F79DA"/>
    <w:rsid w:val="008F7FEF"/>
    <w:rsid w:val="0090057B"/>
    <w:rsid w:val="0090131B"/>
    <w:rsid w:val="00901BFD"/>
    <w:rsid w:val="00902121"/>
    <w:rsid w:val="00902CFA"/>
    <w:rsid w:val="00903324"/>
    <w:rsid w:val="009033F6"/>
    <w:rsid w:val="00903885"/>
    <w:rsid w:val="00904FCA"/>
    <w:rsid w:val="00905A61"/>
    <w:rsid w:val="0090653A"/>
    <w:rsid w:val="00906593"/>
    <w:rsid w:val="00907209"/>
    <w:rsid w:val="00907223"/>
    <w:rsid w:val="00907E89"/>
    <w:rsid w:val="0091099E"/>
    <w:rsid w:val="009113F1"/>
    <w:rsid w:val="00911685"/>
    <w:rsid w:val="009118AA"/>
    <w:rsid w:val="00912253"/>
    <w:rsid w:val="009127BE"/>
    <w:rsid w:val="00912DB1"/>
    <w:rsid w:val="009131C8"/>
    <w:rsid w:val="00913801"/>
    <w:rsid w:val="00913ACB"/>
    <w:rsid w:val="00914654"/>
    <w:rsid w:val="00914F6C"/>
    <w:rsid w:val="0091540B"/>
    <w:rsid w:val="00915425"/>
    <w:rsid w:val="00915913"/>
    <w:rsid w:val="00916058"/>
    <w:rsid w:val="00916981"/>
    <w:rsid w:val="00916C3F"/>
    <w:rsid w:val="00917242"/>
    <w:rsid w:val="009178AD"/>
    <w:rsid w:val="009202A4"/>
    <w:rsid w:val="009202AC"/>
    <w:rsid w:val="00920E49"/>
    <w:rsid w:val="00920E9C"/>
    <w:rsid w:val="00920ED5"/>
    <w:rsid w:val="0092216F"/>
    <w:rsid w:val="009222E1"/>
    <w:rsid w:val="009222E2"/>
    <w:rsid w:val="00922EEE"/>
    <w:rsid w:val="009239AF"/>
    <w:rsid w:val="00923BCC"/>
    <w:rsid w:val="00923C01"/>
    <w:rsid w:val="009243EC"/>
    <w:rsid w:val="00924A8C"/>
    <w:rsid w:val="00926300"/>
    <w:rsid w:val="0092631C"/>
    <w:rsid w:val="00926A7C"/>
    <w:rsid w:val="00926ACA"/>
    <w:rsid w:val="00927BBE"/>
    <w:rsid w:val="00927F4E"/>
    <w:rsid w:val="00930006"/>
    <w:rsid w:val="009302D3"/>
    <w:rsid w:val="00930869"/>
    <w:rsid w:val="0093104A"/>
    <w:rsid w:val="009314E9"/>
    <w:rsid w:val="00931A1F"/>
    <w:rsid w:val="00931DB1"/>
    <w:rsid w:val="009327B4"/>
    <w:rsid w:val="00933B6F"/>
    <w:rsid w:val="00934CBC"/>
    <w:rsid w:val="00934D56"/>
    <w:rsid w:val="00934ED4"/>
    <w:rsid w:val="009353F0"/>
    <w:rsid w:val="00935BEC"/>
    <w:rsid w:val="00935EBB"/>
    <w:rsid w:val="009370FD"/>
    <w:rsid w:val="00937966"/>
    <w:rsid w:val="00940CA7"/>
    <w:rsid w:val="009412A2"/>
    <w:rsid w:val="00941BA9"/>
    <w:rsid w:val="0094207C"/>
    <w:rsid w:val="009427D9"/>
    <w:rsid w:val="00942A7C"/>
    <w:rsid w:val="00943FD5"/>
    <w:rsid w:val="009447B7"/>
    <w:rsid w:val="00944D82"/>
    <w:rsid w:val="00945BDD"/>
    <w:rsid w:val="009460F3"/>
    <w:rsid w:val="009462F4"/>
    <w:rsid w:val="00946FD1"/>
    <w:rsid w:val="0094725A"/>
    <w:rsid w:val="00947E32"/>
    <w:rsid w:val="009502B8"/>
    <w:rsid w:val="00950A3B"/>
    <w:rsid w:val="00951592"/>
    <w:rsid w:val="009519DD"/>
    <w:rsid w:val="00951E86"/>
    <w:rsid w:val="00952289"/>
    <w:rsid w:val="0095462B"/>
    <w:rsid w:val="00955B1C"/>
    <w:rsid w:val="00956B06"/>
    <w:rsid w:val="00957604"/>
    <w:rsid w:val="00960E89"/>
    <w:rsid w:val="009612B8"/>
    <w:rsid w:val="0096151D"/>
    <w:rsid w:val="00961C2C"/>
    <w:rsid w:val="00961FF3"/>
    <w:rsid w:val="00963727"/>
    <w:rsid w:val="00963C0B"/>
    <w:rsid w:val="00964A06"/>
    <w:rsid w:val="0096564E"/>
    <w:rsid w:val="00965F12"/>
    <w:rsid w:val="00965F45"/>
    <w:rsid w:val="00966667"/>
    <w:rsid w:val="0096728E"/>
    <w:rsid w:val="00967E76"/>
    <w:rsid w:val="00970D59"/>
    <w:rsid w:val="00970FF8"/>
    <w:rsid w:val="00971211"/>
    <w:rsid w:val="00972626"/>
    <w:rsid w:val="00972C22"/>
    <w:rsid w:val="00973791"/>
    <w:rsid w:val="00974464"/>
    <w:rsid w:val="0097491A"/>
    <w:rsid w:val="00976905"/>
    <w:rsid w:val="009773AD"/>
    <w:rsid w:val="0097792D"/>
    <w:rsid w:val="009800B1"/>
    <w:rsid w:val="00980CFD"/>
    <w:rsid w:val="0098192E"/>
    <w:rsid w:val="00981D0B"/>
    <w:rsid w:val="009821B4"/>
    <w:rsid w:val="00982514"/>
    <w:rsid w:val="0098252A"/>
    <w:rsid w:val="009830D2"/>
    <w:rsid w:val="009836D2"/>
    <w:rsid w:val="009836DC"/>
    <w:rsid w:val="00983B2F"/>
    <w:rsid w:val="00983D27"/>
    <w:rsid w:val="009856BD"/>
    <w:rsid w:val="009856EA"/>
    <w:rsid w:val="009863B8"/>
    <w:rsid w:val="0098663F"/>
    <w:rsid w:val="00986A30"/>
    <w:rsid w:val="00986FA9"/>
    <w:rsid w:val="00987046"/>
    <w:rsid w:val="00987E7B"/>
    <w:rsid w:val="00987F4F"/>
    <w:rsid w:val="009906CF"/>
    <w:rsid w:val="00990C00"/>
    <w:rsid w:val="00992AE6"/>
    <w:rsid w:val="00993FC2"/>
    <w:rsid w:val="00996018"/>
    <w:rsid w:val="00996260"/>
    <w:rsid w:val="00997038"/>
    <w:rsid w:val="0099794F"/>
    <w:rsid w:val="00997B78"/>
    <w:rsid w:val="00997E06"/>
    <w:rsid w:val="009A172F"/>
    <w:rsid w:val="009A29F3"/>
    <w:rsid w:val="009A2C5B"/>
    <w:rsid w:val="009A3BCC"/>
    <w:rsid w:val="009A456D"/>
    <w:rsid w:val="009A56E7"/>
    <w:rsid w:val="009B0212"/>
    <w:rsid w:val="009B0234"/>
    <w:rsid w:val="009B0948"/>
    <w:rsid w:val="009B1995"/>
    <w:rsid w:val="009B22F8"/>
    <w:rsid w:val="009B2499"/>
    <w:rsid w:val="009B2CF4"/>
    <w:rsid w:val="009B2D8B"/>
    <w:rsid w:val="009B37DE"/>
    <w:rsid w:val="009B3BB5"/>
    <w:rsid w:val="009B3C2B"/>
    <w:rsid w:val="009B3C6E"/>
    <w:rsid w:val="009B3D78"/>
    <w:rsid w:val="009B444F"/>
    <w:rsid w:val="009B467D"/>
    <w:rsid w:val="009B47BC"/>
    <w:rsid w:val="009B4BD1"/>
    <w:rsid w:val="009B5A18"/>
    <w:rsid w:val="009B5D2C"/>
    <w:rsid w:val="009B5ECE"/>
    <w:rsid w:val="009B741E"/>
    <w:rsid w:val="009B793E"/>
    <w:rsid w:val="009B7C31"/>
    <w:rsid w:val="009C0935"/>
    <w:rsid w:val="009C09FD"/>
    <w:rsid w:val="009C0C55"/>
    <w:rsid w:val="009C1637"/>
    <w:rsid w:val="009C236A"/>
    <w:rsid w:val="009C2E26"/>
    <w:rsid w:val="009C3684"/>
    <w:rsid w:val="009C38D5"/>
    <w:rsid w:val="009C3A3D"/>
    <w:rsid w:val="009C3E39"/>
    <w:rsid w:val="009C53A6"/>
    <w:rsid w:val="009C5876"/>
    <w:rsid w:val="009C5B89"/>
    <w:rsid w:val="009C63AF"/>
    <w:rsid w:val="009C71FC"/>
    <w:rsid w:val="009C7CAE"/>
    <w:rsid w:val="009D06E2"/>
    <w:rsid w:val="009D1659"/>
    <w:rsid w:val="009D2BEE"/>
    <w:rsid w:val="009D4000"/>
    <w:rsid w:val="009D4040"/>
    <w:rsid w:val="009D4761"/>
    <w:rsid w:val="009D577F"/>
    <w:rsid w:val="009D58B3"/>
    <w:rsid w:val="009D59DD"/>
    <w:rsid w:val="009D630C"/>
    <w:rsid w:val="009D7CE0"/>
    <w:rsid w:val="009D7DC3"/>
    <w:rsid w:val="009E0651"/>
    <w:rsid w:val="009E0692"/>
    <w:rsid w:val="009E09C6"/>
    <w:rsid w:val="009E1A7A"/>
    <w:rsid w:val="009E1D98"/>
    <w:rsid w:val="009E247C"/>
    <w:rsid w:val="009E2918"/>
    <w:rsid w:val="009E298A"/>
    <w:rsid w:val="009E2E8D"/>
    <w:rsid w:val="009E3638"/>
    <w:rsid w:val="009E3738"/>
    <w:rsid w:val="009E3AB9"/>
    <w:rsid w:val="009E3F08"/>
    <w:rsid w:val="009E42FB"/>
    <w:rsid w:val="009E48D2"/>
    <w:rsid w:val="009E4CFE"/>
    <w:rsid w:val="009E5A49"/>
    <w:rsid w:val="009E5BC2"/>
    <w:rsid w:val="009E5CD8"/>
    <w:rsid w:val="009E5FD2"/>
    <w:rsid w:val="009E642C"/>
    <w:rsid w:val="009E655B"/>
    <w:rsid w:val="009F0859"/>
    <w:rsid w:val="009F0A47"/>
    <w:rsid w:val="009F0C4F"/>
    <w:rsid w:val="009F181C"/>
    <w:rsid w:val="009F2BFB"/>
    <w:rsid w:val="009F31E9"/>
    <w:rsid w:val="009F435D"/>
    <w:rsid w:val="009F5AA1"/>
    <w:rsid w:val="009F5BA7"/>
    <w:rsid w:val="009F6151"/>
    <w:rsid w:val="009F6266"/>
    <w:rsid w:val="009F7CDB"/>
    <w:rsid w:val="00A011C9"/>
    <w:rsid w:val="00A01550"/>
    <w:rsid w:val="00A01907"/>
    <w:rsid w:val="00A02BD0"/>
    <w:rsid w:val="00A03A00"/>
    <w:rsid w:val="00A0433D"/>
    <w:rsid w:val="00A04C4F"/>
    <w:rsid w:val="00A058D6"/>
    <w:rsid w:val="00A05DD4"/>
    <w:rsid w:val="00A06139"/>
    <w:rsid w:val="00A06BA9"/>
    <w:rsid w:val="00A0727D"/>
    <w:rsid w:val="00A072E7"/>
    <w:rsid w:val="00A078C5"/>
    <w:rsid w:val="00A10047"/>
    <w:rsid w:val="00A10D96"/>
    <w:rsid w:val="00A10FB6"/>
    <w:rsid w:val="00A11014"/>
    <w:rsid w:val="00A1449E"/>
    <w:rsid w:val="00A1453F"/>
    <w:rsid w:val="00A1459E"/>
    <w:rsid w:val="00A15036"/>
    <w:rsid w:val="00A161B4"/>
    <w:rsid w:val="00A168E5"/>
    <w:rsid w:val="00A16A65"/>
    <w:rsid w:val="00A16CD0"/>
    <w:rsid w:val="00A175FC"/>
    <w:rsid w:val="00A17D07"/>
    <w:rsid w:val="00A17EDC"/>
    <w:rsid w:val="00A17EEC"/>
    <w:rsid w:val="00A201A4"/>
    <w:rsid w:val="00A204C6"/>
    <w:rsid w:val="00A20600"/>
    <w:rsid w:val="00A20680"/>
    <w:rsid w:val="00A20F37"/>
    <w:rsid w:val="00A2133F"/>
    <w:rsid w:val="00A216E9"/>
    <w:rsid w:val="00A217F8"/>
    <w:rsid w:val="00A22518"/>
    <w:rsid w:val="00A22E61"/>
    <w:rsid w:val="00A22E6D"/>
    <w:rsid w:val="00A2309D"/>
    <w:rsid w:val="00A231B8"/>
    <w:rsid w:val="00A2430F"/>
    <w:rsid w:val="00A245E6"/>
    <w:rsid w:val="00A24A37"/>
    <w:rsid w:val="00A25278"/>
    <w:rsid w:val="00A25B5E"/>
    <w:rsid w:val="00A26F14"/>
    <w:rsid w:val="00A27721"/>
    <w:rsid w:val="00A2796C"/>
    <w:rsid w:val="00A27B9E"/>
    <w:rsid w:val="00A302A8"/>
    <w:rsid w:val="00A3076B"/>
    <w:rsid w:val="00A33592"/>
    <w:rsid w:val="00A33A14"/>
    <w:rsid w:val="00A3520C"/>
    <w:rsid w:val="00A3541E"/>
    <w:rsid w:val="00A362DB"/>
    <w:rsid w:val="00A36622"/>
    <w:rsid w:val="00A4007A"/>
    <w:rsid w:val="00A407BA"/>
    <w:rsid w:val="00A40BF7"/>
    <w:rsid w:val="00A40ECE"/>
    <w:rsid w:val="00A4207E"/>
    <w:rsid w:val="00A42A5E"/>
    <w:rsid w:val="00A42CE6"/>
    <w:rsid w:val="00A44130"/>
    <w:rsid w:val="00A463A1"/>
    <w:rsid w:val="00A46419"/>
    <w:rsid w:val="00A47DA5"/>
    <w:rsid w:val="00A47EA6"/>
    <w:rsid w:val="00A50B0F"/>
    <w:rsid w:val="00A50B2F"/>
    <w:rsid w:val="00A50CBD"/>
    <w:rsid w:val="00A50FA9"/>
    <w:rsid w:val="00A51365"/>
    <w:rsid w:val="00A51414"/>
    <w:rsid w:val="00A51959"/>
    <w:rsid w:val="00A51F9A"/>
    <w:rsid w:val="00A53504"/>
    <w:rsid w:val="00A53868"/>
    <w:rsid w:val="00A53ECB"/>
    <w:rsid w:val="00A551CB"/>
    <w:rsid w:val="00A55724"/>
    <w:rsid w:val="00A5594B"/>
    <w:rsid w:val="00A55C6E"/>
    <w:rsid w:val="00A5610B"/>
    <w:rsid w:val="00A5665E"/>
    <w:rsid w:val="00A57F8A"/>
    <w:rsid w:val="00A60E89"/>
    <w:rsid w:val="00A6103C"/>
    <w:rsid w:val="00A6140B"/>
    <w:rsid w:val="00A61529"/>
    <w:rsid w:val="00A61A63"/>
    <w:rsid w:val="00A61B98"/>
    <w:rsid w:val="00A62999"/>
    <w:rsid w:val="00A62F08"/>
    <w:rsid w:val="00A630AF"/>
    <w:rsid w:val="00A637A0"/>
    <w:rsid w:val="00A63AC4"/>
    <w:rsid w:val="00A63B54"/>
    <w:rsid w:val="00A63EEA"/>
    <w:rsid w:val="00A64812"/>
    <w:rsid w:val="00A64BC5"/>
    <w:rsid w:val="00A64C21"/>
    <w:rsid w:val="00A650FE"/>
    <w:rsid w:val="00A65673"/>
    <w:rsid w:val="00A65EB5"/>
    <w:rsid w:val="00A665F4"/>
    <w:rsid w:val="00A67598"/>
    <w:rsid w:val="00A67DE7"/>
    <w:rsid w:val="00A67EB8"/>
    <w:rsid w:val="00A70D46"/>
    <w:rsid w:val="00A71554"/>
    <w:rsid w:val="00A71744"/>
    <w:rsid w:val="00A71847"/>
    <w:rsid w:val="00A72967"/>
    <w:rsid w:val="00A729F5"/>
    <w:rsid w:val="00A7343C"/>
    <w:rsid w:val="00A73675"/>
    <w:rsid w:val="00A74934"/>
    <w:rsid w:val="00A75442"/>
    <w:rsid w:val="00A7550C"/>
    <w:rsid w:val="00A75812"/>
    <w:rsid w:val="00A769E8"/>
    <w:rsid w:val="00A76D83"/>
    <w:rsid w:val="00A77D39"/>
    <w:rsid w:val="00A80168"/>
    <w:rsid w:val="00A8081F"/>
    <w:rsid w:val="00A82807"/>
    <w:rsid w:val="00A830EF"/>
    <w:rsid w:val="00A845A1"/>
    <w:rsid w:val="00A845E9"/>
    <w:rsid w:val="00A84972"/>
    <w:rsid w:val="00A8584E"/>
    <w:rsid w:val="00A8614F"/>
    <w:rsid w:val="00A86CDC"/>
    <w:rsid w:val="00A870D4"/>
    <w:rsid w:val="00A87603"/>
    <w:rsid w:val="00A9093E"/>
    <w:rsid w:val="00A9173B"/>
    <w:rsid w:val="00A919ED"/>
    <w:rsid w:val="00A92C78"/>
    <w:rsid w:val="00A93294"/>
    <w:rsid w:val="00A93582"/>
    <w:rsid w:val="00A9363E"/>
    <w:rsid w:val="00A93D59"/>
    <w:rsid w:val="00A944FF"/>
    <w:rsid w:val="00A949B2"/>
    <w:rsid w:val="00A97132"/>
    <w:rsid w:val="00A9761C"/>
    <w:rsid w:val="00A97DAD"/>
    <w:rsid w:val="00A97E30"/>
    <w:rsid w:val="00AA030F"/>
    <w:rsid w:val="00AA0907"/>
    <w:rsid w:val="00AA0E4A"/>
    <w:rsid w:val="00AA1739"/>
    <w:rsid w:val="00AA1BB7"/>
    <w:rsid w:val="00AA24BD"/>
    <w:rsid w:val="00AA258C"/>
    <w:rsid w:val="00AA2CD5"/>
    <w:rsid w:val="00AA3215"/>
    <w:rsid w:val="00AA352E"/>
    <w:rsid w:val="00AA35E3"/>
    <w:rsid w:val="00AA3AE7"/>
    <w:rsid w:val="00AA3C02"/>
    <w:rsid w:val="00AA42A2"/>
    <w:rsid w:val="00AA4E9E"/>
    <w:rsid w:val="00AA51E7"/>
    <w:rsid w:val="00AA5700"/>
    <w:rsid w:val="00AA5B74"/>
    <w:rsid w:val="00AA6550"/>
    <w:rsid w:val="00AA6B63"/>
    <w:rsid w:val="00AA6C47"/>
    <w:rsid w:val="00AA6FDC"/>
    <w:rsid w:val="00AA7454"/>
    <w:rsid w:val="00AA761F"/>
    <w:rsid w:val="00AB06F1"/>
    <w:rsid w:val="00AB07A9"/>
    <w:rsid w:val="00AB099C"/>
    <w:rsid w:val="00AB0D29"/>
    <w:rsid w:val="00AB1882"/>
    <w:rsid w:val="00AB2C0E"/>
    <w:rsid w:val="00AB3294"/>
    <w:rsid w:val="00AB3E80"/>
    <w:rsid w:val="00AB43E4"/>
    <w:rsid w:val="00AB4908"/>
    <w:rsid w:val="00AB4EB6"/>
    <w:rsid w:val="00AB63E8"/>
    <w:rsid w:val="00AB6675"/>
    <w:rsid w:val="00AB6DEE"/>
    <w:rsid w:val="00AB76C8"/>
    <w:rsid w:val="00AB7A8F"/>
    <w:rsid w:val="00AC1B7A"/>
    <w:rsid w:val="00AC206A"/>
    <w:rsid w:val="00AC2174"/>
    <w:rsid w:val="00AC2F87"/>
    <w:rsid w:val="00AC34EF"/>
    <w:rsid w:val="00AC43BE"/>
    <w:rsid w:val="00AC4C90"/>
    <w:rsid w:val="00AC5243"/>
    <w:rsid w:val="00AC563A"/>
    <w:rsid w:val="00AC626F"/>
    <w:rsid w:val="00AC62E2"/>
    <w:rsid w:val="00AC69AA"/>
    <w:rsid w:val="00AC6DE9"/>
    <w:rsid w:val="00AC79F6"/>
    <w:rsid w:val="00AD1088"/>
    <w:rsid w:val="00AD170C"/>
    <w:rsid w:val="00AD1FA0"/>
    <w:rsid w:val="00AD2069"/>
    <w:rsid w:val="00AD3303"/>
    <w:rsid w:val="00AD33B9"/>
    <w:rsid w:val="00AD39DE"/>
    <w:rsid w:val="00AD4B7D"/>
    <w:rsid w:val="00AD4E78"/>
    <w:rsid w:val="00AD5FD5"/>
    <w:rsid w:val="00AD692A"/>
    <w:rsid w:val="00AD708E"/>
    <w:rsid w:val="00AE014F"/>
    <w:rsid w:val="00AE095A"/>
    <w:rsid w:val="00AE0F02"/>
    <w:rsid w:val="00AE10F5"/>
    <w:rsid w:val="00AE17E7"/>
    <w:rsid w:val="00AE23FE"/>
    <w:rsid w:val="00AE25B9"/>
    <w:rsid w:val="00AE25E1"/>
    <w:rsid w:val="00AE28B8"/>
    <w:rsid w:val="00AE2EA0"/>
    <w:rsid w:val="00AE3215"/>
    <w:rsid w:val="00AE3747"/>
    <w:rsid w:val="00AE3940"/>
    <w:rsid w:val="00AE3B1C"/>
    <w:rsid w:val="00AE3FCB"/>
    <w:rsid w:val="00AE4215"/>
    <w:rsid w:val="00AE47D3"/>
    <w:rsid w:val="00AE4AB7"/>
    <w:rsid w:val="00AE629E"/>
    <w:rsid w:val="00AE675C"/>
    <w:rsid w:val="00AE6C25"/>
    <w:rsid w:val="00AE6F8C"/>
    <w:rsid w:val="00AE7067"/>
    <w:rsid w:val="00AE79E3"/>
    <w:rsid w:val="00AF07AB"/>
    <w:rsid w:val="00AF0E47"/>
    <w:rsid w:val="00AF1348"/>
    <w:rsid w:val="00AF179E"/>
    <w:rsid w:val="00AF208F"/>
    <w:rsid w:val="00AF2DD7"/>
    <w:rsid w:val="00AF2FE3"/>
    <w:rsid w:val="00AF31FD"/>
    <w:rsid w:val="00AF38F8"/>
    <w:rsid w:val="00AF4121"/>
    <w:rsid w:val="00AF4298"/>
    <w:rsid w:val="00AF60F6"/>
    <w:rsid w:val="00B00D27"/>
    <w:rsid w:val="00B00EBE"/>
    <w:rsid w:val="00B0149F"/>
    <w:rsid w:val="00B01920"/>
    <w:rsid w:val="00B01E09"/>
    <w:rsid w:val="00B01EA6"/>
    <w:rsid w:val="00B021F5"/>
    <w:rsid w:val="00B02C1D"/>
    <w:rsid w:val="00B03938"/>
    <w:rsid w:val="00B039AF"/>
    <w:rsid w:val="00B03C06"/>
    <w:rsid w:val="00B03C7D"/>
    <w:rsid w:val="00B04055"/>
    <w:rsid w:val="00B04609"/>
    <w:rsid w:val="00B04A3B"/>
    <w:rsid w:val="00B05E0F"/>
    <w:rsid w:val="00B05F63"/>
    <w:rsid w:val="00B067BB"/>
    <w:rsid w:val="00B0773B"/>
    <w:rsid w:val="00B0781A"/>
    <w:rsid w:val="00B07BA0"/>
    <w:rsid w:val="00B108E5"/>
    <w:rsid w:val="00B11343"/>
    <w:rsid w:val="00B11B6A"/>
    <w:rsid w:val="00B11BDF"/>
    <w:rsid w:val="00B12381"/>
    <w:rsid w:val="00B12BB2"/>
    <w:rsid w:val="00B13343"/>
    <w:rsid w:val="00B13859"/>
    <w:rsid w:val="00B13D93"/>
    <w:rsid w:val="00B13DA4"/>
    <w:rsid w:val="00B143F6"/>
    <w:rsid w:val="00B14493"/>
    <w:rsid w:val="00B144D1"/>
    <w:rsid w:val="00B14904"/>
    <w:rsid w:val="00B1498E"/>
    <w:rsid w:val="00B149FC"/>
    <w:rsid w:val="00B1596D"/>
    <w:rsid w:val="00B15E50"/>
    <w:rsid w:val="00B16722"/>
    <w:rsid w:val="00B16D7F"/>
    <w:rsid w:val="00B16DBE"/>
    <w:rsid w:val="00B175F7"/>
    <w:rsid w:val="00B17630"/>
    <w:rsid w:val="00B17779"/>
    <w:rsid w:val="00B178EF"/>
    <w:rsid w:val="00B17CCF"/>
    <w:rsid w:val="00B20563"/>
    <w:rsid w:val="00B2283F"/>
    <w:rsid w:val="00B2324E"/>
    <w:rsid w:val="00B2371E"/>
    <w:rsid w:val="00B24040"/>
    <w:rsid w:val="00B25131"/>
    <w:rsid w:val="00B25A82"/>
    <w:rsid w:val="00B2614C"/>
    <w:rsid w:val="00B26BAD"/>
    <w:rsid w:val="00B3029F"/>
    <w:rsid w:val="00B3080F"/>
    <w:rsid w:val="00B32C9E"/>
    <w:rsid w:val="00B33805"/>
    <w:rsid w:val="00B33B34"/>
    <w:rsid w:val="00B33C12"/>
    <w:rsid w:val="00B34236"/>
    <w:rsid w:val="00B3486C"/>
    <w:rsid w:val="00B34AEE"/>
    <w:rsid w:val="00B34DAF"/>
    <w:rsid w:val="00B357DA"/>
    <w:rsid w:val="00B36026"/>
    <w:rsid w:val="00B36185"/>
    <w:rsid w:val="00B361BE"/>
    <w:rsid w:val="00B364F8"/>
    <w:rsid w:val="00B371AC"/>
    <w:rsid w:val="00B3785C"/>
    <w:rsid w:val="00B37D25"/>
    <w:rsid w:val="00B403D2"/>
    <w:rsid w:val="00B40B55"/>
    <w:rsid w:val="00B4119F"/>
    <w:rsid w:val="00B4121C"/>
    <w:rsid w:val="00B4171F"/>
    <w:rsid w:val="00B41CED"/>
    <w:rsid w:val="00B426E0"/>
    <w:rsid w:val="00B440B5"/>
    <w:rsid w:val="00B44554"/>
    <w:rsid w:val="00B44A47"/>
    <w:rsid w:val="00B458A3"/>
    <w:rsid w:val="00B45D34"/>
    <w:rsid w:val="00B46297"/>
    <w:rsid w:val="00B4697B"/>
    <w:rsid w:val="00B46A3C"/>
    <w:rsid w:val="00B46C49"/>
    <w:rsid w:val="00B46DC4"/>
    <w:rsid w:val="00B50317"/>
    <w:rsid w:val="00B51D56"/>
    <w:rsid w:val="00B51EAD"/>
    <w:rsid w:val="00B52120"/>
    <w:rsid w:val="00B524B3"/>
    <w:rsid w:val="00B52842"/>
    <w:rsid w:val="00B53147"/>
    <w:rsid w:val="00B53746"/>
    <w:rsid w:val="00B53A8C"/>
    <w:rsid w:val="00B53D56"/>
    <w:rsid w:val="00B53EA4"/>
    <w:rsid w:val="00B540C5"/>
    <w:rsid w:val="00B542DE"/>
    <w:rsid w:val="00B54644"/>
    <w:rsid w:val="00B54A2C"/>
    <w:rsid w:val="00B55AE0"/>
    <w:rsid w:val="00B563A8"/>
    <w:rsid w:val="00B61192"/>
    <w:rsid w:val="00B614CA"/>
    <w:rsid w:val="00B61F17"/>
    <w:rsid w:val="00B62206"/>
    <w:rsid w:val="00B63107"/>
    <w:rsid w:val="00B63B73"/>
    <w:rsid w:val="00B63BB3"/>
    <w:rsid w:val="00B63ED1"/>
    <w:rsid w:val="00B64A54"/>
    <w:rsid w:val="00B64E96"/>
    <w:rsid w:val="00B651DD"/>
    <w:rsid w:val="00B65367"/>
    <w:rsid w:val="00B65572"/>
    <w:rsid w:val="00B66176"/>
    <w:rsid w:val="00B6690E"/>
    <w:rsid w:val="00B707CE"/>
    <w:rsid w:val="00B70982"/>
    <w:rsid w:val="00B709BD"/>
    <w:rsid w:val="00B71903"/>
    <w:rsid w:val="00B71C5B"/>
    <w:rsid w:val="00B71F48"/>
    <w:rsid w:val="00B72439"/>
    <w:rsid w:val="00B72710"/>
    <w:rsid w:val="00B72D0B"/>
    <w:rsid w:val="00B73287"/>
    <w:rsid w:val="00B733C9"/>
    <w:rsid w:val="00B74533"/>
    <w:rsid w:val="00B751F4"/>
    <w:rsid w:val="00B7570E"/>
    <w:rsid w:val="00B7584D"/>
    <w:rsid w:val="00B7585F"/>
    <w:rsid w:val="00B777F7"/>
    <w:rsid w:val="00B77A73"/>
    <w:rsid w:val="00B77E75"/>
    <w:rsid w:val="00B77F90"/>
    <w:rsid w:val="00B803B7"/>
    <w:rsid w:val="00B80D0B"/>
    <w:rsid w:val="00B80FAF"/>
    <w:rsid w:val="00B811E5"/>
    <w:rsid w:val="00B818EC"/>
    <w:rsid w:val="00B824FD"/>
    <w:rsid w:val="00B82BA2"/>
    <w:rsid w:val="00B82E07"/>
    <w:rsid w:val="00B84792"/>
    <w:rsid w:val="00B85AD6"/>
    <w:rsid w:val="00B85BB0"/>
    <w:rsid w:val="00B8604B"/>
    <w:rsid w:val="00B8681A"/>
    <w:rsid w:val="00B86D5E"/>
    <w:rsid w:val="00B87C52"/>
    <w:rsid w:val="00B87D44"/>
    <w:rsid w:val="00B87D49"/>
    <w:rsid w:val="00B90F10"/>
    <w:rsid w:val="00B91226"/>
    <w:rsid w:val="00B9169A"/>
    <w:rsid w:val="00B925F7"/>
    <w:rsid w:val="00B926E5"/>
    <w:rsid w:val="00B93688"/>
    <w:rsid w:val="00B93892"/>
    <w:rsid w:val="00B94209"/>
    <w:rsid w:val="00B94605"/>
    <w:rsid w:val="00B948BA"/>
    <w:rsid w:val="00B94AB7"/>
    <w:rsid w:val="00B95526"/>
    <w:rsid w:val="00B95B30"/>
    <w:rsid w:val="00B95B4E"/>
    <w:rsid w:val="00B97AB5"/>
    <w:rsid w:val="00B97CAE"/>
    <w:rsid w:val="00B97F94"/>
    <w:rsid w:val="00BA0D6B"/>
    <w:rsid w:val="00BA0DEE"/>
    <w:rsid w:val="00BA0DEF"/>
    <w:rsid w:val="00BA18DC"/>
    <w:rsid w:val="00BA1A79"/>
    <w:rsid w:val="00BA2449"/>
    <w:rsid w:val="00BA2EF1"/>
    <w:rsid w:val="00BA369E"/>
    <w:rsid w:val="00BA381B"/>
    <w:rsid w:val="00BA4123"/>
    <w:rsid w:val="00BA459E"/>
    <w:rsid w:val="00BA5226"/>
    <w:rsid w:val="00BA6822"/>
    <w:rsid w:val="00BA7321"/>
    <w:rsid w:val="00BB0062"/>
    <w:rsid w:val="00BB0A74"/>
    <w:rsid w:val="00BB0F28"/>
    <w:rsid w:val="00BB1D5A"/>
    <w:rsid w:val="00BB24BD"/>
    <w:rsid w:val="00BB3112"/>
    <w:rsid w:val="00BB40A1"/>
    <w:rsid w:val="00BB4482"/>
    <w:rsid w:val="00BB4818"/>
    <w:rsid w:val="00BB4C4E"/>
    <w:rsid w:val="00BB4D24"/>
    <w:rsid w:val="00BB56B4"/>
    <w:rsid w:val="00BB608A"/>
    <w:rsid w:val="00BB66FD"/>
    <w:rsid w:val="00BB6DE3"/>
    <w:rsid w:val="00BB717C"/>
    <w:rsid w:val="00BB74A7"/>
    <w:rsid w:val="00BB7599"/>
    <w:rsid w:val="00BB766B"/>
    <w:rsid w:val="00BB7DCC"/>
    <w:rsid w:val="00BB7FF3"/>
    <w:rsid w:val="00BC03A8"/>
    <w:rsid w:val="00BC11DB"/>
    <w:rsid w:val="00BC15CD"/>
    <w:rsid w:val="00BC165A"/>
    <w:rsid w:val="00BC1919"/>
    <w:rsid w:val="00BC1990"/>
    <w:rsid w:val="00BC1C5D"/>
    <w:rsid w:val="00BC1D48"/>
    <w:rsid w:val="00BC2309"/>
    <w:rsid w:val="00BC2E0F"/>
    <w:rsid w:val="00BC2FED"/>
    <w:rsid w:val="00BC43E2"/>
    <w:rsid w:val="00BC46D9"/>
    <w:rsid w:val="00BC50E3"/>
    <w:rsid w:val="00BC6CF8"/>
    <w:rsid w:val="00BC7235"/>
    <w:rsid w:val="00BD0458"/>
    <w:rsid w:val="00BD09F9"/>
    <w:rsid w:val="00BD1A11"/>
    <w:rsid w:val="00BD432A"/>
    <w:rsid w:val="00BD51A0"/>
    <w:rsid w:val="00BD5685"/>
    <w:rsid w:val="00BD5A68"/>
    <w:rsid w:val="00BD5B80"/>
    <w:rsid w:val="00BD5D37"/>
    <w:rsid w:val="00BD60FE"/>
    <w:rsid w:val="00BD65F4"/>
    <w:rsid w:val="00BD7BE5"/>
    <w:rsid w:val="00BE1064"/>
    <w:rsid w:val="00BE14F5"/>
    <w:rsid w:val="00BE1A94"/>
    <w:rsid w:val="00BE359D"/>
    <w:rsid w:val="00BE3DFE"/>
    <w:rsid w:val="00BE4748"/>
    <w:rsid w:val="00BE4B1B"/>
    <w:rsid w:val="00BE4DAD"/>
    <w:rsid w:val="00BE5279"/>
    <w:rsid w:val="00BE52B2"/>
    <w:rsid w:val="00BE5307"/>
    <w:rsid w:val="00BE59FE"/>
    <w:rsid w:val="00BE72F9"/>
    <w:rsid w:val="00BE75DA"/>
    <w:rsid w:val="00BF2446"/>
    <w:rsid w:val="00BF32D4"/>
    <w:rsid w:val="00BF34E8"/>
    <w:rsid w:val="00BF36E8"/>
    <w:rsid w:val="00BF39AC"/>
    <w:rsid w:val="00BF4195"/>
    <w:rsid w:val="00BF4323"/>
    <w:rsid w:val="00BF792C"/>
    <w:rsid w:val="00BF7E41"/>
    <w:rsid w:val="00C016D7"/>
    <w:rsid w:val="00C01D07"/>
    <w:rsid w:val="00C0228E"/>
    <w:rsid w:val="00C023AF"/>
    <w:rsid w:val="00C02659"/>
    <w:rsid w:val="00C0324E"/>
    <w:rsid w:val="00C05CAF"/>
    <w:rsid w:val="00C05D0D"/>
    <w:rsid w:val="00C07DFD"/>
    <w:rsid w:val="00C10E4E"/>
    <w:rsid w:val="00C11621"/>
    <w:rsid w:val="00C119F9"/>
    <w:rsid w:val="00C11F1B"/>
    <w:rsid w:val="00C13419"/>
    <w:rsid w:val="00C144F8"/>
    <w:rsid w:val="00C14962"/>
    <w:rsid w:val="00C1566D"/>
    <w:rsid w:val="00C156AD"/>
    <w:rsid w:val="00C156E6"/>
    <w:rsid w:val="00C159D3"/>
    <w:rsid w:val="00C15DA7"/>
    <w:rsid w:val="00C172DB"/>
    <w:rsid w:val="00C17939"/>
    <w:rsid w:val="00C17EE8"/>
    <w:rsid w:val="00C20492"/>
    <w:rsid w:val="00C20663"/>
    <w:rsid w:val="00C20693"/>
    <w:rsid w:val="00C20D1B"/>
    <w:rsid w:val="00C21D27"/>
    <w:rsid w:val="00C22621"/>
    <w:rsid w:val="00C228D1"/>
    <w:rsid w:val="00C22FC5"/>
    <w:rsid w:val="00C236CB"/>
    <w:rsid w:val="00C238A4"/>
    <w:rsid w:val="00C25A0B"/>
    <w:rsid w:val="00C26285"/>
    <w:rsid w:val="00C2743B"/>
    <w:rsid w:val="00C27926"/>
    <w:rsid w:val="00C27A65"/>
    <w:rsid w:val="00C27D80"/>
    <w:rsid w:val="00C27EE1"/>
    <w:rsid w:val="00C30725"/>
    <w:rsid w:val="00C30773"/>
    <w:rsid w:val="00C30C2A"/>
    <w:rsid w:val="00C30FCD"/>
    <w:rsid w:val="00C31197"/>
    <w:rsid w:val="00C31496"/>
    <w:rsid w:val="00C3166F"/>
    <w:rsid w:val="00C31A10"/>
    <w:rsid w:val="00C31FA2"/>
    <w:rsid w:val="00C32044"/>
    <w:rsid w:val="00C330E3"/>
    <w:rsid w:val="00C332DD"/>
    <w:rsid w:val="00C33EB8"/>
    <w:rsid w:val="00C3551A"/>
    <w:rsid w:val="00C35802"/>
    <w:rsid w:val="00C36233"/>
    <w:rsid w:val="00C36948"/>
    <w:rsid w:val="00C36FEA"/>
    <w:rsid w:val="00C3704E"/>
    <w:rsid w:val="00C37A61"/>
    <w:rsid w:val="00C41700"/>
    <w:rsid w:val="00C418F6"/>
    <w:rsid w:val="00C42B61"/>
    <w:rsid w:val="00C42CED"/>
    <w:rsid w:val="00C4328E"/>
    <w:rsid w:val="00C4364D"/>
    <w:rsid w:val="00C4397A"/>
    <w:rsid w:val="00C44439"/>
    <w:rsid w:val="00C444AC"/>
    <w:rsid w:val="00C45327"/>
    <w:rsid w:val="00C45F1B"/>
    <w:rsid w:val="00C4601D"/>
    <w:rsid w:val="00C46139"/>
    <w:rsid w:val="00C46D73"/>
    <w:rsid w:val="00C47E93"/>
    <w:rsid w:val="00C50160"/>
    <w:rsid w:val="00C5057B"/>
    <w:rsid w:val="00C51E12"/>
    <w:rsid w:val="00C52EBB"/>
    <w:rsid w:val="00C534AB"/>
    <w:rsid w:val="00C538B9"/>
    <w:rsid w:val="00C5509B"/>
    <w:rsid w:val="00C55216"/>
    <w:rsid w:val="00C55679"/>
    <w:rsid w:val="00C5661C"/>
    <w:rsid w:val="00C57F73"/>
    <w:rsid w:val="00C6039D"/>
    <w:rsid w:val="00C61137"/>
    <w:rsid w:val="00C616D4"/>
    <w:rsid w:val="00C61DEB"/>
    <w:rsid w:val="00C629A8"/>
    <w:rsid w:val="00C62E6B"/>
    <w:rsid w:val="00C63B91"/>
    <w:rsid w:val="00C640EB"/>
    <w:rsid w:val="00C641E7"/>
    <w:rsid w:val="00C64702"/>
    <w:rsid w:val="00C64D31"/>
    <w:rsid w:val="00C6541E"/>
    <w:rsid w:val="00C65C31"/>
    <w:rsid w:val="00C67620"/>
    <w:rsid w:val="00C67EC1"/>
    <w:rsid w:val="00C701F4"/>
    <w:rsid w:val="00C70E03"/>
    <w:rsid w:val="00C71494"/>
    <w:rsid w:val="00C71643"/>
    <w:rsid w:val="00C7207B"/>
    <w:rsid w:val="00C7383A"/>
    <w:rsid w:val="00C75111"/>
    <w:rsid w:val="00C75317"/>
    <w:rsid w:val="00C75940"/>
    <w:rsid w:val="00C76110"/>
    <w:rsid w:val="00C76947"/>
    <w:rsid w:val="00C769EE"/>
    <w:rsid w:val="00C76A01"/>
    <w:rsid w:val="00C811EA"/>
    <w:rsid w:val="00C81CB3"/>
    <w:rsid w:val="00C830FC"/>
    <w:rsid w:val="00C833EE"/>
    <w:rsid w:val="00C83400"/>
    <w:rsid w:val="00C84ECD"/>
    <w:rsid w:val="00C85723"/>
    <w:rsid w:val="00C859A4"/>
    <w:rsid w:val="00C85A04"/>
    <w:rsid w:val="00C85EF4"/>
    <w:rsid w:val="00C86B50"/>
    <w:rsid w:val="00C875F8"/>
    <w:rsid w:val="00C901A7"/>
    <w:rsid w:val="00C90D5C"/>
    <w:rsid w:val="00C9206A"/>
    <w:rsid w:val="00C93446"/>
    <w:rsid w:val="00C93CF5"/>
    <w:rsid w:val="00C94603"/>
    <w:rsid w:val="00C94DFA"/>
    <w:rsid w:val="00C95143"/>
    <w:rsid w:val="00C96058"/>
    <w:rsid w:val="00C9622A"/>
    <w:rsid w:val="00C96C5C"/>
    <w:rsid w:val="00C97218"/>
    <w:rsid w:val="00C9752A"/>
    <w:rsid w:val="00C979E0"/>
    <w:rsid w:val="00C97D9B"/>
    <w:rsid w:val="00C97DFC"/>
    <w:rsid w:val="00CA0113"/>
    <w:rsid w:val="00CA065A"/>
    <w:rsid w:val="00CA075E"/>
    <w:rsid w:val="00CA07A7"/>
    <w:rsid w:val="00CA0AC9"/>
    <w:rsid w:val="00CA0AD2"/>
    <w:rsid w:val="00CA0F7B"/>
    <w:rsid w:val="00CA2E6C"/>
    <w:rsid w:val="00CA3222"/>
    <w:rsid w:val="00CA33E5"/>
    <w:rsid w:val="00CA3A95"/>
    <w:rsid w:val="00CA3F5A"/>
    <w:rsid w:val="00CA6479"/>
    <w:rsid w:val="00CA6688"/>
    <w:rsid w:val="00CA718C"/>
    <w:rsid w:val="00CA7611"/>
    <w:rsid w:val="00CA792D"/>
    <w:rsid w:val="00CB0265"/>
    <w:rsid w:val="00CB122B"/>
    <w:rsid w:val="00CB18FD"/>
    <w:rsid w:val="00CB23B5"/>
    <w:rsid w:val="00CB2B46"/>
    <w:rsid w:val="00CB2CCB"/>
    <w:rsid w:val="00CB4B7E"/>
    <w:rsid w:val="00CB5F99"/>
    <w:rsid w:val="00CB6253"/>
    <w:rsid w:val="00CB67A3"/>
    <w:rsid w:val="00CB7643"/>
    <w:rsid w:val="00CB77DC"/>
    <w:rsid w:val="00CB7FBD"/>
    <w:rsid w:val="00CB7FBF"/>
    <w:rsid w:val="00CC10C0"/>
    <w:rsid w:val="00CC1B3D"/>
    <w:rsid w:val="00CC1EF1"/>
    <w:rsid w:val="00CC222B"/>
    <w:rsid w:val="00CC25CD"/>
    <w:rsid w:val="00CC37DE"/>
    <w:rsid w:val="00CC3BC0"/>
    <w:rsid w:val="00CC3F07"/>
    <w:rsid w:val="00CC47B8"/>
    <w:rsid w:val="00CC48B8"/>
    <w:rsid w:val="00CC5807"/>
    <w:rsid w:val="00CC5C78"/>
    <w:rsid w:val="00CC6EF0"/>
    <w:rsid w:val="00CC7243"/>
    <w:rsid w:val="00CC72FA"/>
    <w:rsid w:val="00CC7B60"/>
    <w:rsid w:val="00CD029B"/>
    <w:rsid w:val="00CD08BF"/>
    <w:rsid w:val="00CD15B5"/>
    <w:rsid w:val="00CD39D3"/>
    <w:rsid w:val="00CD4312"/>
    <w:rsid w:val="00CD506D"/>
    <w:rsid w:val="00CD530D"/>
    <w:rsid w:val="00CD57DE"/>
    <w:rsid w:val="00CD5E62"/>
    <w:rsid w:val="00CD6F01"/>
    <w:rsid w:val="00CD6FF5"/>
    <w:rsid w:val="00CD71AB"/>
    <w:rsid w:val="00CD7696"/>
    <w:rsid w:val="00CD7D72"/>
    <w:rsid w:val="00CE029A"/>
    <w:rsid w:val="00CE034A"/>
    <w:rsid w:val="00CE0BDE"/>
    <w:rsid w:val="00CE1BAC"/>
    <w:rsid w:val="00CE1FD3"/>
    <w:rsid w:val="00CE2059"/>
    <w:rsid w:val="00CE2815"/>
    <w:rsid w:val="00CE30CE"/>
    <w:rsid w:val="00CE3202"/>
    <w:rsid w:val="00CE354A"/>
    <w:rsid w:val="00CE430C"/>
    <w:rsid w:val="00CE454E"/>
    <w:rsid w:val="00CE46DA"/>
    <w:rsid w:val="00CE4F50"/>
    <w:rsid w:val="00CE5983"/>
    <w:rsid w:val="00CE6A46"/>
    <w:rsid w:val="00CE6D95"/>
    <w:rsid w:val="00CE6FEE"/>
    <w:rsid w:val="00CF0F24"/>
    <w:rsid w:val="00CF1396"/>
    <w:rsid w:val="00CF2B6F"/>
    <w:rsid w:val="00CF2E9F"/>
    <w:rsid w:val="00CF3024"/>
    <w:rsid w:val="00CF31D0"/>
    <w:rsid w:val="00CF35F7"/>
    <w:rsid w:val="00CF37C2"/>
    <w:rsid w:val="00CF411B"/>
    <w:rsid w:val="00CF4956"/>
    <w:rsid w:val="00CF5875"/>
    <w:rsid w:val="00CF5ACD"/>
    <w:rsid w:val="00CF5C0F"/>
    <w:rsid w:val="00CF6216"/>
    <w:rsid w:val="00CF6B40"/>
    <w:rsid w:val="00CF6C4A"/>
    <w:rsid w:val="00CF6FF1"/>
    <w:rsid w:val="00CF7BB1"/>
    <w:rsid w:val="00CF7BDA"/>
    <w:rsid w:val="00D010C6"/>
    <w:rsid w:val="00D027A3"/>
    <w:rsid w:val="00D03899"/>
    <w:rsid w:val="00D039DD"/>
    <w:rsid w:val="00D03D51"/>
    <w:rsid w:val="00D051BC"/>
    <w:rsid w:val="00D0569C"/>
    <w:rsid w:val="00D06A54"/>
    <w:rsid w:val="00D07049"/>
    <w:rsid w:val="00D078DC"/>
    <w:rsid w:val="00D07C81"/>
    <w:rsid w:val="00D10527"/>
    <w:rsid w:val="00D110BE"/>
    <w:rsid w:val="00D114C8"/>
    <w:rsid w:val="00D115D7"/>
    <w:rsid w:val="00D1173C"/>
    <w:rsid w:val="00D12303"/>
    <w:rsid w:val="00D13287"/>
    <w:rsid w:val="00D13929"/>
    <w:rsid w:val="00D14025"/>
    <w:rsid w:val="00D14E91"/>
    <w:rsid w:val="00D15001"/>
    <w:rsid w:val="00D15990"/>
    <w:rsid w:val="00D16A39"/>
    <w:rsid w:val="00D16B82"/>
    <w:rsid w:val="00D16E04"/>
    <w:rsid w:val="00D17744"/>
    <w:rsid w:val="00D17999"/>
    <w:rsid w:val="00D17BC8"/>
    <w:rsid w:val="00D202FE"/>
    <w:rsid w:val="00D20357"/>
    <w:rsid w:val="00D20FFA"/>
    <w:rsid w:val="00D21788"/>
    <w:rsid w:val="00D21B2A"/>
    <w:rsid w:val="00D21EDC"/>
    <w:rsid w:val="00D23325"/>
    <w:rsid w:val="00D23530"/>
    <w:rsid w:val="00D23871"/>
    <w:rsid w:val="00D2411C"/>
    <w:rsid w:val="00D24EF2"/>
    <w:rsid w:val="00D2693F"/>
    <w:rsid w:val="00D26D10"/>
    <w:rsid w:val="00D278C4"/>
    <w:rsid w:val="00D30303"/>
    <w:rsid w:val="00D30B22"/>
    <w:rsid w:val="00D314E9"/>
    <w:rsid w:val="00D31BF2"/>
    <w:rsid w:val="00D31E74"/>
    <w:rsid w:val="00D32C4F"/>
    <w:rsid w:val="00D3333E"/>
    <w:rsid w:val="00D33AD4"/>
    <w:rsid w:val="00D34713"/>
    <w:rsid w:val="00D348CD"/>
    <w:rsid w:val="00D3510C"/>
    <w:rsid w:val="00D358F6"/>
    <w:rsid w:val="00D35A64"/>
    <w:rsid w:val="00D36430"/>
    <w:rsid w:val="00D36D50"/>
    <w:rsid w:val="00D37B69"/>
    <w:rsid w:val="00D37D79"/>
    <w:rsid w:val="00D37FCC"/>
    <w:rsid w:val="00D40406"/>
    <w:rsid w:val="00D40911"/>
    <w:rsid w:val="00D40AE5"/>
    <w:rsid w:val="00D40D39"/>
    <w:rsid w:val="00D4132E"/>
    <w:rsid w:val="00D41A21"/>
    <w:rsid w:val="00D42413"/>
    <w:rsid w:val="00D42752"/>
    <w:rsid w:val="00D43901"/>
    <w:rsid w:val="00D439AC"/>
    <w:rsid w:val="00D4571C"/>
    <w:rsid w:val="00D460B7"/>
    <w:rsid w:val="00D46328"/>
    <w:rsid w:val="00D46C99"/>
    <w:rsid w:val="00D473D2"/>
    <w:rsid w:val="00D50BCA"/>
    <w:rsid w:val="00D510EB"/>
    <w:rsid w:val="00D52406"/>
    <w:rsid w:val="00D526CE"/>
    <w:rsid w:val="00D52B89"/>
    <w:rsid w:val="00D52ECB"/>
    <w:rsid w:val="00D53996"/>
    <w:rsid w:val="00D54304"/>
    <w:rsid w:val="00D5495B"/>
    <w:rsid w:val="00D55CC0"/>
    <w:rsid w:val="00D55F25"/>
    <w:rsid w:val="00D56669"/>
    <w:rsid w:val="00D606CB"/>
    <w:rsid w:val="00D60AEC"/>
    <w:rsid w:val="00D61422"/>
    <w:rsid w:val="00D6154A"/>
    <w:rsid w:val="00D61CF0"/>
    <w:rsid w:val="00D623E2"/>
    <w:rsid w:val="00D62936"/>
    <w:rsid w:val="00D62942"/>
    <w:rsid w:val="00D6295E"/>
    <w:rsid w:val="00D62B7F"/>
    <w:rsid w:val="00D63A66"/>
    <w:rsid w:val="00D6425B"/>
    <w:rsid w:val="00D656D9"/>
    <w:rsid w:val="00D66770"/>
    <w:rsid w:val="00D677B5"/>
    <w:rsid w:val="00D6794D"/>
    <w:rsid w:val="00D679A3"/>
    <w:rsid w:val="00D67C06"/>
    <w:rsid w:val="00D7038C"/>
    <w:rsid w:val="00D70AD1"/>
    <w:rsid w:val="00D710E5"/>
    <w:rsid w:val="00D72143"/>
    <w:rsid w:val="00D721B1"/>
    <w:rsid w:val="00D7262D"/>
    <w:rsid w:val="00D727AC"/>
    <w:rsid w:val="00D73027"/>
    <w:rsid w:val="00D744FA"/>
    <w:rsid w:val="00D74C3B"/>
    <w:rsid w:val="00D7519E"/>
    <w:rsid w:val="00D75219"/>
    <w:rsid w:val="00D75379"/>
    <w:rsid w:val="00D760F4"/>
    <w:rsid w:val="00D76CA1"/>
    <w:rsid w:val="00D81BA1"/>
    <w:rsid w:val="00D82E81"/>
    <w:rsid w:val="00D83EE7"/>
    <w:rsid w:val="00D84EED"/>
    <w:rsid w:val="00D85079"/>
    <w:rsid w:val="00D8544A"/>
    <w:rsid w:val="00D85F7B"/>
    <w:rsid w:val="00D862BC"/>
    <w:rsid w:val="00D8693E"/>
    <w:rsid w:val="00D86E08"/>
    <w:rsid w:val="00D87620"/>
    <w:rsid w:val="00D8774D"/>
    <w:rsid w:val="00D911B3"/>
    <w:rsid w:val="00D918B7"/>
    <w:rsid w:val="00D91D5B"/>
    <w:rsid w:val="00D92D2C"/>
    <w:rsid w:val="00D93E90"/>
    <w:rsid w:val="00D94655"/>
    <w:rsid w:val="00D94F41"/>
    <w:rsid w:val="00D9513E"/>
    <w:rsid w:val="00D95D87"/>
    <w:rsid w:val="00D96002"/>
    <w:rsid w:val="00D96A40"/>
    <w:rsid w:val="00D97607"/>
    <w:rsid w:val="00D979BA"/>
    <w:rsid w:val="00DA00F5"/>
    <w:rsid w:val="00DA0124"/>
    <w:rsid w:val="00DA073A"/>
    <w:rsid w:val="00DA0E8E"/>
    <w:rsid w:val="00DA11F4"/>
    <w:rsid w:val="00DA18B0"/>
    <w:rsid w:val="00DA1EC4"/>
    <w:rsid w:val="00DA2B44"/>
    <w:rsid w:val="00DA349B"/>
    <w:rsid w:val="00DA3650"/>
    <w:rsid w:val="00DA365D"/>
    <w:rsid w:val="00DA3920"/>
    <w:rsid w:val="00DA439C"/>
    <w:rsid w:val="00DA4685"/>
    <w:rsid w:val="00DA492B"/>
    <w:rsid w:val="00DA57AB"/>
    <w:rsid w:val="00DA594A"/>
    <w:rsid w:val="00DA5A06"/>
    <w:rsid w:val="00DA6942"/>
    <w:rsid w:val="00DA6E25"/>
    <w:rsid w:val="00DA6ED8"/>
    <w:rsid w:val="00DA754D"/>
    <w:rsid w:val="00DB0869"/>
    <w:rsid w:val="00DB0CD0"/>
    <w:rsid w:val="00DB1E0E"/>
    <w:rsid w:val="00DB2131"/>
    <w:rsid w:val="00DB2BA2"/>
    <w:rsid w:val="00DB37DD"/>
    <w:rsid w:val="00DB42F7"/>
    <w:rsid w:val="00DB4FA2"/>
    <w:rsid w:val="00DB69CC"/>
    <w:rsid w:val="00DB6BDB"/>
    <w:rsid w:val="00DB6FA7"/>
    <w:rsid w:val="00DB7139"/>
    <w:rsid w:val="00DB71C1"/>
    <w:rsid w:val="00DC0498"/>
    <w:rsid w:val="00DC0868"/>
    <w:rsid w:val="00DC0BFA"/>
    <w:rsid w:val="00DC0FE7"/>
    <w:rsid w:val="00DC1633"/>
    <w:rsid w:val="00DC1684"/>
    <w:rsid w:val="00DC3701"/>
    <w:rsid w:val="00DC37A6"/>
    <w:rsid w:val="00DC4528"/>
    <w:rsid w:val="00DC4620"/>
    <w:rsid w:val="00DC5A6A"/>
    <w:rsid w:val="00DC6AB6"/>
    <w:rsid w:val="00DC6D29"/>
    <w:rsid w:val="00DC7676"/>
    <w:rsid w:val="00DD0795"/>
    <w:rsid w:val="00DD0A94"/>
    <w:rsid w:val="00DD11BD"/>
    <w:rsid w:val="00DD2266"/>
    <w:rsid w:val="00DD22BB"/>
    <w:rsid w:val="00DD3345"/>
    <w:rsid w:val="00DD37F3"/>
    <w:rsid w:val="00DD383A"/>
    <w:rsid w:val="00DD39AA"/>
    <w:rsid w:val="00DD4089"/>
    <w:rsid w:val="00DD5389"/>
    <w:rsid w:val="00DD595E"/>
    <w:rsid w:val="00DD625A"/>
    <w:rsid w:val="00DD64E9"/>
    <w:rsid w:val="00DD7B2E"/>
    <w:rsid w:val="00DD7DEA"/>
    <w:rsid w:val="00DE0326"/>
    <w:rsid w:val="00DE15B3"/>
    <w:rsid w:val="00DE1CA5"/>
    <w:rsid w:val="00DE2022"/>
    <w:rsid w:val="00DE284D"/>
    <w:rsid w:val="00DE30E2"/>
    <w:rsid w:val="00DE3814"/>
    <w:rsid w:val="00DE3824"/>
    <w:rsid w:val="00DE3B0B"/>
    <w:rsid w:val="00DE40C7"/>
    <w:rsid w:val="00DE446E"/>
    <w:rsid w:val="00DE4B4A"/>
    <w:rsid w:val="00DE4E65"/>
    <w:rsid w:val="00DE6BB8"/>
    <w:rsid w:val="00DE7A2F"/>
    <w:rsid w:val="00DE7BA9"/>
    <w:rsid w:val="00DE7D65"/>
    <w:rsid w:val="00DF02BE"/>
    <w:rsid w:val="00DF1138"/>
    <w:rsid w:val="00DF1A3D"/>
    <w:rsid w:val="00DF1A9D"/>
    <w:rsid w:val="00DF1B95"/>
    <w:rsid w:val="00DF1F2C"/>
    <w:rsid w:val="00DF3464"/>
    <w:rsid w:val="00DF363F"/>
    <w:rsid w:val="00DF3AEA"/>
    <w:rsid w:val="00DF3D2E"/>
    <w:rsid w:val="00DF4E6A"/>
    <w:rsid w:val="00DF5335"/>
    <w:rsid w:val="00DF53FC"/>
    <w:rsid w:val="00DF5519"/>
    <w:rsid w:val="00DF57A7"/>
    <w:rsid w:val="00DF5B9B"/>
    <w:rsid w:val="00DF5C20"/>
    <w:rsid w:val="00DF6294"/>
    <w:rsid w:val="00DF6383"/>
    <w:rsid w:val="00DF7268"/>
    <w:rsid w:val="00E014FE"/>
    <w:rsid w:val="00E01786"/>
    <w:rsid w:val="00E01D45"/>
    <w:rsid w:val="00E02557"/>
    <w:rsid w:val="00E02665"/>
    <w:rsid w:val="00E0376E"/>
    <w:rsid w:val="00E03977"/>
    <w:rsid w:val="00E03E44"/>
    <w:rsid w:val="00E06794"/>
    <w:rsid w:val="00E06A24"/>
    <w:rsid w:val="00E0703E"/>
    <w:rsid w:val="00E07386"/>
    <w:rsid w:val="00E07901"/>
    <w:rsid w:val="00E07D14"/>
    <w:rsid w:val="00E07FDA"/>
    <w:rsid w:val="00E100A1"/>
    <w:rsid w:val="00E1064D"/>
    <w:rsid w:val="00E109AC"/>
    <w:rsid w:val="00E11324"/>
    <w:rsid w:val="00E122AD"/>
    <w:rsid w:val="00E16591"/>
    <w:rsid w:val="00E1707A"/>
    <w:rsid w:val="00E172E5"/>
    <w:rsid w:val="00E17AE2"/>
    <w:rsid w:val="00E208B1"/>
    <w:rsid w:val="00E20936"/>
    <w:rsid w:val="00E20B59"/>
    <w:rsid w:val="00E20EC6"/>
    <w:rsid w:val="00E20F22"/>
    <w:rsid w:val="00E20FB0"/>
    <w:rsid w:val="00E21EC3"/>
    <w:rsid w:val="00E221FC"/>
    <w:rsid w:val="00E22223"/>
    <w:rsid w:val="00E22DA1"/>
    <w:rsid w:val="00E22E1E"/>
    <w:rsid w:val="00E23445"/>
    <w:rsid w:val="00E2599D"/>
    <w:rsid w:val="00E26CBE"/>
    <w:rsid w:val="00E26CE9"/>
    <w:rsid w:val="00E27025"/>
    <w:rsid w:val="00E27BE2"/>
    <w:rsid w:val="00E300A7"/>
    <w:rsid w:val="00E30266"/>
    <w:rsid w:val="00E30AD6"/>
    <w:rsid w:val="00E31C5E"/>
    <w:rsid w:val="00E3250C"/>
    <w:rsid w:val="00E3265E"/>
    <w:rsid w:val="00E32B8F"/>
    <w:rsid w:val="00E336DC"/>
    <w:rsid w:val="00E337C5"/>
    <w:rsid w:val="00E34037"/>
    <w:rsid w:val="00E3403A"/>
    <w:rsid w:val="00E352C2"/>
    <w:rsid w:val="00E35497"/>
    <w:rsid w:val="00E3565D"/>
    <w:rsid w:val="00E37521"/>
    <w:rsid w:val="00E37A85"/>
    <w:rsid w:val="00E40CDC"/>
    <w:rsid w:val="00E412F4"/>
    <w:rsid w:val="00E418E3"/>
    <w:rsid w:val="00E41C72"/>
    <w:rsid w:val="00E41F22"/>
    <w:rsid w:val="00E4269E"/>
    <w:rsid w:val="00E431A1"/>
    <w:rsid w:val="00E44990"/>
    <w:rsid w:val="00E465AD"/>
    <w:rsid w:val="00E467DD"/>
    <w:rsid w:val="00E46974"/>
    <w:rsid w:val="00E47073"/>
    <w:rsid w:val="00E50966"/>
    <w:rsid w:val="00E50FAC"/>
    <w:rsid w:val="00E510CB"/>
    <w:rsid w:val="00E51118"/>
    <w:rsid w:val="00E518A7"/>
    <w:rsid w:val="00E51C4D"/>
    <w:rsid w:val="00E52195"/>
    <w:rsid w:val="00E5238C"/>
    <w:rsid w:val="00E5325C"/>
    <w:rsid w:val="00E5364C"/>
    <w:rsid w:val="00E5372C"/>
    <w:rsid w:val="00E53985"/>
    <w:rsid w:val="00E552A1"/>
    <w:rsid w:val="00E55DC0"/>
    <w:rsid w:val="00E56430"/>
    <w:rsid w:val="00E566E7"/>
    <w:rsid w:val="00E57EED"/>
    <w:rsid w:val="00E6090F"/>
    <w:rsid w:val="00E60BB0"/>
    <w:rsid w:val="00E61529"/>
    <w:rsid w:val="00E61FEE"/>
    <w:rsid w:val="00E627E0"/>
    <w:rsid w:val="00E62AE4"/>
    <w:rsid w:val="00E638A0"/>
    <w:rsid w:val="00E65056"/>
    <w:rsid w:val="00E65449"/>
    <w:rsid w:val="00E6554C"/>
    <w:rsid w:val="00E656B9"/>
    <w:rsid w:val="00E65D06"/>
    <w:rsid w:val="00E66A81"/>
    <w:rsid w:val="00E67846"/>
    <w:rsid w:val="00E71461"/>
    <w:rsid w:val="00E72419"/>
    <w:rsid w:val="00E7243E"/>
    <w:rsid w:val="00E73C81"/>
    <w:rsid w:val="00E73FA3"/>
    <w:rsid w:val="00E74528"/>
    <w:rsid w:val="00E74723"/>
    <w:rsid w:val="00E748B3"/>
    <w:rsid w:val="00E76030"/>
    <w:rsid w:val="00E76144"/>
    <w:rsid w:val="00E763F0"/>
    <w:rsid w:val="00E767B8"/>
    <w:rsid w:val="00E7719B"/>
    <w:rsid w:val="00E776B3"/>
    <w:rsid w:val="00E778FD"/>
    <w:rsid w:val="00E7790C"/>
    <w:rsid w:val="00E80279"/>
    <w:rsid w:val="00E8065F"/>
    <w:rsid w:val="00E80A52"/>
    <w:rsid w:val="00E80BD6"/>
    <w:rsid w:val="00E80D03"/>
    <w:rsid w:val="00E8116D"/>
    <w:rsid w:val="00E8165B"/>
    <w:rsid w:val="00E81CE3"/>
    <w:rsid w:val="00E81CEB"/>
    <w:rsid w:val="00E82757"/>
    <w:rsid w:val="00E82D59"/>
    <w:rsid w:val="00E8309E"/>
    <w:rsid w:val="00E8355C"/>
    <w:rsid w:val="00E83CA1"/>
    <w:rsid w:val="00E83F91"/>
    <w:rsid w:val="00E8495A"/>
    <w:rsid w:val="00E85AD8"/>
    <w:rsid w:val="00E85DAE"/>
    <w:rsid w:val="00E86F51"/>
    <w:rsid w:val="00E87261"/>
    <w:rsid w:val="00E878C6"/>
    <w:rsid w:val="00E87C25"/>
    <w:rsid w:val="00E90485"/>
    <w:rsid w:val="00E9068D"/>
    <w:rsid w:val="00E908D3"/>
    <w:rsid w:val="00E9124E"/>
    <w:rsid w:val="00E91C17"/>
    <w:rsid w:val="00E932D8"/>
    <w:rsid w:val="00E9342E"/>
    <w:rsid w:val="00E94545"/>
    <w:rsid w:val="00E94AE6"/>
    <w:rsid w:val="00E952D0"/>
    <w:rsid w:val="00E95579"/>
    <w:rsid w:val="00E96664"/>
    <w:rsid w:val="00E967B9"/>
    <w:rsid w:val="00E97B45"/>
    <w:rsid w:val="00EA0B4E"/>
    <w:rsid w:val="00EA0E0E"/>
    <w:rsid w:val="00EA2BA6"/>
    <w:rsid w:val="00EA31B6"/>
    <w:rsid w:val="00EA4E34"/>
    <w:rsid w:val="00EA4EBB"/>
    <w:rsid w:val="00EA4EC7"/>
    <w:rsid w:val="00EA6B71"/>
    <w:rsid w:val="00EA7B77"/>
    <w:rsid w:val="00EB0926"/>
    <w:rsid w:val="00EB1BF6"/>
    <w:rsid w:val="00EB2481"/>
    <w:rsid w:val="00EB322D"/>
    <w:rsid w:val="00EB4061"/>
    <w:rsid w:val="00EB4AFE"/>
    <w:rsid w:val="00EB4EF4"/>
    <w:rsid w:val="00EB54D6"/>
    <w:rsid w:val="00EB5859"/>
    <w:rsid w:val="00EB675D"/>
    <w:rsid w:val="00EB6F55"/>
    <w:rsid w:val="00EB72CF"/>
    <w:rsid w:val="00EB7522"/>
    <w:rsid w:val="00EB7636"/>
    <w:rsid w:val="00EC0539"/>
    <w:rsid w:val="00EC0E24"/>
    <w:rsid w:val="00EC1A32"/>
    <w:rsid w:val="00EC288F"/>
    <w:rsid w:val="00EC2E9E"/>
    <w:rsid w:val="00EC3625"/>
    <w:rsid w:val="00EC3D37"/>
    <w:rsid w:val="00EC4484"/>
    <w:rsid w:val="00EC4E7B"/>
    <w:rsid w:val="00EC520A"/>
    <w:rsid w:val="00EC5300"/>
    <w:rsid w:val="00EC61BB"/>
    <w:rsid w:val="00EC71C6"/>
    <w:rsid w:val="00EC724B"/>
    <w:rsid w:val="00EC746B"/>
    <w:rsid w:val="00EC793B"/>
    <w:rsid w:val="00ED13ED"/>
    <w:rsid w:val="00ED272E"/>
    <w:rsid w:val="00ED2AA6"/>
    <w:rsid w:val="00ED2D13"/>
    <w:rsid w:val="00ED3021"/>
    <w:rsid w:val="00ED306E"/>
    <w:rsid w:val="00ED369E"/>
    <w:rsid w:val="00ED47D1"/>
    <w:rsid w:val="00ED4D97"/>
    <w:rsid w:val="00ED6109"/>
    <w:rsid w:val="00ED625F"/>
    <w:rsid w:val="00ED6357"/>
    <w:rsid w:val="00ED67B7"/>
    <w:rsid w:val="00ED6812"/>
    <w:rsid w:val="00ED6DDE"/>
    <w:rsid w:val="00ED740A"/>
    <w:rsid w:val="00EE00A8"/>
    <w:rsid w:val="00EE0B27"/>
    <w:rsid w:val="00EE103F"/>
    <w:rsid w:val="00EE2843"/>
    <w:rsid w:val="00EE2F60"/>
    <w:rsid w:val="00EE3D75"/>
    <w:rsid w:val="00EE425A"/>
    <w:rsid w:val="00EE42D9"/>
    <w:rsid w:val="00EE4740"/>
    <w:rsid w:val="00EE5757"/>
    <w:rsid w:val="00EE5925"/>
    <w:rsid w:val="00EE5E66"/>
    <w:rsid w:val="00EE6194"/>
    <w:rsid w:val="00EE6339"/>
    <w:rsid w:val="00EE76E0"/>
    <w:rsid w:val="00EF1B18"/>
    <w:rsid w:val="00EF34AC"/>
    <w:rsid w:val="00EF375D"/>
    <w:rsid w:val="00EF3F05"/>
    <w:rsid w:val="00EF489C"/>
    <w:rsid w:val="00EF4B0C"/>
    <w:rsid w:val="00EF4D88"/>
    <w:rsid w:val="00EF5A95"/>
    <w:rsid w:val="00EF5DF4"/>
    <w:rsid w:val="00EF6581"/>
    <w:rsid w:val="00EF6661"/>
    <w:rsid w:val="00EF7FB1"/>
    <w:rsid w:val="00F00B56"/>
    <w:rsid w:val="00F01422"/>
    <w:rsid w:val="00F01796"/>
    <w:rsid w:val="00F017A3"/>
    <w:rsid w:val="00F01A30"/>
    <w:rsid w:val="00F01E2C"/>
    <w:rsid w:val="00F029B1"/>
    <w:rsid w:val="00F02C7E"/>
    <w:rsid w:val="00F032AF"/>
    <w:rsid w:val="00F04B63"/>
    <w:rsid w:val="00F04CC1"/>
    <w:rsid w:val="00F051D5"/>
    <w:rsid w:val="00F0601B"/>
    <w:rsid w:val="00F06287"/>
    <w:rsid w:val="00F06503"/>
    <w:rsid w:val="00F0753D"/>
    <w:rsid w:val="00F07CD8"/>
    <w:rsid w:val="00F11340"/>
    <w:rsid w:val="00F113F7"/>
    <w:rsid w:val="00F115AF"/>
    <w:rsid w:val="00F11CF3"/>
    <w:rsid w:val="00F125C6"/>
    <w:rsid w:val="00F127F6"/>
    <w:rsid w:val="00F13D48"/>
    <w:rsid w:val="00F1456D"/>
    <w:rsid w:val="00F14A30"/>
    <w:rsid w:val="00F1587D"/>
    <w:rsid w:val="00F16486"/>
    <w:rsid w:val="00F16C2E"/>
    <w:rsid w:val="00F16C5D"/>
    <w:rsid w:val="00F17BB8"/>
    <w:rsid w:val="00F17D78"/>
    <w:rsid w:val="00F20A35"/>
    <w:rsid w:val="00F20CDF"/>
    <w:rsid w:val="00F22799"/>
    <w:rsid w:val="00F23846"/>
    <w:rsid w:val="00F23E6F"/>
    <w:rsid w:val="00F2463E"/>
    <w:rsid w:val="00F2493D"/>
    <w:rsid w:val="00F2494D"/>
    <w:rsid w:val="00F24C8A"/>
    <w:rsid w:val="00F24E20"/>
    <w:rsid w:val="00F251B8"/>
    <w:rsid w:val="00F255DD"/>
    <w:rsid w:val="00F25ABC"/>
    <w:rsid w:val="00F261E7"/>
    <w:rsid w:val="00F27E9E"/>
    <w:rsid w:val="00F300B6"/>
    <w:rsid w:val="00F302E9"/>
    <w:rsid w:val="00F30614"/>
    <w:rsid w:val="00F313B2"/>
    <w:rsid w:val="00F31CBC"/>
    <w:rsid w:val="00F32235"/>
    <w:rsid w:val="00F3262D"/>
    <w:rsid w:val="00F32815"/>
    <w:rsid w:val="00F3336E"/>
    <w:rsid w:val="00F337DB"/>
    <w:rsid w:val="00F33D3C"/>
    <w:rsid w:val="00F35178"/>
    <w:rsid w:val="00F35B19"/>
    <w:rsid w:val="00F36168"/>
    <w:rsid w:val="00F36332"/>
    <w:rsid w:val="00F36DB4"/>
    <w:rsid w:val="00F41584"/>
    <w:rsid w:val="00F4206A"/>
    <w:rsid w:val="00F432E5"/>
    <w:rsid w:val="00F43377"/>
    <w:rsid w:val="00F43438"/>
    <w:rsid w:val="00F440A3"/>
    <w:rsid w:val="00F4417C"/>
    <w:rsid w:val="00F44485"/>
    <w:rsid w:val="00F45155"/>
    <w:rsid w:val="00F4731B"/>
    <w:rsid w:val="00F47581"/>
    <w:rsid w:val="00F51120"/>
    <w:rsid w:val="00F51F9A"/>
    <w:rsid w:val="00F520BD"/>
    <w:rsid w:val="00F5369E"/>
    <w:rsid w:val="00F54530"/>
    <w:rsid w:val="00F5477A"/>
    <w:rsid w:val="00F557A8"/>
    <w:rsid w:val="00F55A40"/>
    <w:rsid w:val="00F55A9C"/>
    <w:rsid w:val="00F56CCA"/>
    <w:rsid w:val="00F57E8C"/>
    <w:rsid w:val="00F608EC"/>
    <w:rsid w:val="00F61B41"/>
    <w:rsid w:val="00F62286"/>
    <w:rsid w:val="00F622A7"/>
    <w:rsid w:val="00F62419"/>
    <w:rsid w:val="00F62A92"/>
    <w:rsid w:val="00F636EB"/>
    <w:rsid w:val="00F639BC"/>
    <w:rsid w:val="00F640C4"/>
    <w:rsid w:val="00F649D9"/>
    <w:rsid w:val="00F64D9A"/>
    <w:rsid w:val="00F650A0"/>
    <w:rsid w:val="00F653C6"/>
    <w:rsid w:val="00F65A53"/>
    <w:rsid w:val="00F65D11"/>
    <w:rsid w:val="00F6628C"/>
    <w:rsid w:val="00F66972"/>
    <w:rsid w:val="00F672C9"/>
    <w:rsid w:val="00F67871"/>
    <w:rsid w:val="00F67CB8"/>
    <w:rsid w:val="00F714FD"/>
    <w:rsid w:val="00F71B19"/>
    <w:rsid w:val="00F71BFA"/>
    <w:rsid w:val="00F72967"/>
    <w:rsid w:val="00F72CDC"/>
    <w:rsid w:val="00F7311A"/>
    <w:rsid w:val="00F7367C"/>
    <w:rsid w:val="00F73729"/>
    <w:rsid w:val="00F7382B"/>
    <w:rsid w:val="00F73ED4"/>
    <w:rsid w:val="00F7450F"/>
    <w:rsid w:val="00F74F0D"/>
    <w:rsid w:val="00F756F5"/>
    <w:rsid w:val="00F75C59"/>
    <w:rsid w:val="00F77419"/>
    <w:rsid w:val="00F803BC"/>
    <w:rsid w:val="00F804C0"/>
    <w:rsid w:val="00F805F2"/>
    <w:rsid w:val="00F806FD"/>
    <w:rsid w:val="00F80994"/>
    <w:rsid w:val="00F80BC0"/>
    <w:rsid w:val="00F80F90"/>
    <w:rsid w:val="00F814B6"/>
    <w:rsid w:val="00F81535"/>
    <w:rsid w:val="00F81C50"/>
    <w:rsid w:val="00F81FF5"/>
    <w:rsid w:val="00F83207"/>
    <w:rsid w:val="00F8385B"/>
    <w:rsid w:val="00F83A72"/>
    <w:rsid w:val="00F8473F"/>
    <w:rsid w:val="00F860D7"/>
    <w:rsid w:val="00F867C1"/>
    <w:rsid w:val="00F86AD5"/>
    <w:rsid w:val="00F86E9B"/>
    <w:rsid w:val="00F87484"/>
    <w:rsid w:val="00F87489"/>
    <w:rsid w:val="00F90403"/>
    <w:rsid w:val="00F917DB"/>
    <w:rsid w:val="00F91864"/>
    <w:rsid w:val="00F91889"/>
    <w:rsid w:val="00F91B0F"/>
    <w:rsid w:val="00F92366"/>
    <w:rsid w:val="00F92A6A"/>
    <w:rsid w:val="00F94261"/>
    <w:rsid w:val="00F946FB"/>
    <w:rsid w:val="00F9642B"/>
    <w:rsid w:val="00F968AD"/>
    <w:rsid w:val="00F96F4B"/>
    <w:rsid w:val="00F97483"/>
    <w:rsid w:val="00F97E92"/>
    <w:rsid w:val="00FA025F"/>
    <w:rsid w:val="00FA0848"/>
    <w:rsid w:val="00FA0B5D"/>
    <w:rsid w:val="00FA1482"/>
    <w:rsid w:val="00FA21F2"/>
    <w:rsid w:val="00FA232F"/>
    <w:rsid w:val="00FA28B9"/>
    <w:rsid w:val="00FA32BE"/>
    <w:rsid w:val="00FA3C95"/>
    <w:rsid w:val="00FA5034"/>
    <w:rsid w:val="00FA55F9"/>
    <w:rsid w:val="00FA5A86"/>
    <w:rsid w:val="00FA5AF2"/>
    <w:rsid w:val="00FA70D9"/>
    <w:rsid w:val="00FA7663"/>
    <w:rsid w:val="00FA766F"/>
    <w:rsid w:val="00FA7919"/>
    <w:rsid w:val="00FA7AA7"/>
    <w:rsid w:val="00FA7BCE"/>
    <w:rsid w:val="00FB024A"/>
    <w:rsid w:val="00FB08CE"/>
    <w:rsid w:val="00FB0965"/>
    <w:rsid w:val="00FB24F1"/>
    <w:rsid w:val="00FB42E0"/>
    <w:rsid w:val="00FB4425"/>
    <w:rsid w:val="00FB481E"/>
    <w:rsid w:val="00FB5209"/>
    <w:rsid w:val="00FB521E"/>
    <w:rsid w:val="00FB547F"/>
    <w:rsid w:val="00FB58E6"/>
    <w:rsid w:val="00FB5A4D"/>
    <w:rsid w:val="00FB6999"/>
    <w:rsid w:val="00FB6BAA"/>
    <w:rsid w:val="00FB702E"/>
    <w:rsid w:val="00FB73CF"/>
    <w:rsid w:val="00FC0942"/>
    <w:rsid w:val="00FC0DA6"/>
    <w:rsid w:val="00FC0FAD"/>
    <w:rsid w:val="00FC1211"/>
    <w:rsid w:val="00FC1415"/>
    <w:rsid w:val="00FC1813"/>
    <w:rsid w:val="00FC2F1A"/>
    <w:rsid w:val="00FC3878"/>
    <w:rsid w:val="00FC3A3E"/>
    <w:rsid w:val="00FC4010"/>
    <w:rsid w:val="00FC4CA7"/>
    <w:rsid w:val="00FC514C"/>
    <w:rsid w:val="00FC52EE"/>
    <w:rsid w:val="00FC6545"/>
    <w:rsid w:val="00FC6767"/>
    <w:rsid w:val="00FC681B"/>
    <w:rsid w:val="00FC6FDC"/>
    <w:rsid w:val="00FC7979"/>
    <w:rsid w:val="00FC7D72"/>
    <w:rsid w:val="00FD1244"/>
    <w:rsid w:val="00FD1493"/>
    <w:rsid w:val="00FD1F05"/>
    <w:rsid w:val="00FD225A"/>
    <w:rsid w:val="00FD2540"/>
    <w:rsid w:val="00FD27BC"/>
    <w:rsid w:val="00FD2D99"/>
    <w:rsid w:val="00FD36C0"/>
    <w:rsid w:val="00FD3CB4"/>
    <w:rsid w:val="00FD474F"/>
    <w:rsid w:val="00FD4BD1"/>
    <w:rsid w:val="00FD4DA8"/>
    <w:rsid w:val="00FD4E06"/>
    <w:rsid w:val="00FD5BA7"/>
    <w:rsid w:val="00FD610C"/>
    <w:rsid w:val="00FD6501"/>
    <w:rsid w:val="00FD6900"/>
    <w:rsid w:val="00FD6A33"/>
    <w:rsid w:val="00FD6A5F"/>
    <w:rsid w:val="00FD6E1A"/>
    <w:rsid w:val="00FD74E2"/>
    <w:rsid w:val="00FD7B18"/>
    <w:rsid w:val="00FE057D"/>
    <w:rsid w:val="00FE0E7A"/>
    <w:rsid w:val="00FE0F29"/>
    <w:rsid w:val="00FE182C"/>
    <w:rsid w:val="00FE1A56"/>
    <w:rsid w:val="00FE2DAB"/>
    <w:rsid w:val="00FE2F75"/>
    <w:rsid w:val="00FE386B"/>
    <w:rsid w:val="00FE3E6D"/>
    <w:rsid w:val="00FE4C6B"/>
    <w:rsid w:val="00FE4DBD"/>
    <w:rsid w:val="00FE4E14"/>
    <w:rsid w:val="00FE52CA"/>
    <w:rsid w:val="00FE604E"/>
    <w:rsid w:val="00FE72B7"/>
    <w:rsid w:val="00FE7816"/>
    <w:rsid w:val="00FE7984"/>
    <w:rsid w:val="00FE7B38"/>
    <w:rsid w:val="00FE7B55"/>
    <w:rsid w:val="00FE7F40"/>
    <w:rsid w:val="00FF0A78"/>
    <w:rsid w:val="00FF2AE2"/>
    <w:rsid w:val="00FF39F8"/>
    <w:rsid w:val="00FF3A6D"/>
    <w:rsid w:val="00FF3C1C"/>
    <w:rsid w:val="00FF3CDA"/>
    <w:rsid w:val="00FF4462"/>
    <w:rsid w:val="00FF4DE2"/>
    <w:rsid w:val="00FF4E85"/>
    <w:rsid w:val="00FF51B4"/>
    <w:rsid w:val="00FF5B28"/>
    <w:rsid w:val="00FF644D"/>
    <w:rsid w:val="00FF6957"/>
    <w:rsid w:val="031016E7"/>
    <w:rsid w:val="06932387"/>
    <w:rsid w:val="11B18B7B"/>
    <w:rsid w:val="132B9236"/>
    <w:rsid w:val="16BC8D7F"/>
    <w:rsid w:val="195A570F"/>
    <w:rsid w:val="1D1A14E3"/>
    <w:rsid w:val="2B7D4733"/>
    <w:rsid w:val="2F4EC350"/>
    <w:rsid w:val="30CBAE33"/>
    <w:rsid w:val="34DEDDC7"/>
    <w:rsid w:val="39417BBC"/>
    <w:rsid w:val="40E746F9"/>
    <w:rsid w:val="4C050685"/>
    <w:rsid w:val="5557D46B"/>
    <w:rsid w:val="563CC15A"/>
    <w:rsid w:val="5791897C"/>
    <w:rsid w:val="5C2140DF"/>
    <w:rsid w:val="64972ABE"/>
    <w:rsid w:val="663BD087"/>
    <w:rsid w:val="6650C6EF"/>
    <w:rsid w:val="717AEABC"/>
    <w:rsid w:val="79F033E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4F160C"/>
  <w15:docId w15:val="{D31DD692-E6EB-46D3-B536-3EBE910F4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C31"/>
    <w:rPr>
      <w:sz w:val="24"/>
      <w:szCs w:val="24"/>
      <w:lang w:eastAsia="en-US"/>
    </w:rPr>
  </w:style>
  <w:style w:type="paragraph" w:styleId="Heading1">
    <w:name w:val="heading 1"/>
    <w:basedOn w:val="Normal"/>
    <w:next w:val="Normal"/>
    <w:link w:val="Heading1Char"/>
    <w:uiPriority w:val="9"/>
    <w:qFormat/>
    <w:rsid w:val="00DD22BB"/>
    <w:pPr>
      <w:spacing w:before="240" w:after="240"/>
      <w:outlineLvl w:val="0"/>
    </w:pPr>
    <w:rPr>
      <w:b/>
      <w:color w:val="1F497D" w:themeColor="text2"/>
      <w:sz w:val="32"/>
    </w:rPr>
  </w:style>
  <w:style w:type="paragraph" w:styleId="Heading2">
    <w:name w:val="heading 2"/>
    <w:basedOn w:val="Normal"/>
    <w:next w:val="Normal"/>
    <w:link w:val="Heading2Char"/>
    <w:uiPriority w:val="9"/>
    <w:qFormat/>
    <w:rsid w:val="00DD22BB"/>
    <w:pPr>
      <w:keepNext/>
      <w:spacing w:line="360" w:lineRule="auto"/>
      <w:outlineLvl w:val="1"/>
    </w:pPr>
    <w:rPr>
      <w:color w:val="1F497D" w:themeColor="text2"/>
      <w:sz w:val="28"/>
      <w:szCs w:val="28"/>
    </w:rPr>
  </w:style>
  <w:style w:type="paragraph" w:styleId="Heading3">
    <w:name w:val="heading 3"/>
    <w:basedOn w:val="Normal"/>
    <w:next w:val="Normal"/>
    <w:qFormat/>
    <w:rsid w:val="009B7C31"/>
    <w:pPr>
      <w:keepNext/>
      <w:spacing w:before="240" w:after="60"/>
      <w:outlineLvl w:val="2"/>
    </w:pPr>
    <w:rPr>
      <w:rFonts w:ascii="Arial" w:hAnsi="Arial" w:cs="Arial"/>
      <w:b/>
      <w:bCs/>
      <w:sz w:val="26"/>
      <w:szCs w:val="26"/>
    </w:rPr>
  </w:style>
  <w:style w:type="paragraph" w:styleId="Heading4">
    <w:name w:val="heading 4"/>
    <w:basedOn w:val="Normal"/>
    <w:next w:val="Normal"/>
    <w:qFormat/>
    <w:rsid w:val="009B7C31"/>
    <w:pPr>
      <w:keepNext/>
      <w:numPr>
        <w:ilvl w:val="3"/>
        <w:numId w:val="1"/>
      </w:numPr>
      <w:spacing w:before="240" w:after="60"/>
      <w:outlineLvl w:val="3"/>
    </w:pPr>
    <w:rPr>
      <w:b/>
      <w:bCs/>
      <w:sz w:val="28"/>
      <w:szCs w:val="28"/>
      <w:lang w:val="en-US"/>
    </w:rPr>
  </w:style>
  <w:style w:type="paragraph" w:styleId="Heading5">
    <w:name w:val="heading 5"/>
    <w:basedOn w:val="Normal"/>
    <w:next w:val="Normal"/>
    <w:qFormat/>
    <w:rsid w:val="009B7C31"/>
    <w:pPr>
      <w:numPr>
        <w:numId w:val="1"/>
      </w:numPr>
      <w:spacing w:before="240" w:after="60"/>
      <w:outlineLvl w:val="4"/>
    </w:pPr>
    <w:rPr>
      <w:b/>
      <w:bCs/>
      <w:iCs/>
      <w:sz w:val="28"/>
      <w:szCs w:val="26"/>
      <w:lang w:val="en-US"/>
    </w:rPr>
  </w:style>
  <w:style w:type="paragraph" w:styleId="Heading6">
    <w:name w:val="heading 6"/>
    <w:basedOn w:val="Normal"/>
    <w:next w:val="Normal"/>
    <w:link w:val="Heading6Char"/>
    <w:qFormat/>
    <w:rsid w:val="009B7C31"/>
    <w:pPr>
      <w:numPr>
        <w:ilvl w:val="5"/>
        <w:numId w:val="1"/>
      </w:numPr>
      <w:spacing w:before="240" w:after="60"/>
      <w:outlineLvl w:val="5"/>
    </w:pPr>
    <w:rPr>
      <w:b/>
      <w:bCs/>
      <w:sz w:val="22"/>
      <w:szCs w:val="22"/>
      <w:lang w:val="en-US"/>
    </w:rPr>
  </w:style>
  <w:style w:type="paragraph" w:styleId="Heading7">
    <w:name w:val="heading 7"/>
    <w:basedOn w:val="Normal"/>
    <w:next w:val="Normal"/>
    <w:link w:val="Heading7Char"/>
    <w:qFormat/>
    <w:rsid w:val="009B7C31"/>
    <w:pPr>
      <w:numPr>
        <w:ilvl w:val="6"/>
        <w:numId w:val="1"/>
      </w:numPr>
      <w:spacing w:before="240" w:after="60"/>
      <w:outlineLvl w:val="6"/>
    </w:pPr>
    <w:rPr>
      <w:lang w:val="en-US"/>
    </w:rPr>
  </w:style>
  <w:style w:type="paragraph" w:styleId="Heading8">
    <w:name w:val="heading 8"/>
    <w:basedOn w:val="Normal"/>
    <w:next w:val="Normal"/>
    <w:qFormat/>
    <w:rsid w:val="009B7C31"/>
    <w:pPr>
      <w:numPr>
        <w:ilvl w:val="7"/>
        <w:numId w:val="1"/>
      </w:numPr>
      <w:spacing w:before="240" w:after="60"/>
      <w:outlineLvl w:val="7"/>
    </w:pPr>
    <w:rPr>
      <w:i/>
      <w:iCs/>
      <w:lang w:val="en-US"/>
    </w:rPr>
  </w:style>
  <w:style w:type="paragraph" w:styleId="Heading9">
    <w:name w:val="heading 9"/>
    <w:basedOn w:val="Normal"/>
    <w:next w:val="Normal"/>
    <w:qFormat/>
    <w:rsid w:val="009B7C31"/>
    <w:pPr>
      <w:numPr>
        <w:ilvl w:val="8"/>
        <w:numId w:val="1"/>
      </w:numPr>
      <w:spacing w:before="240" w:after="60"/>
      <w:outlineLvl w:val="8"/>
    </w:pPr>
    <w:rPr>
      <w:rFonts w:ascii="Arial" w:hAnsi="Arial" w:cs="Arial"/>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semiHidden/>
    <w:rsid w:val="009B7C31"/>
    <w:pPr>
      <w:spacing w:after="120"/>
    </w:pPr>
    <w:rPr>
      <w:sz w:val="16"/>
      <w:szCs w:val="16"/>
      <w:lang w:eastAsia="en-GB"/>
    </w:rPr>
  </w:style>
  <w:style w:type="paragraph" w:styleId="BodyText">
    <w:name w:val="Body Text"/>
    <w:basedOn w:val="Normal"/>
    <w:link w:val="BodyTextChar"/>
    <w:rsid w:val="009B7C31"/>
    <w:pPr>
      <w:spacing w:after="120" w:line="360" w:lineRule="auto"/>
      <w:jc w:val="both"/>
    </w:pPr>
    <w:rPr>
      <w:sz w:val="28"/>
      <w:lang w:val="en-US"/>
    </w:rPr>
  </w:style>
  <w:style w:type="paragraph" w:styleId="FootnoteText">
    <w:name w:val="footnote text"/>
    <w:basedOn w:val="Normal"/>
    <w:link w:val="FootnoteTextChar"/>
    <w:uiPriority w:val="99"/>
    <w:rsid w:val="009B7C31"/>
    <w:rPr>
      <w:sz w:val="20"/>
      <w:szCs w:val="20"/>
      <w:lang w:val="en-US"/>
    </w:rPr>
  </w:style>
  <w:style w:type="character" w:styleId="FootnoteReference">
    <w:name w:val="footnote reference"/>
    <w:basedOn w:val="DefaultParagraphFont"/>
    <w:uiPriority w:val="99"/>
    <w:semiHidden/>
    <w:rsid w:val="009B7C31"/>
    <w:rPr>
      <w:vertAlign w:val="superscript"/>
    </w:rPr>
  </w:style>
  <w:style w:type="paragraph" w:customStyle="1" w:styleId="StyleHeading3TimesNewRomanNotBoldLinespacing15lin">
    <w:name w:val="Style Heading 3 + Times New Roman Not Bold Line spacing:  1.5 lin..."/>
    <w:basedOn w:val="Heading3"/>
    <w:rsid w:val="009B7C31"/>
    <w:pPr>
      <w:numPr>
        <w:ilvl w:val="2"/>
        <w:numId w:val="1"/>
      </w:numPr>
      <w:spacing w:line="360" w:lineRule="auto"/>
    </w:pPr>
    <w:rPr>
      <w:rFonts w:ascii="Times New Roman" w:hAnsi="Times New Roman" w:cs="Times New Roman"/>
      <w:b w:val="0"/>
      <w:bCs w:val="0"/>
      <w:sz w:val="28"/>
      <w:szCs w:val="20"/>
      <w:lang w:val="en-US"/>
    </w:rPr>
  </w:style>
  <w:style w:type="paragraph" w:customStyle="1" w:styleId="xl25">
    <w:name w:val="xl25"/>
    <w:basedOn w:val="Normal"/>
    <w:rsid w:val="009B7C31"/>
    <w:pPr>
      <w:spacing w:before="100" w:beforeAutospacing="1" w:after="100" w:afterAutospacing="1"/>
    </w:pPr>
    <w:rPr>
      <w:rFonts w:ascii="Arial" w:hAnsi="Arial" w:cs="Arial"/>
      <w:b/>
      <w:bCs/>
    </w:rPr>
  </w:style>
  <w:style w:type="paragraph" w:customStyle="1" w:styleId="xl27">
    <w:name w:val="xl27"/>
    <w:basedOn w:val="Normal"/>
    <w:rsid w:val="009B7C31"/>
    <w:pPr>
      <w:spacing w:before="100" w:beforeAutospacing="1" w:after="100" w:afterAutospacing="1"/>
    </w:pPr>
    <w:rPr>
      <w:rFonts w:ascii="Arial" w:hAnsi="Arial" w:cs="Arial"/>
    </w:rPr>
  </w:style>
  <w:style w:type="paragraph" w:customStyle="1" w:styleId="xl28">
    <w:name w:val="xl28"/>
    <w:basedOn w:val="Normal"/>
    <w:rsid w:val="009B7C31"/>
    <w:pPr>
      <w:spacing w:before="100" w:beforeAutospacing="1" w:after="100" w:afterAutospacing="1"/>
      <w:jc w:val="center"/>
    </w:pPr>
  </w:style>
  <w:style w:type="paragraph" w:customStyle="1" w:styleId="xl29">
    <w:name w:val="xl29"/>
    <w:basedOn w:val="Normal"/>
    <w:rsid w:val="009B7C31"/>
    <w:pPr>
      <w:spacing w:before="100" w:beforeAutospacing="1" w:after="100" w:afterAutospacing="1"/>
      <w:jc w:val="center"/>
    </w:pPr>
  </w:style>
  <w:style w:type="paragraph" w:customStyle="1" w:styleId="xl30">
    <w:name w:val="xl30"/>
    <w:basedOn w:val="Normal"/>
    <w:rsid w:val="009B7C31"/>
    <w:pPr>
      <w:spacing w:before="100" w:beforeAutospacing="1" w:after="100" w:afterAutospacing="1"/>
    </w:pPr>
    <w:rPr>
      <w:rFonts w:ascii="Arial" w:hAnsi="Arial" w:cs="Arial"/>
      <w:b/>
      <w:bCs/>
    </w:rPr>
  </w:style>
  <w:style w:type="character" w:customStyle="1" w:styleId="FootnoteTextChar">
    <w:name w:val="Footnote Text Char"/>
    <w:basedOn w:val="DefaultParagraphFont"/>
    <w:link w:val="FootnoteText"/>
    <w:uiPriority w:val="99"/>
    <w:rsid w:val="00E300A7"/>
    <w:rPr>
      <w:lang w:val="en-US" w:eastAsia="en-US"/>
    </w:rPr>
  </w:style>
  <w:style w:type="paragraph" w:styleId="Title">
    <w:name w:val="Title"/>
    <w:basedOn w:val="Normal"/>
    <w:link w:val="TitleChar"/>
    <w:uiPriority w:val="10"/>
    <w:qFormat/>
    <w:rsid w:val="00E300A7"/>
    <w:pPr>
      <w:spacing w:before="240" w:after="60"/>
      <w:jc w:val="center"/>
      <w:outlineLvl w:val="0"/>
    </w:pPr>
    <w:rPr>
      <w:rFonts w:ascii="Arial" w:hAnsi="Arial" w:cs="Arial"/>
      <w:b/>
      <w:bCs/>
      <w:kern w:val="28"/>
      <w:sz w:val="32"/>
      <w:szCs w:val="32"/>
      <w:lang w:val="en-US"/>
    </w:rPr>
  </w:style>
  <w:style w:type="character" w:customStyle="1" w:styleId="TitleChar">
    <w:name w:val="Title Char"/>
    <w:basedOn w:val="DefaultParagraphFont"/>
    <w:link w:val="Title"/>
    <w:uiPriority w:val="10"/>
    <w:rsid w:val="00E300A7"/>
    <w:rPr>
      <w:rFonts w:ascii="Arial" w:hAnsi="Arial" w:cs="Arial"/>
      <w:b/>
      <w:bCs/>
      <w:kern w:val="28"/>
      <w:sz w:val="32"/>
      <w:szCs w:val="32"/>
      <w:lang w:val="en-US" w:eastAsia="en-US"/>
    </w:rPr>
  </w:style>
  <w:style w:type="paragraph" w:styleId="TOC1">
    <w:name w:val="toc 1"/>
    <w:basedOn w:val="Normal"/>
    <w:next w:val="Normal"/>
    <w:autoRedefine/>
    <w:uiPriority w:val="39"/>
    <w:rsid w:val="00C85A04"/>
    <w:pPr>
      <w:tabs>
        <w:tab w:val="right" w:leader="dot" w:pos="8931"/>
      </w:tabs>
      <w:spacing w:line="360" w:lineRule="auto"/>
      <w:jc w:val="right"/>
    </w:pPr>
    <w:rPr>
      <w:sz w:val="28"/>
      <w:lang w:val="en-US"/>
    </w:rPr>
  </w:style>
  <w:style w:type="paragraph" w:styleId="Header">
    <w:name w:val="header"/>
    <w:basedOn w:val="Normal"/>
    <w:link w:val="HeaderChar"/>
    <w:uiPriority w:val="99"/>
    <w:unhideWhenUsed/>
    <w:rsid w:val="00E300A7"/>
    <w:pPr>
      <w:tabs>
        <w:tab w:val="center" w:pos="4513"/>
        <w:tab w:val="right" w:pos="9026"/>
      </w:tabs>
    </w:pPr>
  </w:style>
  <w:style w:type="character" w:customStyle="1" w:styleId="HeaderChar">
    <w:name w:val="Header Char"/>
    <w:basedOn w:val="DefaultParagraphFont"/>
    <w:link w:val="Header"/>
    <w:uiPriority w:val="99"/>
    <w:rsid w:val="00E300A7"/>
    <w:rPr>
      <w:sz w:val="24"/>
      <w:szCs w:val="24"/>
      <w:lang w:eastAsia="en-US"/>
    </w:rPr>
  </w:style>
  <w:style w:type="paragraph" w:styleId="Footer">
    <w:name w:val="footer"/>
    <w:basedOn w:val="Normal"/>
    <w:link w:val="FooterChar"/>
    <w:uiPriority w:val="99"/>
    <w:unhideWhenUsed/>
    <w:rsid w:val="00E300A7"/>
    <w:pPr>
      <w:tabs>
        <w:tab w:val="center" w:pos="4513"/>
        <w:tab w:val="right" w:pos="9026"/>
      </w:tabs>
    </w:pPr>
  </w:style>
  <w:style w:type="character" w:customStyle="1" w:styleId="FooterChar">
    <w:name w:val="Footer Char"/>
    <w:basedOn w:val="DefaultParagraphFont"/>
    <w:link w:val="Footer"/>
    <w:uiPriority w:val="99"/>
    <w:rsid w:val="00E300A7"/>
    <w:rPr>
      <w:sz w:val="24"/>
      <w:szCs w:val="24"/>
      <w:lang w:eastAsia="en-US"/>
    </w:rPr>
  </w:style>
  <w:style w:type="character" w:styleId="PageNumber">
    <w:name w:val="page number"/>
    <w:basedOn w:val="DefaultParagraphFont"/>
    <w:rsid w:val="003E1902"/>
  </w:style>
  <w:style w:type="character" w:customStyle="1" w:styleId="BodyTextChar">
    <w:name w:val="Body Text Char"/>
    <w:basedOn w:val="DefaultParagraphFont"/>
    <w:link w:val="BodyText"/>
    <w:rsid w:val="003E1902"/>
    <w:rPr>
      <w:sz w:val="28"/>
      <w:szCs w:val="24"/>
      <w:lang w:val="en-US" w:eastAsia="en-US"/>
    </w:rPr>
  </w:style>
  <w:style w:type="paragraph" w:styleId="BodyText2">
    <w:name w:val="Body Text 2"/>
    <w:basedOn w:val="Normal"/>
    <w:link w:val="BodyText2Char"/>
    <w:rsid w:val="003E1902"/>
    <w:pPr>
      <w:spacing w:after="120" w:line="480" w:lineRule="auto"/>
    </w:pPr>
    <w:rPr>
      <w:lang w:eastAsia="en-GB"/>
    </w:rPr>
  </w:style>
  <w:style w:type="character" w:customStyle="1" w:styleId="BodyText2Char">
    <w:name w:val="Body Text 2 Char"/>
    <w:basedOn w:val="DefaultParagraphFont"/>
    <w:link w:val="BodyText2"/>
    <w:rsid w:val="003E1902"/>
    <w:rPr>
      <w:sz w:val="24"/>
      <w:szCs w:val="24"/>
      <w:lang w:eastAsia="en-GB"/>
    </w:rPr>
  </w:style>
  <w:style w:type="paragraph" w:styleId="ListParagraph">
    <w:name w:val="List Paragraph"/>
    <w:basedOn w:val="Normal"/>
    <w:uiPriority w:val="34"/>
    <w:qFormat/>
    <w:rsid w:val="00B53A8C"/>
    <w:pPr>
      <w:ind w:left="720"/>
      <w:contextualSpacing/>
    </w:pPr>
  </w:style>
  <w:style w:type="character" w:styleId="Hyperlink">
    <w:name w:val="Hyperlink"/>
    <w:basedOn w:val="DefaultParagraphFont"/>
    <w:uiPriority w:val="99"/>
    <w:unhideWhenUsed/>
    <w:rsid w:val="008A33CB"/>
    <w:rPr>
      <w:color w:val="0000FF" w:themeColor="hyperlink"/>
      <w:u w:val="single"/>
    </w:rPr>
  </w:style>
  <w:style w:type="paragraph" w:styleId="BalloonText">
    <w:name w:val="Balloon Text"/>
    <w:basedOn w:val="Normal"/>
    <w:link w:val="BalloonTextChar"/>
    <w:uiPriority w:val="99"/>
    <w:semiHidden/>
    <w:unhideWhenUsed/>
    <w:rsid w:val="00855FF7"/>
    <w:rPr>
      <w:rFonts w:ascii="Tahoma" w:hAnsi="Tahoma" w:cs="Tahoma"/>
      <w:sz w:val="16"/>
      <w:szCs w:val="16"/>
    </w:rPr>
  </w:style>
  <w:style w:type="character" w:customStyle="1" w:styleId="BalloonTextChar">
    <w:name w:val="Balloon Text Char"/>
    <w:basedOn w:val="DefaultParagraphFont"/>
    <w:link w:val="BalloonText"/>
    <w:uiPriority w:val="99"/>
    <w:semiHidden/>
    <w:rsid w:val="00855FF7"/>
    <w:rPr>
      <w:rFonts w:ascii="Tahoma" w:hAnsi="Tahoma" w:cs="Tahoma"/>
      <w:sz w:val="16"/>
      <w:szCs w:val="16"/>
      <w:lang w:eastAsia="en-US"/>
    </w:rPr>
  </w:style>
  <w:style w:type="table" w:styleId="TableGrid">
    <w:name w:val="Table Grid"/>
    <w:basedOn w:val="TableNormal"/>
    <w:uiPriority w:val="39"/>
    <w:rsid w:val="003259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Header"/>
    <w:next w:val="Normal"/>
    <w:unhideWhenUsed/>
    <w:qFormat/>
    <w:rsid w:val="00D6295E"/>
    <w:pPr>
      <w:spacing w:after="200"/>
      <w:jc w:val="center"/>
    </w:pPr>
    <w:rPr>
      <w:rFonts w:cstheme="minorBidi"/>
      <w:b/>
      <w:bCs/>
      <w:sz w:val="28"/>
      <w:szCs w:val="18"/>
      <w:lang w:eastAsia="en-GB"/>
    </w:rPr>
  </w:style>
  <w:style w:type="paragraph" w:styleId="EndnoteText">
    <w:name w:val="endnote text"/>
    <w:basedOn w:val="Normal"/>
    <w:link w:val="EndnoteTextChar"/>
    <w:uiPriority w:val="99"/>
    <w:unhideWhenUsed/>
    <w:rsid w:val="00C97DFC"/>
    <w:rPr>
      <w:rFonts w:eastAsia="Times New Roman"/>
      <w:sz w:val="20"/>
      <w:szCs w:val="20"/>
      <w:lang w:eastAsia="en-GB"/>
    </w:rPr>
  </w:style>
  <w:style w:type="character" w:customStyle="1" w:styleId="EndnoteTextChar">
    <w:name w:val="Endnote Text Char"/>
    <w:basedOn w:val="DefaultParagraphFont"/>
    <w:link w:val="EndnoteText"/>
    <w:uiPriority w:val="99"/>
    <w:rsid w:val="00C97DFC"/>
    <w:rPr>
      <w:rFonts w:eastAsia="Times New Roman"/>
      <w:lang w:eastAsia="en-GB"/>
    </w:rPr>
  </w:style>
  <w:style w:type="character" w:styleId="EndnoteReference">
    <w:name w:val="endnote reference"/>
    <w:basedOn w:val="DefaultParagraphFont"/>
    <w:uiPriority w:val="99"/>
    <w:semiHidden/>
    <w:unhideWhenUsed/>
    <w:rsid w:val="00C97DFC"/>
    <w:rPr>
      <w:vertAlign w:val="superscript"/>
    </w:rPr>
  </w:style>
  <w:style w:type="character" w:styleId="PlaceholderText">
    <w:name w:val="Placeholder Text"/>
    <w:basedOn w:val="DefaultParagraphFont"/>
    <w:uiPriority w:val="99"/>
    <w:semiHidden/>
    <w:rsid w:val="00C97DFC"/>
    <w:rPr>
      <w:color w:val="808080"/>
    </w:rPr>
  </w:style>
  <w:style w:type="character" w:customStyle="1" w:styleId="Heading1Char">
    <w:name w:val="Heading 1 Char"/>
    <w:basedOn w:val="DefaultParagraphFont"/>
    <w:link w:val="Heading1"/>
    <w:uiPriority w:val="9"/>
    <w:rsid w:val="00DD22BB"/>
    <w:rPr>
      <w:b/>
      <w:color w:val="1F497D" w:themeColor="text2"/>
      <w:sz w:val="32"/>
      <w:szCs w:val="24"/>
      <w:lang w:eastAsia="en-US"/>
    </w:rPr>
  </w:style>
  <w:style w:type="paragraph" w:customStyle="1" w:styleId="Default">
    <w:name w:val="Default"/>
    <w:rsid w:val="0048767D"/>
    <w:pPr>
      <w:autoSpaceDE w:val="0"/>
      <w:autoSpaceDN w:val="0"/>
      <w:adjustRightInd w:val="0"/>
    </w:pPr>
    <w:rPr>
      <w:rFonts w:eastAsiaTheme="minorHAnsi"/>
      <w:color w:val="000000"/>
      <w:sz w:val="24"/>
      <w:szCs w:val="24"/>
      <w:lang w:val="en-US" w:eastAsia="en-US"/>
    </w:rPr>
  </w:style>
  <w:style w:type="table" w:styleId="PlainTable3">
    <w:name w:val="Plain Table 3"/>
    <w:basedOn w:val="TableNormal"/>
    <w:uiPriority w:val="43"/>
    <w:rsid w:val="00C7694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C7694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BookTitle">
    <w:name w:val="Book Title"/>
    <w:basedOn w:val="DefaultParagraphFont"/>
    <w:uiPriority w:val="33"/>
    <w:qFormat/>
    <w:rsid w:val="00C44439"/>
    <w:rPr>
      <w:b/>
      <w:bCs/>
      <w:i/>
      <w:iCs/>
      <w:spacing w:val="5"/>
    </w:rPr>
  </w:style>
  <w:style w:type="paragraph" w:styleId="TOC3">
    <w:name w:val="toc 3"/>
    <w:basedOn w:val="Normal"/>
    <w:next w:val="Normal"/>
    <w:autoRedefine/>
    <w:uiPriority w:val="39"/>
    <w:unhideWhenUsed/>
    <w:rsid w:val="002664FA"/>
    <w:pPr>
      <w:spacing w:after="100"/>
      <w:ind w:left="480"/>
    </w:pPr>
  </w:style>
  <w:style w:type="character" w:styleId="UnresolvedMention">
    <w:name w:val="Unresolved Mention"/>
    <w:basedOn w:val="DefaultParagraphFont"/>
    <w:uiPriority w:val="99"/>
    <w:semiHidden/>
    <w:unhideWhenUsed/>
    <w:rsid w:val="00B021F5"/>
    <w:rPr>
      <w:color w:val="605E5C"/>
      <w:shd w:val="clear" w:color="auto" w:fill="E1DFDD"/>
    </w:rPr>
  </w:style>
  <w:style w:type="paragraph" w:styleId="TOCHeading">
    <w:name w:val="TOC Heading"/>
    <w:basedOn w:val="Heading1"/>
    <w:next w:val="Normal"/>
    <w:uiPriority w:val="39"/>
    <w:unhideWhenUsed/>
    <w:qFormat/>
    <w:rsid w:val="00DF1A9D"/>
    <w:pPr>
      <w:keepNext/>
      <w:keepLines/>
      <w:spacing w:line="259" w:lineRule="auto"/>
      <w:outlineLvl w:val="9"/>
    </w:pPr>
    <w:rPr>
      <w:rFonts w:asciiTheme="majorHAnsi" w:eastAsiaTheme="majorEastAsia" w:hAnsiTheme="majorHAnsi" w:cstheme="majorBidi"/>
      <w:b w:val="0"/>
      <w:color w:val="365F91" w:themeColor="accent1" w:themeShade="BF"/>
      <w:szCs w:val="32"/>
      <w:lang w:val="en-US"/>
    </w:rPr>
  </w:style>
  <w:style w:type="character" w:customStyle="1" w:styleId="Heading7Char">
    <w:name w:val="Heading 7 Char"/>
    <w:basedOn w:val="DefaultParagraphFont"/>
    <w:link w:val="Heading7"/>
    <w:rsid w:val="00A7550C"/>
    <w:rPr>
      <w:sz w:val="24"/>
      <w:szCs w:val="24"/>
      <w:lang w:val="en-US" w:eastAsia="en-US"/>
    </w:rPr>
  </w:style>
  <w:style w:type="character" w:customStyle="1" w:styleId="Heading6Char">
    <w:name w:val="Heading 6 Char"/>
    <w:basedOn w:val="DefaultParagraphFont"/>
    <w:link w:val="Heading6"/>
    <w:rsid w:val="007A6780"/>
    <w:rPr>
      <w:b/>
      <w:bCs/>
      <w:sz w:val="22"/>
      <w:szCs w:val="22"/>
      <w:lang w:val="en-US" w:eastAsia="en-US"/>
    </w:rPr>
  </w:style>
  <w:style w:type="table" w:styleId="TableGridLight">
    <w:name w:val="Grid Table Light"/>
    <w:basedOn w:val="TableNormal"/>
    <w:uiPriority w:val="40"/>
    <w:rsid w:val="002849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Header-Document">
    <w:name w:val="Header-Document"/>
    <w:basedOn w:val="Normal"/>
    <w:link w:val="Header-DocumentChar"/>
    <w:qFormat/>
    <w:rsid w:val="00B46C49"/>
    <w:pPr>
      <w:jc w:val="center"/>
    </w:pPr>
    <w:rPr>
      <w:rFonts w:eastAsia="Calibri" w:cs="Arial"/>
      <w:b/>
      <w:szCs w:val="22"/>
      <w:u w:val="single"/>
    </w:rPr>
  </w:style>
  <w:style w:type="table" w:customStyle="1" w:styleId="TableGrid1">
    <w:name w:val="Table Grid1"/>
    <w:basedOn w:val="TableNormal"/>
    <w:next w:val="TableGrid"/>
    <w:uiPriority w:val="39"/>
    <w:rsid w:val="00744B66"/>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DocumentChar">
    <w:name w:val="Header-Document Char"/>
    <w:basedOn w:val="DefaultParagraphFont"/>
    <w:link w:val="Header-Document"/>
    <w:rsid w:val="00B46C49"/>
    <w:rPr>
      <w:rFonts w:eastAsia="Calibri" w:cs="Arial"/>
      <w:b/>
      <w:sz w:val="24"/>
      <w:szCs w:val="22"/>
      <w:u w:val="single"/>
      <w:lang w:eastAsia="en-US"/>
    </w:rPr>
  </w:style>
  <w:style w:type="character" w:customStyle="1" w:styleId="Heading2Char">
    <w:name w:val="Heading 2 Char"/>
    <w:basedOn w:val="DefaultParagraphFont"/>
    <w:link w:val="Heading2"/>
    <w:uiPriority w:val="9"/>
    <w:rsid w:val="00DD22BB"/>
    <w:rPr>
      <w:color w:val="1F497D" w:themeColor="text2"/>
      <w:sz w:val="28"/>
      <w:szCs w:val="28"/>
      <w:lang w:eastAsia="en-US"/>
    </w:rPr>
  </w:style>
  <w:style w:type="character" w:styleId="CommentReference">
    <w:name w:val="annotation reference"/>
    <w:basedOn w:val="DefaultParagraphFont"/>
    <w:uiPriority w:val="99"/>
    <w:semiHidden/>
    <w:unhideWhenUsed/>
    <w:rsid w:val="00744B66"/>
    <w:rPr>
      <w:sz w:val="16"/>
      <w:szCs w:val="16"/>
    </w:rPr>
  </w:style>
  <w:style w:type="paragraph" w:styleId="CommentText">
    <w:name w:val="annotation text"/>
    <w:basedOn w:val="Normal"/>
    <w:link w:val="CommentTextChar"/>
    <w:uiPriority w:val="99"/>
    <w:unhideWhenUsed/>
    <w:rsid w:val="00744B66"/>
    <w:pPr>
      <w:spacing w:before="120" w:after="240"/>
      <w:jc w:val="both"/>
    </w:pPr>
    <w:rPr>
      <w:rFonts w:ascii="Arial" w:eastAsia="Calibri" w:hAnsi="Arial" w:cs="Arial"/>
      <w:sz w:val="20"/>
      <w:szCs w:val="20"/>
    </w:rPr>
  </w:style>
  <w:style w:type="character" w:customStyle="1" w:styleId="CommentTextChar">
    <w:name w:val="Comment Text Char"/>
    <w:basedOn w:val="DefaultParagraphFont"/>
    <w:link w:val="CommentText"/>
    <w:uiPriority w:val="99"/>
    <w:rsid w:val="00744B66"/>
    <w:rPr>
      <w:rFonts w:ascii="Arial" w:eastAsia="Calibri" w:hAnsi="Arial" w:cs="Arial"/>
      <w:lang w:eastAsia="en-US"/>
    </w:rPr>
  </w:style>
  <w:style w:type="paragraph" w:styleId="CommentSubject">
    <w:name w:val="annotation subject"/>
    <w:basedOn w:val="CommentText"/>
    <w:next w:val="CommentText"/>
    <w:link w:val="CommentSubjectChar"/>
    <w:uiPriority w:val="99"/>
    <w:semiHidden/>
    <w:unhideWhenUsed/>
    <w:rsid w:val="00744B66"/>
    <w:rPr>
      <w:b/>
      <w:bCs/>
    </w:rPr>
  </w:style>
  <w:style w:type="character" w:customStyle="1" w:styleId="CommentSubjectChar">
    <w:name w:val="Comment Subject Char"/>
    <w:basedOn w:val="CommentTextChar"/>
    <w:link w:val="CommentSubject"/>
    <w:uiPriority w:val="99"/>
    <w:semiHidden/>
    <w:rsid w:val="00744B66"/>
    <w:rPr>
      <w:rFonts w:ascii="Arial" w:eastAsia="Calibri" w:hAnsi="Arial" w:cs="Arial"/>
      <w:b/>
      <w:bCs/>
      <w:lang w:eastAsia="en-US"/>
    </w:rPr>
  </w:style>
  <w:style w:type="character" w:customStyle="1" w:styleId="FollowedHyperlink1">
    <w:name w:val="FollowedHyperlink1"/>
    <w:basedOn w:val="DefaultParagraphFont"/>
    <w:uiPriority w:val="99"/>
    <w:semiHidden/>
    <w:unhideWhenUsed/>
    <w:rsid w:val="00744B66"/>
    <w:rPr>
      <w:color w:val="954F72"/>
      <w:u w:val="single"/>
    </w:rPr>
  </w:style>
  <w:style w:type="character" w:styleId="FollowedHyperlink">
    <w:name w:val="FollowedHyperlink"/>
    <w:basedOn w:val="DefaultParagraphFont"/>
    <w:uiPriority w:val="99"/>
    <w:semiHidden/>
    <w:unhideWhenUsed/>
    <w:rsid w:val="00744B66"/>
    <w:rPr>
      <w:color w:val="800080" w:themeColor="followedHyperlink"/>
      <w:u w:val="single"/>
    </w:rPr>
  </w:style>
  <w:style w:type="paragraph" w:styleId="TOC2">
    <w:name w:val="toc 2"/>
    <w:basedOn w:val="Normal"/>
    <w:next w:val="Normal"/>
    <w:autoRedefine/>
    <w:uiPriority w:val="39"/>
    <w:unhideWhenUsed/>
    <w:rsid w:val="002664F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4245">
      <w:bodyDiv w:val="1"/>
      <w:marLeft w:val="0"/>
      <w:marRight w:val="0"/>
      <w:marTop w:val="0"/>
      <w:marBottom w:val="0"/>
      <w:divBdr>
        <w:top w:val="none" w:sz="0" w:space="0" w:color="auto"/>
        <w:left w:val="none" w:sz="0" w:space="0" w:color="auto"/>
        <w:bottom w:val="none" w:sz="0" w:space="0" w:color="auto"/>
        <w:right w:val="none" w:sz="0" w:space="0" w:color="auto"/>
      </w:divBdr>
    </w:div>
    <w:div w:id="66000776">
      <w:bodyDiv w:val="1"/>
      <w:marLeft w:val="0"/>
      <w:marRight w:val="0"/>
      <w:marTop w:val="0"/>
      <w:marBottom w:val="0"/>
      <w:divBdr>
        <w:top w:val="none" w:sz="0" w:space="0" w:color="auto"/>
        <w:left w:val="none" w:sz="0" w:space="0" w:color="auto"/>
        <w:bottom w:val="none" w:sz="0" w:space="0" w:color="auto"/>
        <w:right w:val="none" w:sz="0" w:space="0" w:color="auto"/>
      </w:divBdr>
    </w:div>
    <w:div w:id="86581822">
      <w:bodyDiv w:val="1"/>
      <w:marLeft w:val="0"/>
      <w:marRight w:val="0"/>
      <w:marTop w:val="0"/>
      <w:marBottom w:val="0"/>
      <w:divBdr>
        <w:top w:val="none" w:sz="0" w:space="0" w:color="auto"/>
        <w:left w:val="none" w:sz="0" w:space="0" w:color="auto"/>
        <w:bottom w:val="none" w:sz="0" w:space="0" w:color="auto"/>
        <w:right w:val="none" w:sz="0" w:space="0" w:color="auto"/>
      </w:divBdr>
    </w:div>
    <w:div w:id="118113274">
      <w:bodyDiv w:val="1"/>
      <w:marLeft w:val="0"/>
      <w:marRight w:val="0"/>
      <w:marTop w:val="0"/>
      <w:marBottom w:val="0"/>
      <w:divBdr>
        <w:top w:val="none" w:sz="0" w:space="0" w:color="auto"/>
        <w:left w:val="none" w:sz="0" w:space="0" w:color="auto"/>
        <w:bottom w:val="none" w:sz="0" w:space="0" w:color="auto"/>
        <w:right w:val="none" w:sz="0" w:space="0" w:color="auto"/>
      </w:divBdr>
    </w:div>
    <w:div w:id="124811466">
      <w:bodyDiv w:val="1"/>
      <w:marLeft w:val="0"/>
      <w:marRight w:val="0"/>
      <w:marTop w:val="0"/>
      <w:marBottom w:val="0"/>
      <w:divBdr>
        <w:top w:val="none" w:sz="0" w:space="0" w:color="auto"/>
        <w:left w:val="none" w:sz="0" w:space="0" w:color="auto"/>
        <w:bottom w:val="none" w:sz="0" w:space="0" w:color="auto"/>
        <w:right w:val="none" w:sz="0" w:space="0" w:color="auto"/>
      </w:divBdr>
    </w:div>
    <w:div w:id="165676455">
      <w:bodyDiv w:val="1"/>
      <w:marLeft w:val="0"/>
      <w:marRight w:val="0"/>
      <w:marTop w:val="0"/>
      <w:marBottom w:val="0"/>
      <w:divBdr>
        <w:top w:val="none" w:sz="0" w:space="0" w:color="auto"/>
        <w:left w:val="none" w:sz="0" w:space="0" w:color="auto"/>
        <w:bottom w:val="none" w:sz="0" w:space="0" w:color="auto"/>
        <w:right w:val="none" w:sz="0" w:space="0" w:color="auto"/>
      </w:divBdr>
      <w:divsChild>
        <w:div w:id="2036080432">
          <w:marLeft w:val="0"/>
          <w:marRight w:val="0"/>
          <w:marTop w:val="0"/>
          <w:marBottom w:val="0"/>
          <w:divBdr>
            <w:top w:val="none" w:sz="0" w:space="0" w:color="auto"/>
            <w:left w:val="none" w:sz="0" w:space="0" w:color="auto"/>
            <w:bottom w:val="none" w:sz="0" w:space="0" w:color="auto"/>
            <w:right w:val="none" w:sz="0" w:space="0" w:color="auto"/>
          </w:divBdr>
          <w:divsChild>
            <w:div w:id="1088581259">
              <w:marLeft w:val="0"/>
              <w:marRight w:val="0"/>
              <w:marTop w:val="0"/>
              <w:marBottom w:val="0"/>
              <w:divBdr>
                <w:top w:val="none" w:sz="0" w:space="0" w:color="auto"/>
                <w:left w:val="none" w:sz="0" w:space="0" w:color="auto"/>
                <w:bottom w:val="none" w:sz="0" w:space="0" w:color="auto"/>
                <w:right w:val="none" w:sz="0" w:space="0" w:color="auto"/>
              </w:divBdr>
              <w:divsChild>
                <w:div w:id="493377460">
                  <w:marLeft w:val="0"/>
                  <w:marRight w:val="0"/>
                  <w:marTop w:val="0"/>
                  <w:marBottom w:val="0"/>
                  <w:divBdr>
                    <w:top w:val="none" w:sz="0" w:space="0" w:color="auto"/>
                    <w:left w:val="none" w:sz="0" w:space="0" w:color="auto"/>
                    <w:bottom w:val="none" w:sz="0" w:space="0" w:color="auto"/>
                    <w:right w:val="none" w:sz="0" w:space="0" w:color="auto"/>
                  </w:divBdr>
                  <w:divsChild>
                    <w:div w:id="73027568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201939429">
      <w:bodyDiv w:val="1"/>
      <w:marLeft w:val="0"/>
      <w:marRight w:val="0"/>
      <w:marTop w:val="0"/>
      <w:marBottom w:val="0"/>
      <w:divBdr>
        <w:top w:val="none" w:sz="0" w:space="0" w:color="auto"/>
        <w:left w:val="none" w:sz="0" w:space="0" w:color="auto"/>
        <w:bottom w:val="none" w:sz="0" w:space="0" w:color="auto"/>
        <w:right w:val="none" w:sz="0" w:space="0" w:color="auto"/>
      </w:divBdr>
    </w:div>
    <w:div w:id="216474911">
      <w:bodyDiv w:val="1"/>
      <w:marLeft w:val="0"/>
      <w:marRight w:val="0"/>
      <w:marTop w:val="0"/>
      <w:marBottom w:val="0"/>
      <w:divBdr>
        <w:top w:val="none" w:sz="0" w:space="0" w:color="auto"/>
        <w:left w:val="none" w:sz="0" w:space="0" w:color="auto"/>
        <w:bottom w:val="none" w:sz="0" w:space="0" w:color="auto"/>
        <w:right w:val="none" w:sz="0" w:space="0" w:color="auto"/>
      </w:divBdr>
    </w:div>
    <w:div w:id="290332125">
      <w:bodyDiv w:val="1"/>
      <w:marLeft w:val="0"/>
      <w:marRight w:val="0"/>
      <w:marTop w:val="0"/>
      <w:marBottom w:val="0"/>
      <w:divBdr>
        <w:top w:val="none" w:sz="0" w:space="0" w:color="auto"/>
        <w:left w:val="none" w:sz="0" w:space="0" w:color="auto"/>
        <w:bottom w:val="none" w:sz="0" w:space="0" w:color="auto"/>
        <w:right w:val="none" w:sz="0" w:space="0" w:color="auto"/>
      </w:divBdr>
    </w:div>
    <w:div w:id="328868427">
      <w:bodyDiv w:val="1"/>
      <w:marLeft w:val="0"/>
      <w:marRight w:val="0"/>
      <w:marTop w:val="0"/>
      <w:marBottom w:val="0"/>
      <w:divBdr>
        <w:top w:val="none" w:sz="0" w:space="0" w:color="auto"/>
        <w:left w:val="none" w:sz="0" w:space="0" w:color="auto"/>
        <w:bottom w:val="none" w:sz="0" w:space="0" w:color="auto"/>
        <w:right w:val="none" w:sz="0" w:space="0" w:color="auto"/>
      </w:divBdr>
    </w:div>
    <w:div w:id="330838716">
      <w:bodyDiv w:val="1"/>
      <w:marLeft w:val="0"/>
      <w:marRight w:val="0"/>
      <w:marTop w:val="0"/>
      <w:marBottom w:val="0"/>
      <w:divBdr>
        <w:top w:val="none" w:sz="0" w:space="0" w:color="auto"/>
        <w:left w:val="none" w:sz="0" w:space="0" w:color="auto"/>
        <w:bottom w:val="none" w:sz="0" w:space="0" w:color="auto"/>
        <w:right w:val="none" w:sz="0" w:space="0" w:color="auto"/>
      </w:divBdr>
    </w:div>
    <w:div w:id="369301097">
      <w:bodyDiv w:val="1"/>
      <w:marLeft w:val="0"/>
      <w:marRight w:val="0"/>
      <w:marTop w:val="0"/>
      <w:marBottom w:val="0"/>
      <w:divBdr>
        <w:top w:val="none" w:sz="0" w:space="0" w:color="auto"/>
        <w:left w:val="none" w:sz="0" w:space="0" w:color="auto"/>
        <w:bottom w:val="none" w:sz="0" w:space="0" w:color="auto"/>
        <w:right w:val="none" w:sz="0" w:space="0" w:color="auto"/>
      </w:divBdr>
    </w:div>
    <w:div w:id="381750716">
      <w:bodyDiv w:val="1"/>
      <w:marLeft w:val="0"/>
      <w:marRight w:val="0"/>
      <w:marTop w:val="0"/>
      <w:marBottom w:val="0"/>
      <w:divBdr>
        <w:top w:val="none" w:sz="0" w:space="0" w:color="auto"/>
        <w:left w:val="none" w:sz="0" w:space="0" w:color="auto"/>
        <w:bottom w:val="none" w:sz="0" w:space="0" w:color="auto"/>
        <w:right w:val="none" w:sz="0" w:space="0" w:color="auto"/>
      </w:divBdr>
    </w:div>
    <w:div w:id="387344022">
      <w:bodyDiv w:val="1"/>
      <w:marLeft w:val="0"/>
      <w:marRight w:val="0"/>
      <w:marTop w:val="0"/>
      <w:marBottom w:val="0"/>
      <w:divBdr>
        <w:top w:val="none" w:sz="0" w:space="0" w:color="auto"/>
        <w:left w:val="none" w:sz="0" w:space="0" w:color="auto"/>
        <w:bottom w:val="none" w:sz="0" w:space="0" w:color="auto"/>
        <w:right w:val="none" w:sz="0" w:space="0" w:color="auto"/>
      </w:divBdr>
    </w:div>
    <w:div w:id="389773887">
      <w:bodyDiv w:val="1"/>
      <w:marLeft w:val="0"/>
      <w:marRight w:val="0"/>
      <w:marTop w:val="0"/>
      <w:marBottom w:val="0"/>
      <w:divBdr>
        <w:top w:val="none" w:sz="0" w:space="0" w:color="auto"/>
        <w:left w:val="none" w:sz="0" w:space="0" w:color="auto"/>
        <w:bottom w:val="none" w:sz="0" w:space="0" w:color="auto"/>
        <w:right w:val="none" w:sz="0" w:space="0" w:color="auto"/>
      </w:divBdr>
    </w:div>
    <w:div w:id="413936907">
      <w:bodyDiv w:val="1"/>
      <w:marLeft w:val="0"/>
      <w:marRight w:val="0"/>
      <w:marTop w:val="0"/>
      <w:marBottom w:val="0"/>
      <w:divBdr>
        <w:top w:val="none" w:sz="0" w:space="0" w:color="auto"/>
        <w:left w:val="none" w:sz="0" w:space="0" w:color="auto"/>
        <w:bottom w:val="none" w:sz="0" w:space="0" w:color="auto"/>
        <w:right w:val="none" w:sz="0" w:space="0" w:color="auto"/>
      </w:divBdr>
    </w:div>
    <w:div w:id="499320281">
      <w:bodyDiv w:val="1"/>
      <w:marLeft w:val="0"/>
      <w:marRight w:val="0"/>
      <w:marTop w:val="0"/>
      <w:marBottom w:val="0"/>
      <w:divBdr>
        <w:top w:val="none" w:sz="0" w:space="0" w:color="auto"/>
        <w:left w:val="none" w:sz="0" w:space="0" w:color="auto"/>
        <w:bottom w:val="none" w:sz="0" w:space="0" w:color="auto"/>
        <w:right w:val="none" w:sz="0" w:space="0" w:color="auto"/>
      </w:divBdr>
    </w:div>
    <w:div w:id="513151980">
      <w:bodyDiv w:val="1"/>
      <w:marLeft w:val="0"/>
      <w:marRight w:val="0"/>
      <w:marTop w:val="0"/>
      <w:marBottom w:val="0"/>
      <w:divBdr>
        <w:top w:val="none" w:sz="0" w:space="0" w:color="auto"/>
        <w:left w:val="none" w:sz="0" w:space="0" w:color="auto"/>
        <w:bottom w:val="none" w:sz="0" w:space="0" w:color="auto"/>
        <w:right w:val="none" w:sz="0" w:space="0" w:color="auto"/>
      </w:divBdr>
    </w:div>
    <w:div w:id="520751539">
      <w:bodyDiv w:val="1"/>
      <w:marLeft w:val="0"/>
      <w:marRight w:val="0"/>
      <w:marTop w:val="0"/>
      <w:marBottom w:val="0"/>
      <w:divBdr>
        <w:top w:val="none" w:sz="0" w:space="0" w:color="auto"/>
        <w:left w:val="none" w:sz="0" w:space="0" w:color="auto"/>
        <w:bottom w:val="none" w:sz="0" w:space="0" w:color="auto"/>
        <w:right w:val="none" w:sz="0" w:space="0" w:color="auto"/>
      </w:divBdr>
    </w:div>
    <w:div w:id="543255713">
      <w:bodyDiv w:val="1"/>
      <w:marLeft w:val="0"/>
      <w:marRight w:val="0"/>
      <w:marTop w:val="0"/>
      <w:marBottom w:val="0"/>
      <w:divBdr>
        <w:top w:val="none" w:sz="0" w:space="0" w:color="auto"/>
        <w:left w:val="none" w:sz="0" w:space="0" w:color="auto"/>
        <w:bottom w:val="none" w:sz="0" w:space="0" w:color="auto"/>
        <w:right w:val="none" w:sz="0" w:space="0" w:color="auto"/>
      </w:divBdr>
    </w:div>
    <w:div w:id="544098585">
      <w:bodyDiv w:val="1"/>
      <w:marLeft w:val="0"/>
      <w:marRight w:val="0"/>
      <w:marTop w:val="0"/>
      <w:marBottom w:val="0"/>
      <w:divBdr>
        <w:top w:val="none" w:sz="0" w:space="0" w:color="auto"/>
        <w:left w:val="none" w:sz="0" w:space="0" w:color="auto"/>
        <w:bottom w:val="none" w:sz="0" w:space="0" w:color="auto"/>
        <w:right w:val="none" w:sz="0" w:space="0" w:color="auto"/>
      </w:divBdr>
    </w:div>
    <w:div w:id="552886294">
      <w:bodyDiv w:val="1"/>
      <w:marLeft w:val="0"/>
      <w:marRight w:val="0"/>
      <w:marTop w:val="0"/>
      <w:marBottom w:val="0"/>
      <w:divBdr>
        <w:top w:val="none" w:sz="0" w:space="0" w:color="auto"/>
        <w:left w:val="none" w:sz="0" w:space="0" w:color="auto"/>
        <w:bottom w:val="none" w:sz="0" w:space="0" w:color="auto"/>
        <w:right w:val="none" w:sz="0" w:space="0" w:color="auto"/>
      </w:divBdr>
    </w:div>
    <w:div w:id="596985414">
      <w:bodyDiv w:val="1"/>
      <w:marLeft w:val="0"/>
      <w:marRight w:val="0"/>
      <w:marTop w:val="0"/>
      <w:marBottom w:val="0"/>
      <w:divBdr>
        <w:top w:val="none" w:sz="0" w:space="0" w:color="auto"/>
        <w:left w:val="none" w:sz="0" w:space="0" w:color="auto"/>
        <w:bottom w:val="none" w:sz="0" w:space="0" w:color="auto"/>
        <w:right w:val="none" w:sz="0" w:space="0" w:color="auto"/>
      </w:divBdr>
      <w:divsChild>
        <w:div w:id="975574595">
          <w:marLeft w:val="0"/>
          <w:marRight w:val="0"/>
          <w:marTop w:val="0"/>
          <w:marBottom w:val="0"/>
          <w:divBdr>
            <w:top w:val="none" w:sz="0" w:space="0" w:color="auto"/>
            <w:left w:val="none" w:sz="0" w:space="0" w:color="auto"/>
            <w:bottom w:val="none" w:sz="0" w:space="0" w:color="auto"/>
            <w:right w:val="none" w:sz="0" w:space="0" w:color="auto"/>
          </w:divBdr>
          <w:divsChild>
            <w:div w:id="809058487">
              <w:marLeft w:val="0"/>
              <w:marRight w:val="0"/>
              <w:marTop w:val="0"/>
              <w:marBottom w:val="0"/>
              <w:divBdr>
                <w:top w:val="none" w:sz="0" w:space="0" w:color="auto"/>
                <w:left w:val="none" w:sz="0" w:space="0" w:color="auto"/>
                <w:bottom w:val="none" w:sz="0" w:space="0" w:color="auto"/>
                <w:right w:val="none" w:sz="0" w:space="0" w:color="auto"/>
              </w:divBdr>
              <w:divsChild>
                <w:div w:id="989822702">
                  <w:marLeft w:val="0"/>
                  <w:marRight w:val="0"/>
                  <w:marTop w:val="0"/>
                  <w:marBottom w:val="0"/>
                  <w:divBdr>
                    <w:top w:val="none" w:sz="0" w:space="0" w:color="auto"/>
                    <w:left w:val="none" w:sz="0" w:space="0" w:color="auto"/>
                    <w:bottom w:val="none" w:sz="0" w:space="0" w:color="auto"/>
                    <w:right w:val="none" w:sz="0" w:space="0" w:color="auto"/>
                  </w:divBdr>
                  <w:divsChild>
                    <w:div w:id="1504392431">
                      <w:marLeft w:val="0"/>
                      <w:marRight w:val="0"/>
                      <w:marTop w:val="0"/>
                      <w:marBottom w:val="0"/>
                      <w:divBdr>
                        <w:top w:val="none" w:sz="0" w:space="0" w:color="auto"/>
                        <w:left w:val="none" w:sz="0" w:space="0" w:color="auto"/>
                        <w:bottom w:val="none" w:sz="0" w:space="0" w:color="auto"/>
                        <w:right w:val="none" w:sz="0" w:space="0" w:color="auto"/>
                      </w:divBdr>
                      <w:divsChild>
                        <w:div w:id="836650311">
                          <w:marLeft w:val="0"/>
                          <w:marRight w:val="0"/>
                          <w:marTop w:val="0"/>
                          <w:marBottom w:val="0"/>
                          <w:divBdr>
                            <w:top w:val="none" w:sz="0" w:space="0" w:color="auto"/>
                            <w:left w:val="none" w:sz="0" w:space="0" w:color="auto"/>
                            <w:bottom w:val="none" w:sz="0" w:space="0" w:color="auto"/>
                            <w:right w:val="none" w:sz="0" w:space="0" w:color="auto"/>
                          </w:divBdr>
                          <w:divsChild>
                            <w:div w:id="18486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207181">
      <w:bodyDiv w:val="1"/>
      <w:marLeft w:val="0"/>
      <w:marRight w:val="0"/>
      <w:marTop w:val="0"/>
      <w:marBottom w:val="0"/>
      <w:divBdr>
        <w:top w:val="none" w:sz="0" w:space="0" w:color="auto"/>
        <w:left w:val="none" w:sz="0" w:space="0" w:color="auto"/>
        <w:bottom w:val="none" w:sz="0" w:space="0" w:color="auto"/>
        <w:right w:val="none" w:sz="0" w:space="0" w:color="auto"/>
      </w:divBdr>
    </w:div>
    <w:div w:id="629946386">
      <w:bodyDiv w:val="1"/>
      <w:marLeft w:val="0"/>
      <w:marRight w:val="0"/>
      <w:marTop w:val="0"/>
      <w:marBottom w:val="0"/>
      <w:divBdr>
        <w:top w:val="none" w:sz="0" w:space="0" w:color="auto"/>
        <w:left w:val="none" w:sz="0" w:space="0" w:color="auto"/>
        <w:bottom w:val="none" w:sz="0" w:space="0" w:color="auto"/>
        <w:right w:val="none" w:sz="0" w:space="0" w:color="auto"/>
      </w:divBdr>
    </w:div>
    <w:div w:id="674191526">
      <w:bodyDiv w:val="1"/>
      <w:marLeft w:val="0"/>
      <w:marRight w:val="0"/>
      <w:marTop w:val="0"/>
      <w:marBottom w:val="0"/>
      <w:divBdr>
        <w:top w:val="none" w:sz="0" w:space="0" w:color="auto"/>
        <w:left w:val="none" w:sz="0" w:space="0" w:color="auto"/>
        <w:bottom w:val="none" w:sz="0" w:space="0" w:color="auto"/>
        <w:right w:val="none" w:sz="0" w:space="0" w:color="auto"/>
      </w:divBdr>
    </w:div>
    <w:div w:id="682438113">
      <w:bodyDiv w:val="1"/>
      <w:marLeft w:val="0"/>
      <w:marRight w:val="0"/>
      <w:marTop w:val="0"/>
      <w:marBottom w:val="0"/>
      <w:divBdr>
        <w:top w:val="none" w:sz="0" w:space="0" w:color="auto"/>
        <w:left w:val="none" w:sz="0" w:space="0" w:color="auto"/>
        <w:bottom w:val="none" w:sz="0" w:space="0" w:color="auto"/>
        <w:right w:val="none" w:sz="0" w:space="0" w:color="auto"/>
      </w:divBdr>
    </w:div>
    <w:div w:id="705066236">
      <w:bodyDiv w:val="1"/>
      <w:marLeft w:val="0"/>
      <w:marRight w:val="0"/>
      <w:marTop w:val="0"/>
      <w:marBottom w:val="0"/>
      <w:divBdr>
        <w:top w:val="none" w:sz="0" w:space="0" w:color="auto"/>
        <w:left w:val="none" w:sz="0" w:space="0" w:color="auto"/>
        <w:bottom w:val="none" w:sz="0" w:space="0" w:color="auto"/>
        <w:right w:val="none" w:sz="0" w:space="0" w:color="auto"/>
      </w:divBdr>
    </w:div>
    <w:div w:id="808321155">
      <w:bodyDiv w:val="1"/>
      <w:marLeft w:val="0"/>
      <w:marRight w:val="0"/>
      <w:marTop w:val="0"/>
      <w:marBottom w:val="0"/>
      <w:divBdr>
        <w:top w:val="none" w:sz="0" w:space="0" w:color="auto"/>
        <w:left w:val="none" w:sz="0" w:space="0" w:color="auto"/>
        <w:bottom w:val="none" w:sz="0" w:space="0" w:color="auto"/>
        <w:right w:val="none" w:sz="0" w:space="0" w:color="auto"/>
      </w:divBdr>
    </w:div>
    <w:div w:id="810050863">
      <w:bodyDiv w:val="1"/>
      <w:marLeft w:val="0"/>
      <w:marRight w:val="0"/>
      <w:marTop w:val="0"/>
      <w:marBottom w:val="0"/>
      <w:divBdr>
        <w:top w:val="none" w:sz="0" w:space="0" w:color="auto"/>
        <w:left w:val="none" w:sz="0" w:space="0" w:color="auto"/>
        <w:bottom w:val="none" w:sz="0" w:space="0" w:color="auto"/>
        <w:right w:val="none" w:sz="0" w:space="0" w:color="auto"/>
      </w:divBdr>
    </w:div>
    <w:div w:id="817579352">
      <w:bodyDiv w:val="1"/>
      <w:marLeft w:val="0"/>
      <w:marRight w:val="0"/>
      <w:marTop w:val="0"/>
      <w:marBottom w:val="0"/>
      <w:divBdr>
        <w:top w:val="none" w:sz="0" w:space="0" w:color="auto"/>
        <w:left w:val="none" w:sz="0" w:space="0" w:color="auto"/>
        <w:bottom w:val="none" w:sz="0" w:space="0" w:color="auto"/>
        <w:right w:val="none" w:sz="0" w:space="0" w:color="auto"/>
      </w:divBdr>
    </w:div>
    <w:div w:id="823006071">
      <w:bodyDiv w:val="1"/>
      <w:marLeft w:val="0"/>
      <w:marRight w:val="0"/>
      <w:marTop w:val="0"/>
      <w:marBottom w:val="0"/>
      <w:divBdr>
        <w:top w:val="none" w:sz="0" w:space="0" w:color="auto"/>
        <w:left w:val="none" w:sz="0" w:space="0" w:color="auto"/>
        <w:bottom w:val="none" w:sz="0" w:space="0" w:color="auto"/>
        <w:right w:val="none" w:sz="0" w:space="0" w:color="auto"/>
      </w:divBdr>
    </w:div>
    <w:div w:id="865677598">
      <w:bodyDiv w:val="1"/>
      <w:marLeft w:val="0"/>
      <w:marRight w:val="0"/>
      <w:marTop w:val="0"/>
      <w:marBottom w:val="0"/>
      <w:divBdr>
        <w:top w:val="none" w:sz="0" w:space="0" w:color="auto"/>
        <w:left w:val="none" w:sz="0" w:space="0" w:color="auto"/>
        <w:bottom w:val="none" w:sz="0" w:space="0" w:color="auto"/>
        <w:right w:val="none" w:sz="0" w:space="0" w:color="auto"/>
      </w:divBdr>
    </w:div>
    <w:div w:id="870998090">
      <w:bodyDiv w:val="1"/>
      <w:marLeft w:val="0"/>
      <w:marRight w:val="0"/>
      <w:marTop w:val="0"/>
      <w:marBottom w:val="0"/>
      <w:divBdr>
        <w:top w:val="none" w:sz="0" w:space="0" w:color="auto"/>
        <w:left w:val="none" w:sz="0" w:space="0" w:color="auto"/>
        <w:bottom w:val="none" w:sz="0" w:space="0" w:color="auto"/>
        <w:right w:val="none" w:sz="0" w:space="0" w:color="auto"/>
      </w:divBdr>
    </w:div>
    <w:div w:id="879323538">
      <w:bodyDiv w:val="1"/>
      <w:marLeft w:val="0"/>
      <w:marRight w:val="0"/>
      <w:marTop w:val="0"/>
      <w:marBottom w:val="0"/>
      <w:divBdr>
        <w:top w:val="none" w:sz="0" w:space="0" w:color="auto"/>
        <w:left w:val="none" w:sz="0" w:space="0" w:color="auto"/>
        <w:bottom w:val="none" w:sz="0" w:space="0" w:color="auto"/>
        <w:right w:val="none" w:sz="0" w:space="0" w:color="auto"/>
      </w:divBdr>
    </w:div>
    <w:div w:id="887493147">
      <w:bodyDiv w:val="1"/>
      <w:marLeft w:val="0"/>
      <w:marRight w:val="0"/>
      <w:marTop w:val="0"/>
      <w:marBottom w:val="0"/>
      <w:divBdr>
        <w:top w:val="none" w:sz="0" w:space="0" w:color="auto"/>
        <w:left w:val="none" w:sz="0" w:space="0" w:color="auto"/>
        <w:bottom w:val="none" w:sz="0" w:space="0" w:color="auto"/>
        <w:right w:val="none" w:sz="0" w:space="0" w:color="auto"/>
      </w:divBdr>
    </w:div>
    <w:div w:id="927301407">
      <w:bodyDiv w:val="1"/>
      <w:marLeft w:val="0"/>
      <w:marRight w:val="0"/>
      <w:marTop w:val="0"/>
      <w:marBottom w:val="0"/>
      <w:divBdr>
        <w:top w:val="none" w:sz="0" w:space="0" w:color="auto"/>
        <w:left w:val="none" w:sz="0" w:space="0" w:color="auto"/>
        <w:bottom w:val="none" w:sz="0" w:space="0" w:color="auto"/>
        <w:right w:val="none" w:sz="0" w:space="0" w:color="auto"/>
      </w:divBdr>
    </w:div>
    <w:div w:id="951669143">
      <w:bodyDiv w:val="1"/>
      <w:marLeft w:val="0"/>
      <w:marRight w:val="0"/>
      <w:marTop w:val="0"/>
      <w:marBottom w:val="0"/>
      <w:divBdr>
        <w:top w:val="none" w:sz="0" w:space="0" w:color="auto"/>
        <w:left w:val="none" w:sz="0" w:space="0" w:color="auto"/>
        <w:bottom w:val="none" w:sz="0" w:space="0" w:color="auto"/>
        <w:right w:val="none" w:sz="0" w:space="0" w:color="auto"/>
      </w:divBdr>
    </w:div>
    <w:div w:id="967971013">
      <w:bodyDiv w:val="1"/>
      <w:marLeft w:val="0"/>
      <w:marRight w:val="0"/>
      <w:marTop w:val="0"/>
      <w:marBottom w:val="0"/>
      <w:divBdr>
        <w:top w:val="none" w:sz="0" w:space="0" w:color="auto"/>
        <w:left w:val="none" w:sz="0" w:space="0" w:color="auto"/>
        <w:bottom w:val="none" w:sz="0" w:space="0" w:color="auto"/>
        <w:right w:val="none" w:sz="0" w:space="0" w:color="auto"/>
      </w:divBdr>
    </w:div>
    <w:div w:id="991103321">
      <w:bodyDiv w:val="1"/>
      <w:marLeft w:val="0"/>
      <w:marRight w:val="0"/>
      <w:marTop w:val="0"/>
      <w:marBottom w:val="0"/>
      <w:divBdr>
        <w:top w:val="none" w:sz="0" w:space="0" w:color="auto"/>
        <w:left w:val="none" w:sz="0" w:space="0" w:color="auto"/>
        <w:bottom w:val="none" w:sz="0" w:space="0" w:color="auto"/>
        <w:right w:val="none" w:sz="0" w:space="0" w:color="auto"/>
      </w:divBdr>
    </w:div>
    <w:div w:id="1006520714">
      <w:bodyDiv w:val="1"/>
      <w:marLeft w:val="0"/>
      <w:marRight w:val="0"/>
      <w:marTop w:val="0"/>
      <w:marBottom w:val="0"/>
      <w:divBdr>
        <w:top w:val="none" w:sz="0" w:space="0" w:color="auto"/>
        <w:left w:val="none" w:sz="0" w:space="0" w:color="auto"/>
        <w:bottom w:val="none" w:sz="0" w:space="0" w:color="auto"/>
        <w:right w:val="none" w:sz="0" w:space="0" w:color="auto"/>
      </w:divBdr>
    </w:div>
    <w:div w:id="1019358345">
      <w:bodyDiv w:val="1"/>
      <w:marLeft w:val="0"/>
      <w:marRight w:val="0"/>
      <w:marTop w:val="0"/>
      <w:marBottom w:val="0"/>
      <w:divBdr>
        <w:top w:val="none" w:sz="0" w:space="0" w:color="auto"/>
        <w:left w:val="none" w:sz="0" w:space="0" w:color="auto"/>
        <w:bottom w:val="none" w:sz="0" w:space="0" w:color="auto"/>
        <w:right w:val="none" w:sz="0" w:space="0" w:color="auto"/>
      </w:divBdr>
    </w:div>
    <w:div w:id="1036275955">
      <w:bodyDiv w:val="1"/>
      <w:marLeft w:val="0"/>
      <w:marRight w:val="0"/>
      <w:marTop w:val="0"/>
      <w:marBottom w:val="0"/>
      <w:divBdr>
        <w:top w:val="none" w:sz="0" w:space="0" w:color="auto"/>
        <w:left w:val="none" w:sz="0" w:space="0" w:color="auto"/>
        <w:bottom w:val="none" w:sz="0" w:space="0" w:color="auto"/>
        <w:right w:val="none" w:sz="0" w:space="0" w:color="auto"/>
      </w:divBdr>
    </w:div>
    <w:div w:id="1044017497">
      <w:bodyDiv w:val="1"/>
      <w:marLeft w:val="0"/>
      <w:marRight w:val="0"/>
      <w:marTop w:val="0"/>
      <w:marBottom w:val="0"/>
      <w:divBdr>
        <w:top w:val="none" w:sz="0" w:space="0" w:color="auto"/>
        <w:left w:val="none" w:sz="0" w:space="0" w:color="auto"/>
        <w:bottom w:val="none" w:sz="0" w:space="0" w:color="auto"/>
        <w:right w:val="none" w:sz="0" w:space="0" w:color="auto"/>
      </w:divBdr>
    </w:div>
    <w:div w:id="1047989089">
      <w:bodyDiv w:val="1"/>
      <w:marLeft w:val="0"/>
      <w:marRight w:val="0"/>
      <w:marTop w:val="0"/>
      <w:marBottom w:val="0"/>
      <w:divBdr>
        <w:top w:val="none" w:sz="0" w:space="0" w:color="auto"/>
        <w:left w:val="none" w:sz="0" w:space="0" w:color="auto"/>
        <w:bottom w:val="none" w:sz="0" w:space="0" w:color="auto"/>
        <w:right w:val="none" w:sz="0" w:space="0" w:color="auto"/>
      </w:divBdr>
    </w:div>
    <w:div w:id="1050154399">
      <w:bodyDiv w:val="1"/>
      <w:marLeft w:val="0"/>
      <w:marRight w:val="0"/>
      <w:marTop w:val="0"/>
      <w:marBottom w:val="0"/>
      <w:divBdr>
        <w:top w:val="none" w:sz="0" w:space="0" w:color="auto"/>
        <w:left w:val="none" w:sz="0" w:space="0" w:color="auto"/>
        <w:bottom w:val="none" w:sz="0" w:space="0" w:color="auto"/>
        <w:right w:val="none" w:sz="0" w:space="0" w:color="auto"/>
      </w:divBdr>
    </w:div>
    <w:div w:id="1105927033">
      <w:bodyDiv w:val="1"/>
      <w:marLeft w:val="0"/>
      <w:marRight w:val="0"/>
      <w:marTop w:val="0"/>
      <w:marBottom w:val="0"/>
      <w:divBdr>
        <w:top w:val="none" w:sz="0" w:space="0" w:color="auto"/>
        <w:left w:val="none" w:sz="0" w:space="0" w:color="auto"/>
        <w:bottom w:val="none" w:sz="0" w:space="0" w:color="auto"/>
        <w:right w:val="none" w:sz="0" w:space="0" w:color="auto"/>
      </w:divBdr>
    </w:div>
    <w:div w:id="1116632200">
      <w:bodyDiv w:val="1"/>
      <w:marLeft w:val="0"/>
      <w:marRight w:val="0"/>
      <w:marTop w:val="0"/>
      <w:marBottom w:val="0"/>
      <w:divBdr>
        <w:top w:val="none" w:sz="0" w:space="0" w:color="auto"/>
        <w:left w:val="none" w:sz="0" w:space="0" w:color="auto"/>
        <w:bottom w:val="none" w:sz="0" w:space="0" w:color="auto"/>
        <w:right w:val="none" w:sz="0" w:space="0" w:color="auto"/>
      </w:divBdr>
    </w:div>
    <w:div w:id="1164513838">
      <w:bodyDiv w:val="1"/>
      <w:marLeft w:val="0"/>
      <w:marRight w:val="0"/>
      <w:marTop w:val="0"/>
      <w:marBottom w:val="0"/>
      <w:divBdr>
        <w:top w:val="none" w:sz="0" w:space="0" w:color="auto"/>
        <w:left w:val="none" w:sz="0" w:space="0" w:color="auto"/>
        <w:bottom w:val="none" w:sz="0" w:space="0" w:color="auto"/>
        <w:right w:val="none" w:sz="0" w:space="0" w:color="auto"/>
      </w:divBdr>
    </w:div>
    <w:div w:id="1166431930">
      <w:bodyDiv w:val="1"/>
      <w:marLeft w:val="0"/>
      <w:marRight w:val="0"/>
      <w:marTop w:val="0"/>
      <w:marBottom w:val="0"/>
      <w:divBdr>
        <w:top w:val="none" w:sz="0" w:space="0" w:color="auto"/>
        <w:left w:val="none" w:sz="0" w:space="0" w:color="auto"/>
        <w:bottom w:val="none" w:sz="0" w:space="0" w:color="auto"/>
        <w:right w:val="none" w:sz="0" w:space="0" w:color="auto"/>
      </w:divBdr>
    </w:div>
    <w:div w:id="1206797198">
      <w:bodyDiv w:val="1"/>
      <w:marLeft w:val="0"/>
      <w:marRight w:val="0"/>
      <w:marTop w:val="0"/>
      <w:marBottom w:val="0"/>
      <w:divBdr>
        <w:top w:val="none" w:sz="0" w:space="0" w:color="auto"/>
        <w:left w:val="none" w:sz="0" w:space="0" w:color="auto"/>
        <w:bottom w:val="none" w:sz="0" w:space="0" w:color="auto"/>
        <w:right w:val="none" w:sz="0" w:space="0" w:color="auto"/>
      </w:divBdr>
    </w:div>
    <w:div w:id="1209336143">
      <w:bodyDiv w:val="1"/>
      <w:marLeft w:val="0"/>
      <w:marRight w:val="0"/>
      <w:marTop w:val="0"/>
      <w:marBottom w:val="0"/>
      <w:divBdr>
        <w:top w:val="none" w:sz="0" w:space="0" w:color="auto"/>
        <w:left w:val="none" w:sz="0" w:space="0" w:color="auto"/>
        <w:bottom w:val="none" w:sz="0" w:space="0" w:color="auto"/>
        <w:right w:val="none" w:sz="0" w:space="0" w:color="auto"/>
      </w:divBdr>
      <w:divsChild>
        <w:div w:id="186994125">
          <w:marLeft w:val="0"/>
          <w:marRight w:val="0"/>
          <w:marTop w:val="0"/>
          <w:marBottom w:val="0"/>
          <w:divBdr>
            <w:top w:val="none" w:sz="0" w:space="0" w:color="auto"/>
            <w:left w:val="none" w:sz="0" w:space="0" w:color="auto"/>
            <w:bottom w:val="none" w:sz="0" w:space="0" w:color="auto"/>
            <w:right w:val="none" w:sz="0" w:space="0" w:color="auto"/>
          </w:divBdr>
          <w:divsChild>
            <w:div w:id="559630681">
              <w:marLeft w:val="0"/>
              <w:marRight w:val="0"/>
              <w:marTop w:val="300"/>
              <w:marBottom w:val="0"/>
              <w:divBdr>
                <w:top w:val="none" w:sz="0" w:space="0" w:color="auto"/>
                <w:left w:val="none" w:sz="0" w:space="0" w:color="auto"/>
                <w:bottom w:val="none" w:sz="0" w:space="0" w:color="auto"/>
                <w:right w:val="none" w:sz="0" w:space="0" w:color="auto"/>
              </w:divBdr>
              <w:divsChild>
                <w:div w:id="502743999">
                  <w:marLeft w:val="0"/>
                  <w:marRight w:val="0"/>
                  <w:marTop w:val="0"/>
                  <w:marBottom w:val="0"/>
                  <w:divBdr>
                    <w:top w:val="none" w:sz="0" w:space="0" w:color="auto"/>
                    <w:left w:val="none" w:sz="0" w:space="0" w:color="auto"/>
                    <w:bottom w:val="none" w:sz="0" w:space="0" w:color="auto"/>
                    <w:right w:val="none" w:sz="0" w:space="0" w:color="auto"/>
                  </w:divBdr>
                  <w:divsChild>
                    <w:div w:id="2073237426">
                      <w:marLeft w:val="150"/>
                      <w:marRight w:val="150"/>
                      <w:marTop w:val="0"/>
                      <w:marBottom w:val="0"/>
                      <w:divBdr>
                        <w:top w:val="none" w:sz="0" w:space="0" w:color="auto"/>
                        <w:left w:val="none" w:sz="0" w:space="0" w:color="auto"/>
                        <w:bottom w:val="none" w:sz="0" w:space="0" w:color="auto"/>
                        <w:right w:val="none" w:sz="0" w:space="0" w:color="auto"/>
                      </w:divBdr>
                      <w:divsChild>
                        <w:div w:id="96557936">
                          <w:marLeft w:val="0"/>
                          <w:marRight w:val="0"/>
                          <w:marTop w:val="0"/>
                          <w:marBottom w:val="0"/>
                          <w:divBdr>
                            <w:top w:val="none" w:sz="0" w:space="0" w:color="auto"/>
                            <w:left w:val="none" w:sz="0" w:space="0" w:color="auto"/>
                            <w:bottom w:val="none" w:sz="0" w:space="0" w:color="auto"/>
                            <w:right w:val="none" w:sz="0" w:space="0" w:color="auto"/>
                          </w:divBdr>
                          <w:divsChild>
                            <w:div w:id="1704942762">
                              <w:marLeft w:val="0"/>
                              <w:marRight w:val="0"/>
                              <w:marTop w:val="0"/>
                              <w:marBottom w:val="0"/>
                              <w:divBdr>
                                <w:top w:val="none" w:sz="0" w:space="0" w:color="auto"/>
                                <w:left w:val="none" w:sz="0" w:space="0" w:color="auto"/>
                                <w:bottom w:val="none" w:sz="0" w:space="0" w:color="auto"/>
                                <w:right w:val="none" w:sz="0" w:space="0" w:color="auto"/>
                              </w:divBdr>
                              <w:divsChild>
                                <w:div w:id="1428188691">
                                  <w:marLeft w:val="0"/>
                                  <w:marRight w:val="0"/>
                                  <w:marTop w:val="0"/>
                                  <w:marBottom w:val="0"/>
                                  <w:divBdr>
                                    <w:top w:val="none" w:sz="0" w:space="0" w:color="auto"/>
                                    <w:left w:val="none" w:sz="0" w:space="0" w:color="auto"/>
                                    <w:bottom w:val="none" w:sz="0" w:space="0" w:color="auto"/>
                                    <w:right w:val="none" w:sz="0" w:space="0" w:color="auto"/>
                                  </w:divBdr>
                                  <w:divsChild>
                                    <w:div w:id="181936719">
                                      <w:marLeft w:val="0"/>
                                      <w:marRight w:val="0"/>
                                      <w:marTop w:val="0"/>
                                      <w:marBottom w:val="0"/>
                                      <w:divBdr>
                                        <w:top w:val="none" w:sz="0" w:space="0" w:color="auto"/>
                                        <w:left w:val="none" w:sz="0" w:space="0" w:color="auto"/>
                                        <w:bottom w:val="none" w:sz="0" w:space="0" w:color="auto"/>
                                        <w:right w:val="none" w:sz="0" w:space="0" w:color="auto"/>
                                      </w:divBdr>
                                      <w:divsChild>
                                        <w:div w:id="846987768">
                                          <w:marLeft w:val="0"/>
                                          <w:marRight w:val="0"/>
                                          <w:marTop w:val="0"/>
                                          <w:marBottom w:val="0"/>
                                          <w:divBdr>
                                            <w:top w:val="none" w:sz="0" w:space="0" w:color="auto"/>
                                            <w:left w:val="none" w:sz="0" w:space="0" w:color="auto"/>
                                            <w:bottom w:val="none" w:sz="0" w:space="0" w:color="auto"/>
                                            <w:right w:val="none" w:sz="0" w:space="0" w:color="auto"/>
                                          </w:divBdr>
                                          <w:divsChild>
                                            <w:div w:id="1355037274">
                                              <w:marLeft w:val="0"/>
                                              <w:marRight w:val="0"/>
                                              <w:marTop w:val="0"/>
                                              <w:marBottom w:val="0"/>
                                              <w:divBdr>
                                                <w:top w:val="none" w:sz="0" w:space="0" w:color="auto"/>
                                                <w:left w:val="none" w:sz="0" w:space="0" w:color="auto"/>
                                                <w:bottom w:val="none" w:sz="0" w:space="0" w:color="auto"/>
                                                <w:right w:val="none" w:sz="0" w:space="0" w:color="auto"/>
                                              </w:divBdr>
                                              <w:divsChild>
                                                <w:div w:id="112940390">
                                                  <w:marLeft w:val="0"/>
                                                  <w:marRight w:val="0"/>
                                                  <w:marTop w:val="0"/>
                                                  <w:marBottom w:val="0"/>
                                                  <w:divBdr>
                                                    <w:top w:val="none" w:sz="0" w:space="0" w:color="auto"/>
                                                    <w:left w:val="none" w:sz="0" w:space="0" w:color="auto"/>
                                                    <w:bottom w:val="none" w:sz="0" w:space="0" w:color="auto"/>
                                                    <w:right w:val="none" w:sz="0" w:space="0" w:color="auto"/>
                                                  </w:divBdr>
                                                  <w:divsChild>
                                                    <w:div w:id="11860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9358789">
      <w:bodyDiv w:val="1"/>
      <w:marLeft w:val="0"/>
      <w:marRight w:val="0"/>
      <w:marTop w:val="0"/>
      <w:marBottom w:val="0"/>
      <w:divBdr>
        <w:top w:val="none" w:sz="0" w:space="0" w:color="auto"/>
        <w:left w:val="none" w:sz="0" w:space="0" w:color="auto"/>
        <w:bottom w:val="none" w:sz="0" w:space="0" w:color="auto"/>
        <w:right w:val="none" w:sz="0" w:space="0" w:color="auto"/>
      </w:divBdr>
    </w:div>
    <w:div w:id="1400864603">
      <w:bodyDiv w:val="1"/>
      <w:marLeft w:val="0"/>
      <w:marRight w:val="0"/>
      <w:marTop w:val="0"/>
      <w:marBottom w:val="0"/>
      <w:divBdr>
        <w:top w:val="none" w:sz="0" w:space="0" w:color="auto"/>
        <w:left w:val="none" w:sz="0" w:space="0" w:color="auto"/>
        <w:bottom w:val="none" w:sz="0" w:space="0" w:color="auto"/>
        <w:right w:val="none" w:sz="0" w:space="0" w:color="auto"/>
      </w:divBdr>
      <w:divsChild>
        <w:div w:id="684865422">
          <w:marLeft w:val="0"/>
          <w:marRight w:val="0"/>
          <w:marTop w:val="0"/>
          <w:marBottom w:val="0"/>
          <w:divBdr>
            <w:top w:val="none" w:sz="0" w:space="0" w:color="auto"/>
            <w:left w:val="none" w:sz="0" w:space="0" w:color="auto"/>
            <w:bottom w:val="none" w:sz="0" w:space="0" w:color="auto"/>
            <w:right w:val="none" w:sz="0" w:space="0" w:color="auto"/>
          </w:divBdr>
          <w:divsChild>
            <w:div w:id="1455292457">
              <w:marLeft w:val="0"/>
              <w:marRight w:val="0"/>
              <w:marTop w:val="0"/>
              <w:marBottom w:val="0"/>
              <w:divBdr>
                <w:top w:val="none" w:sz="0" w:space="0" w:color="auto"/>
                <w:left w:val="none" w:sz="0" w:space="0" w:color="auto"/>
                <w:bottom w:val="none" w:sz="0" w:space="0" w:color="auto"/>
                <w:right w:val="none" w:sz="0" w:space="0" w:color="auto"/>
              </w:divBdr>
              <w:divsChild>
                <w:div w:id="1637754421">
                  <w:marLeft w:val="0"/>
                  <w:marRight w:val="0"/>
                  <w:marTop w:val="0"/>
                  <w:marBottom w:val="0"/>
                  <w:divBdr>
                    <w:top w:val="none" w:sz="0" w:space="0" w:color="auto"/>
                    <w:left w:val="none" w:sz="0" w:space="0" w:color="auto"/>
                    <w:bottom w:val="none" w:sz="0" w:space="0" w:color="auto"/>
                    <w:right w:val="none" w:sz="0" w:space="0" w:color="auto"/>
                  </w:divBdr>
                  <w:divsChild>
                    <w:div w:id="1881621734">
                      <w:marLeft w:val="0"/>
                      <w:marRight w:val="0"/>
                      <w:marTop w:val="0"/>
                      <w:marBottom w:val="0"/>
                      <w:divBdr>
                        <w:top w:val="none" w:sz="0" w:space="0" w:color="auto"/>
                        <w:left w:val="none" w:sz="0" w:space="0" w:color="auto"/>
                        <w:bottom w:val="none" w:sz="0" w:space="0" w:color="auto"/>
                        <w:right w:val="none" w:sz="0" w:space="0" w:color="auto"/>
                      </w:divBdr>
                    </w:div>
                    <w:div w:id="17850809">
                      <w:marLeft w:val="0"/>
                      <w:marRight w:val="0"/>
                      <w:marTop w:val="0"/>
                      <w:marBottom w:val="0"/>
                      <w:divBdr>
                        <w:top w:val="none" w:sz="0" w:space="0" w:color="auto"/>
                        <w:left w:val="none" w:sz="0" w:space="0" w:color="auto"/>
                        <w:bottom w:val="none" w:sz="0" w:space="0" w:color="auto"/>
                        <w:right w:val="none" w:sz="0" w:space="0" w:color="auto"/>
                      </w:divBdr>
                    </w:div>
                    <w:div w:id="192853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794886">
      <w:bodyDiv w:val="1"/>
      <w:marLeft w:val="0"/>
      <w:marRight w:val="0"/>
      <w:marTop w:val="0"/>
      <w:marBottom w:val="0"/>
      <w:divBdr>
        <w:top w:val="none" w:sz="0" w:space="0" w:color="auto"/>
        <w:left w:val="none" w:sz="0" w:space="0" w:color="auto"/>
        <w:bottom w:val="none" w:sz="0" w:space="0" w:color="auto"/>
        <w:right w:val="none" w:sz="0" w:space="0" w:color="auto"/>
      </w:divBdr>
    </w:div>
    <w:div w:id="1469395538">
      <w:bodyDiv w:val="1"/>
      <w:marLeft w:val="0"/>
      <w:marRight w:val="0"/>
      <w:marTop w:val="0"/>
      <w:marBottom w:val="0"/>
      <w:divBdr>
        <w:top w:val="none" w:sz="0" w:space="0" w:color="auto"/>
        <w:left w:val="none" w:sz="0" w:space="0" w:color="auto"/>
        <w:bottom w:val="none" w:sz="0" w:space="0" w:color="auto"/>
        <w:right w:val="none" w:sz="0" w:space="0" w:color="auto"/>
      </w:divBdr>
    </w:div>
    <w:div w:id="1518421599">
      <w:bodyDiv w:val="1"/>
      <w:marLeft w:val="0"/>
      <w:marRight w:val="0"/>
      <w:marTop w:val="0"/>
      <w:marBottom w:val="0"/>
      <w:divBdr>
        <w:top w:val="none" w:sz="0" w:space="0" w:color="auto"/>
        <w:left w:val="none" w:sz="0" w:space="0" w:color="auto"/>
        <w:bottom w:val="none" w:sz="0" w:space="0" w:color="auto"/>
        <w:right w:val="none" w:sz="0" w:space="0" w:color="auto"/>
      </w:divBdr>
    </w:div>
    <w:div w:id="1525513866">
      <w:bodyDiv w:val="1"/>
      <w:marLeft w:val="0"/>
      <w:marRight w:val="0"/>
      <w:marTop w:val="0"/>
      <w:marBottom w:val="0"/>
      <w:divBdr>
        <w:top w:val="none" w:sz="0" w:space="0" w:color="auto"/>
        <w:left w:val="none" w:sz="0" w:space="0" w:color="auto"/>
        <w:bottom w:val="none" w:sz="0" w:space="0" w:color="auto"/>
        <w:right w:val="none" w:sz="0" w:space="0" w:color="auto"/>
      </w:divBdr>
    </w:div>
    <w:div w:id="1625310017">
      <w:bodyDiv w:val="1"/>
      <w:marLeft w:val="0"/>
      <w:marRight w:val="0"/>
      <w:marTop w:val="0"/>
      <w:marBottom w:val="0"/>
      <w:divBdr>
        <w:top w:val="none" w:sz="0" w:space="0" w:color="auto"/>
        <w:left w:val="none" w:sz="0" w:space="0" w:color="auto"/>
        <w:bottom w:val="none" w:sz="0" w:space="0" w:color="auto"/>
        <w:right w:val="none" w:sz="0" w:space="0" w:color="auto"/>
      </w:divBdr>
    </w:div>
    <w:div w:id="1629360798">
      <w:bodyDiv w:val="1"/>
      <w:marLeft w:val="0"/>
      <w:marRight w:val="0"/>
      <w:marTop w:val="0"/>
      <w:marBottom w:val="0"/>
      <w:divBdr>
        <w:top w:val="none" w:sz="0" w:space="0" w:color="auto"/>
        <w:left w:val="none" w:sz="0" w:space="0" w:color="auto"/>
        <w:bottom w:val="none" w:sz="0" w:space="0" w:color="auto"/>
        <w:right w:val="none" w:sz="0" w:space="0" w:color="auto"/>
      </w:divBdr>
    </w:div>
    <w:div w:id="1631788058">
      <w:bodyDiv w:val="1"/>
      <w:marLeft w:val="0"/>
      <w:marRight w:val="0"/>
      <w:marTop w:val="0"/>
      <w:marBottom w:val="0"/>
      <w:divBdr>
        <w:top w:val="none" w:sz="0" w:space="0" w:color="auto"/>
        <w:left w:val="none" w:sz="0" w:space="0" w:color="auto"/>
        <w:bottom w:val="none" w:sz="0" w:space="0" w:color="auto"/>
        <w:right w:val="none" w:sz="0" w:space="0" w:color="auto"/>
      </w:divBdr>
    </w:div>
    <w:div w:id="1631933144">
      <w:bodyDiv w:val="1"/>
      <w:marLeft w:val="0"/>
      <w:marRight w:val="0"/>
      <w:marTop w:val="0"/>
      <w:marBottom w:val="0"/>
      <w:divBdr>
        <w:top w:val="none" w:sz="0" w:space="0" w:color="auto"/>
        <w:left w:val="none" w:sz="0" w:space="0" w:color="auto"/>
        <w:bottom w:val="none" w:sz="0" w:space="0" w:color="auto"/>
        <w:right w:val="none" w:sz="0" w:space="0" w:color="auto"/>
      </w:divBdr>
    </w:div>
    <w:div w:id="1654291921">
      <w:bodyDiv w:val="1"/>
      <w:marLeft w:val="0"/>
      <w:marRight w:val="0"/>
      <w:marTop w:val="0"/>
      <w:marBottom w:val="0"/>
      <w:divBdr>
        <w:top w:val="none" w:sz="0" w:space="0" w:color="auto"/>
        <w:left w:val="none" w:sz="0" w:space="0" w:color="auto"/>
        <w:bottom w:val="none" w:sz="0" w:space="0" w:color="auto"/>
        <w:right w:val="none" w:sz="0" w:space="0" w:color="auto"/>
      </w:divBdr>
    </w:div>
    <w:div w:id="1671906003">
      <w:bodyDiv w:val="1"/>
      <w:marLeft w:val="0"/>
      <w:marRight w:val="0"/>
      <w:marTop w:val="0"/>
      <w:marBottom w:val="0"/>
      <w:divBdr>
        <w:top w:val="none" w:sz="0" w:space="0" w:color="auto"/>
        <w:left w:val="none" w:sz="0" w:space="0" w:color="auto"/>
        <w:bottom w:val="none" w:sz="0" w:space="0" w:color="auto"/>
        <w:right w:val="none" w:sz="0" w:space="0" w:color="auto"/>
      </w:divBdr>
    </w:div>
    <w:div w:id="1689674304">
      <w:bodyDiv w:val="1"/>
      <w:marLeft w:val="0"/>
      <w:marRight w:val="0"/>
      <w:marTop w:val="0"/>
      <w:marBottom w:val="0"/>
      <w:divBdr>
        <w:top w:val="none" w:sz="0" w:space="0" w:color="auto"/>
        <w:left w:val="none" w:sz="0" w:space="0" w:color="auto"/>
        <w:bottom w:val="none" w:sz="0" w:space="0" w:color="auto"/>
        <w:right w:val="none" w:sz="0" w:space="0" w:color="auto"/>
      </w:divBdr>
    </w:div>
    <w:div w:id="1694190565">
      <w:bodyDiv w:val="1"/>
      <w:marLeft w:val="0"/>
      <w:marRight w:val="0"/>
      <w:marTop w:val="0"/>
      <w:marBottom w:val="0"/>
      <w:divBdr>
        <w:top w:val="none" w:sz="0" w:space="0" w:color="auto"/>
        <w:left w:val="none" w:sz="0" w:space="0" w:color="auto"/>
        <w:bottom w:val="none" w:sz="0" w:space="0" w:color="auto"/>
        <w:right w:val="none" w:sz="0" w:space="0" w:color="auto"/>
      </w:divBdr>
    </w:div>
    <w:div w:id="1697609826">
      <w:bodyDiv w:val="1"/>
      <w:marLeft w:val="0"/>
      <w:marRight w:val="0"/>
      <w:marTop w:val="0"/>
      <w:marBottom w:val="0"/>
      <w:divBdr>
        <w:top w:val="none" w:sz="0" w:space="0" w:color="auto"/>
        <w:left w:val="none" w:sz="0" w:space="0" w:color="auto"/>
        <w:bottom w:val="none" w:sz="0" w:space="0" w:color="auto"/>
        <w:right w:val="none" w:sz="0" w:space="0" w:color="auto"/>
      </w:divBdr>
    </w:div>
    <w:div w:id="1724870048">
      <w:bodyDiv w:val="1"/>
      <w:marLeft w:val="0"/>
      <w:marRight w:val="0"/>
      <w:marTop w:val="0"/>
      <w:marBottom w:val="0"/>
      <w:divBdr>
        <w:top w:val="none" w:sz="0" w:space="0" w:color="auto"/>
        <w:left w:val="none" w:sz="0" w:space="0" w:color="auto"/>
        <w:bottom w:val="none" w:sz="0" w:space="0" w:color="auto"/>
        <w:right w:val="none" w:sz="0" w:space="0" w:color="auto"/>
      </w:divBdr>
    </w:div>
    <w:div w:id="1752308738">
      <w:bodyDiv w:val="1"/>
      <w:marLeft w:val="0"/>
      <w:marRight w:val="0"/>
      <w:marTop w:val="0"/>
      <w:marBottom w:val="0"/>
      <w:divBdr>
        <w:top w:val="none" w:sz="0" w:space="0" w:color="auto"/>
        <w:left w:val="none" w:sz="0" w:space="0" w:color="auto"/>
        <w:bottom w:val="none" w:sz="0" w:space="0" w:color="auto"/>
        <w:right w:val="none" w:sz="0" w:space="0" w:color="auto"/>
      </w:divBdr>
    </w:div>
    <w:div w:id="1762604725">
      <w:bodyDiv w:val="1"/>
      <w:marLeft w:val="0"/>
      <w:marRight w:val="0"/>
      <w:marTop w:val="0"/>
      <w:marBottom w:val="0"/>
      <w:divBdr>
        <w:top w:val="none" w:sz="0" w:space="0" w:color="auto"/>
        <w:left w:val="none" w:sz="0" w:space="0" w:color="auto"/>
        <w:bottom w:val="none" w:sz="0" w:space="0" w:color="auto"/>
        <w:right w:val="none" w:sz="0" w:space="0" w:color="auto"/>
      </w:divBdr>
    </w:div>
    <w:div w:id="1774200315">
      <w:bodyDiv w:val="1"/>
      <w:marLeft w:val="0"/>
      <w:marRight w:val="0"/>
      <w:marTop w:val="0"/>
      <w:marBottom w:val="0"/>
      <w:divBdr>
        <w:top w:val="none" w:sz="0" w:space="0" w:color="auto"/>
        <w:left w:val="none" w:sz="0" w:space="0" w:color="auto"/>
        <w:bottom w:val="none" w:sz="0" w:space="0" w:color="auto"/>
        <w:right w:val="none" w:sz="0" w:space="0" w:color="auto"/>
      </w:divBdr>
    </w:div>
    <w:div w:id="1781871944">
      <w:bodyDiv w:val="1"/>
      <w:marLeft w:val="0"/>
      <w:marRight w:val="0"/>
      <w:marTop w:val="0"/>
      <w:marBottom w:val="0"/>
      <w:divBdr>
        <w:top w:val="none" w:sz="0" w:space="0" w:color="auto"/>
        <w:left w:val="none" w:sz="0" w:space="0" w:color="auto"/>
        <w:bottom w:val="none" w:sz="0" w:space="0" w:color="auto"/>
        <w:right w:val="none" w:sz="0" w:space="0" w:color="auto"/>
      </w:divBdr>
    </w:div>
    <w:div w:id="1839342358">
      <w:bodyDiv w:val="1"/>
      <w:marLeft w:val="0"/>
      <w:marRight w:val="0"/>
      <w:marTop w:val="0"/>
      <w:marBottom w:val="0"/>
      <w:divBdr>
        <w:top w:val="none" w:sz="0" w:space="0" w:color="auto"/>
        <w:left w:val="none" w:sz="0" w:space="0" w:color="auto"/>
        <w:bottom w:val="none" w:sz="0" w:space="0" w:color="auto"/>
        <w:right w:val="none" w:sz="0" w:space="0" w:color="auto"/>
      </w:divBdr>
    </w:div>
    <w:div w:id="1844662405">
      <w:bodyDiv w:val="1"/>
      <w:marLeft w:val="0"/>
      <w:marRight w:val="0"/>
      <w:marTop w:val="0"/>
      <w:marBottom w:val="0"/>
      <w:divBdr>
        <w:top w:val="none" w:sz="0" w:space="0" w:color="auto"/>
        <w:left w:val="none" w:sz="0" w:space="0" w:color="auto"/>
        <w:bottom w:val="none" w:sz="0" w:space="0" w:color="auto"/>
        <w:right w:val="none" w:sz="0" w:space="0" w:color="auto"/>
      </w:divBdr>
    </w:div>
    <w:div w:id="1865245070">
      <w:bodyDiv w:val="1"/>
      <w:marLeft w:val="0"/>
      <w:marRight w:val="0"/>
      <w:marTop w:val="0"/>
      <w:marBottom w:val="0"/>
      <w:divBdr>
        <w:top w:val="none" w:sz="0" w:space="0" w:color="auto"/>
        <w:left w:val="none" w:sz="0" w:space="0" w:color="auto"/>
        <w:bottom w:val="none" w:sz="0" w:space="0" w:color="auto"/>
        <w:right w:val="none" w:sz="0" w:space="0" w:color="auto"/>
      </w:divBdr>
    </w:div>
    <w:div w:id="1865972006">
      <w:bodyDiv w:val="1"/>
      <w:marLeft w:val="0"/>
      <w:marRight w:val="0"/>
      <w:marTop w:val="0"/>
      <w:marBottom w:val="0"/>
      <w:divBdr>
        <w:top w:val="none" w:sz="0" w:space="0" w:color="auto"/>
        <w:left w:val="none" w:sz="0" w:space="0" w:color="auto"/>
        <w:bottom w:val="none" w:sz="0" w:space="0" w:color="auto"/>
        <w:right w:val="none" w:sz="0" w:space="0" w:color="auto"/>
      </w:divBdr>
    </w:div>
    <w:div w:id="1869953092">
      <w:bodyDiv w:val="1"/>
      <w:marLeft w:val="0"/>
      <w:marRight w:val="0"/>
      <w:marTop w:val="0"/>
      <w:marBottom w:val="0"/>
      <w:divBdr>
        <w:top w:val="none" w:sz="0" w:space="0" w:color="auto"/>
        <w:left w:val="none" w:sz="0" w:space="0" w:color="auto"/>
        <w:bottom w:val="none" w:sz="0" w:space="0" w:color="auto"/>
        <w:right w:val="none" w:sz="0" w:space="0" w:color="auto"/>
      </w:divBdr>
    </w:div>
    <w:div w:id="1921988140">
      <w:bodyDiv w:val="1"/>
      <w:marLeft w:val="0"/>
      <w:marRight w:val="0"/>
      <w:marTop w:val="0"/>
      <w:marBottom w:val="0"/>
      <w:divBdr>
        <w:top w:val="none" w:sz="0" w:space="0" w:color="auto"/>
        <w:left w:val="none" w:sz="0" w:space="0" w:color="auto"/>
        <w:bottom w:val="none" w:sz="0" w:space="0" w:color="auto"/>
        <w:right w:val="none" w:sz="0" w:space="0" w:color="auto"/>
      </w:divBdr>
    </w:div>
    <w:div w:id="1960526788">
      <w:bodyDiv w:val="1"/>
      <w:marLeft w:val="0"/>
      <w:marRight w:val="0"/>
      <w:marTop w:val="0"/>
      <w:marBottom w:val="0"/>
      <w:divBdr>
        <w:top w:val="none" w:sz="0" w:space="0" w:color="auto"/>
        <w:left w:val="none" w:sz="0" w:space="0" w:color="auto"/>
        <w:bottom w:val="none" w:sz="0" w:space="0" w:color="auto"/>
        <w:right w:val="none" w:sz="0" w:space="0" w:color="auto"/>
      </w:divBdr>
    </w:div>
    <w:div w:id="1991012346">
      <w:bodyDiv w:val="1"/>
      <w:marLeft w:val="0"/>
      <w:marRight w:val="0"/>
      <w:marTop w:val="0"/>
      <w:marBottom w:val="0"/>
      <w:divBdr>
        <w:top w:val="none" w:sz="0" w:space="0" w:color="auto"/>
        <w:left w:val="none" w:sz="0" w:space="0" w:color="auto"/>
        <w:bottom w:val="none" w:sz="0" w:space="0" w:color="auto"/>
        <w:right w:val="none" w:sz="0" w:space="0" w:color="auto"/>
      </w:divBdr>
    </w:div>
    <w:div w:id="2022008664">
      <w:bodyDiv w:val="1"/>
      <w:marLeft w:val="0"/>
      <w:marRight w:val="0"/>
      <w:marTop w:val="0"/>
      <w:marBottom w:val="0"/>
      <w:divBdr>
        <w:top w:val="none" w:sz="0" w:space="0" w:color="auto"/>
        <w:left w:val="none" w:sz="0" w:space="0" w:color="auto"/>
        <w:bottom w:val="none" w:sz="0" w:space="0" w:color="auto"/>
        <w:right w:val="none" w:sz="0" w:space="0" w:color="auto"/>
      </w:divBdr>
    </w:div>
    <w:div w:id="2028561920">
      <w:bodyDiv w:val="1"/>
      <w:marLeft w:val="0"/>
      <w:marRight w:val="0"/>
      <w:marTop w:val="0"/>
      <w:marBottom w:val="0"/>
      <w:divBdr>
        <w:top w:val="none" w:sz="0" w:space="0" w:color="auto"/>
        <w:left w:val="none" w:sz="0" w:space="0" w:color="auto"/>
        <w:bottom w:val="none" w:sz="0" w:space="0" w:color="auto"/>
        <w:right w:val="none" w:sz="0" w:space="0" w:color="auto"/>
      </w:divBdr>
    </w:div>
    <w:div w:id="2063940362">
      <w:bodyDiv w:val="1"/>
      <w:marLeft w:val="0"/>
      <w:marRight w:val="0"/>
      <w:marTop w:val="0"/>
      <w:marBottom w:val="0"/>
      <w:divBdr>
        <w:top w:val="none" w:sz="0" w:space="0" w:color="auto"/>
        <w:left w:val="none" w:sz="0" w:space="0" w:color="auto"/>
        <w:bottom w:val="none" w:sz="0" w:space="0" w:color="auto"/>
        <w:right w:val="none" w:sz="0" w:space="0" w:color="auto"/>
      </w:divBdr>
    </w:div>
    <w:div w:id="2064986461">
      <w:bodyDiv w:val="1"/>
      <w:marLeft w:val="0"/>
      <w:marRight w:val="0"/>
      <w:marTop w:val="0"/>
      <w:marBottom w:val="0"/>
      <w:divBdr>
        <w:top w:val="none" w:sz="0" w:space="0" w:color="auto"/>
        <w:left w:val="none" w:sz="0" w:space="0" w:color="auto"/>
        <w:bottom w:val="none" w:sz="0" w:space="0" w:color="auto"/>
        <w:right w:val="none" w:sz="0" w:space="0" w:color="auto"/>
      </w:divBdr>
    </w:div>
    <w:div w:id="2070573862">
      <w:bodyDiv w:val="1"/>
      <w:marLeft w:val="0"/>
      <w:marRight w:val="0"/>
      <w:marTop w:val="0"/>
      <w:marBottom w:val="0"/>
      <w:divBdr>
        <w:top w:val="none" w:sz="0" w:space="0" w:color="auto"/>
        <w:left w:val="none" w:sz="0" w:space="0" w:color="auto"/>
        <w:bottom w:val="none" w:sz="0" w:space="0" w:color="auto"/>
        <w:right w:val="none" w:sz="0" w:space="0" w:color="auto"/>
      </w:divBdr>
    </w:div>
    <w:div w:id="2087261918">
      <w:bodyDiv w:val="1"/>
      <w:marLeft w:val="0"/>
      <w:marRight w:val="0"/>
      <w:marTop w:val="0"/>
      <w:marBottom w:val="0"/>
      <w:divBdr>
        <w:top w:val="none" w:sz="0" w:space="0" w:color="auto"/>
        <w:left w:val="none" w:sz="0" w:space="0" w:color="auto"/>
        <w:bottom w:val="none" w:sz="0" w:space="0" w:color="auto"/>
        <w:right w:val="none" w:sz="0" w:space="0" w:color="auto"/>
      </w:divBdr>
    </w:div>
    <w:div w:id="2099324630">
      <w:bodyDiv w:val="1"/>
      <w:marLeft w:val="0"/>
      <w:marRight w:val="0"/>
      <w:marTop w:val="0"/>
      <w:marBottom w:val="0"/>
      <w:divBdr>
        <w:top w:val="none" w:sz="0" w:space="0" w:color="auto"/>
        <w:left w:val="none" w:sz="0" w:space="0" w:color="auto"/>
        <w:bottom w:val="none" w:sz="0" w:space="0" w:color="auto"/>
        <w:right w:val="none" w:sz="0" w:space="0" w:color="auto"/>
      </w:divBdr>
    </w:div>
    <w:div w:id="2109496506">
      <w:bodyDiv w:val="1"/>
      <w:marLeft w:val="0"/>
      <w:marRight w:val="0"/>
      <w:marTop w:val="0"/>
      <w:marBottom w:val="0"/>
      <w:divBdr>
        <w:top w:val="none" w:sz="0" w:space="0" w:color="auto"/>
        <w:left w:val="none" w:sz="0" w:space="0" w:color="auto"/>
        <w:bottom w:val="none" w:sz="0" w:space="0" w:color="auto"/>
        <w:right w:val="none" w:sz="0" w:space="0" w:color="auto"/>
      </w:divBdr>
    </w:div>
    <w:div w:id="210980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oeuk.org.uk/manifesto/" TargetMode="External"/><Relationship Id="rId13" Type="http://schemas.openxmlformats.org/officeDocument/2006/relationships/hyperlink" Target="https://www.energyvoice.com/oilandgas/north-sea/553700/new-report-finds-north-sea-could-lose-100000-jobs-under-labour-windfall-tax-plans/" TargetMode="External"/><Relationship Id="rId3" Type="http://schemas.openxmlformats.org/officeDocument/2006/relationships/hyperlink" Target="https://www.gov.uk/government/publications/spring-budget-2024" TargetMode="External"/><Relationship Id="rId7" Type="http://schemas.openxmlformats.org/officeDocument/2006/relationships/hyperlink" Target="https://www.offshore-mag.com/regional-reports/north-sea-europe/article/14310742/oeuk-urges-more-positive-uk-offshore-energy-policy" TargetMode="External"/><Relationship Id="rId12" Type="http://schemas.openxmlformats.org/officeDocument/2006/relationships/hyperlink" Target="https://www.energyindepth.org/after-two-years-its-clear-uks-windfall-tax-harms-north-sea-oil-natural-gas-investment/" TargetMode="External"/><Relationship Id="rId17" Type="http://schemas.openxmlformats.org/officeDocument/2006/relationships/hyperlink" Target="https://www.abdn.ac.uk/business/documents/NSP-148_access_final.pdf" TargetMode="External"/><Relationship Id="rId2" Type="http://schemas.openxmlformats.org/officeDocument/2006/relationships/hyperlink" Target="https://www.gov.uk/government/publications/autumn-statement-2022-energy-taxes-factsheet/energy-taxes-factsheet" TargetMode="External"/><Relationship Id="rId16" Type="http://schemas.openxmlformats.org/officeDocument/2006/relationships/hyperlink" Target="https://reports.shell.com/annual-report/2021/_assets/downloads/shell-annual-report-2021.pdf" TargetMode="External"/><Relationship Id="rId1" Type="http://schemas.openxmlformats.org/officeDocument/2006/relationships/hyperlink" Target="https://www.theguardian.com/business/2022/may/05/shell-profits-windfall-tax" TargetMode="External"/><Relationship Id="rId6" Type="http://schemas.openxmlformats.org/officeDocument/2006/relationships/hyperlink" Target="https://assets.publishing.service.gov.uk/media/65c66cbf9c5b7f000c951c82/Opposition_costing_-_Oil_and_Gas_Levy__003__final.pdf" TargetMode="External"/><Relationship Id="rId11" Type="http://schemas.openxmlformats.org/officeDocument/2006/relationships/hyperlink" Target="https://www.offshore-energy.biz/ineos-windfall-taxes-and-mixed-signals-from-politicians-tearing-down-uks-oil-gas-industry/" TargetMode="External"/><Relationship Id="rId5" Type="http://schemas.openxmlformats.org/officeDocument/2006/relationships/hyperlink" Target="https://www.energyvoice.com/promoted/548737/labour-windfall-tax-proposals-a-summary/" TargetMode="External"/><Relationship Id="rId15" Type="http://schemas.openxmlformats.org/officeDocument/2006/relationships/hyperlink" Target="https://www.nstauthority.co.uk/exploration-production/taxation/overview/" TargetMode="External"/><Relationship Id="rId10" Type="http://schemas.openxmlformats.org/officeDocument/2006/relationships/hyperlink" Target="https://oeuk.org.uk/oeuk-calls-on-government-to-rebuild-investor-confidence-after-windfall-tax-changes/" TargetMode="External"/><Relationship Id="rId4" Type="http://schemas.openxmlformats.org/officeDocument/2006/relationships/hyperlink" Target="https://www.gov.uk/government/consultations/energy-profits-levy-and-the-energy-security-investment-mechanism-discussion-note/discussion-note-energy-profits-levy-energy-security-investment-mechanism" TargetMode="External"/><Relationship Id="rId9" Type="http://schemas.openxmlformats.org/officeDocument/2006/relationships/hyperlink" Target="https://www.energyindepth.org/after-two-years-its-clear-uks-windfall-tax-harms-north-sea-oil-natural-gas-investment/" TargetMode="External"/><Relationship Id="rId14" Type="http://schemas.openxmlformats.org/officeDocument/2006/relationships/hyperlink" Target="https://www.abdn.ac.uk/business/documents/NSP-148_access_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D7B771-0C3B-44B9-B2A9-3CE105FDD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17</Pages>
  <Words>3853</Words>
  <Characters>19129</Characters>
  <Application>Microsoft Office Word</Application>
  <DocSecurity>0</DocSecurity>
  <Lines>159</Lines>
  <Paragraphs>45</Paragraphs>
  <ScaleCrop>false</ScaleCrop>
  <Company>University of Aberdeen</Company>
  <LinksUpToDate>false</LinksUpToDate>
  <CharactersWithSpaces>22937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linda</dc:creator>
  <cp:lastModifiedBy>Arturo Regalado</cp:lastModifiedBy>
  <cp:revision>413</cp:revision>
  <cp:lastPrinted>2023-03-16T15:42:00Z</cp:lastPrinted>
  <dcterms:created xsi:type="dcterms:W3CDTF">2023-03-16T13:04:00Z</dcterms:created>
  <dcterms:modified xsi:type="dcterms:W3CDTF">2024-05-28T19:16:00Z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