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требований для внешних интеграций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Шифрование данных: Все данные, передаваемые между системами, должны быть защищены с использованием TLS/SSL.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Защита персональных данных: Должны быть внедрены механизмы защиты персональных данных, соответствующие требованиям законодательства РФ.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Протоколы аутентификации и авторизации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OAuth 2.0: Должен использоваться для обеспечения безопасной авторизации и аутентификации пользователей и сервисов.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JWT (JSON Web Tokens): Рекомендуется для обеспечения безопасности передачи данных между клиентом и сервером, а также для подтверждения подлинности.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Организация взаимодействия между системами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Сервис Интегратор: Введение точки интеграции, которая будет управлять и контролировать доступ к новым сервисам.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Мониторинг и аудит: Разработать системы мониторинга и журналирования для отслеживания взаимодействий между системами и фиксации потенциальных инцидентов.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