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Glossary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(Глоссарий)</w:t>
      </w:r>
      <w:bookmarkStart w:colFirst="0" w:colLast="0" w:name="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(Введение)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в себе обзор на весь документ. Данный документ используется для пояснения терминов, которые встречаются в других документах и с которыми читатель может быть не знаком.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В данном документе описываются термины и определения, используемые в документации к программной системе “Услуги волшебника”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 (Назначение)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[Укажите назначение данного документа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Документ предназначается для использования командой разработки программной системы “Услуги волшебника”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Scope (Область применения)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[Краткое описание области применения данного документа, к какому(им) проекту(ам) он относится, кем будет использоваться и т.д.]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Документ применим к программной системе “Услуги волшебника” в контексте деятельности, связанной с ее разработкой.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bookmarkStart w:colFirst="0" w:colLast="0" w:name="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References (Ссылки)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[Перечислите списком названия документов, на которые ссылаетесь в данном, укажите их источники.]</w:t>
      </w:r>
    </w:p>
    <w:p w:rsidR="00000000" w:rsidDel="00000000" w:rsidP="00000000" w:rsidRDefault="00000000" w:rsidRPr="00000000" w14:paraId="0000000E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Амулет Самарканда, Д. Страуд, 2003, пер. А. Хромова, изд. Эксмо</w:t>
      </w:r>
      <w:bookmarkStart w:colFirst="0" w:colLast="0" w:name="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Overview (Обзор документа)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[Приведите краткое описание остальных разделов документа.]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Документ “Глоссарий” содержит следующую информацию: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Определения  - раскрывает термины, используемые в других документах..</w:t>
      </w:r>
    </w:p>
    <w:bookmarkStart w:colFirst="0" w:colLast="0" w:name="tyjcwt" w:id="4"/>
    <w:bookmarkEnd w:id="4"/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Definitions (Определения)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данном разделе описываются термины в алфавитном порядке.]</w:t>
      </w:r>
      <w:bookmarkStart w:colFirst="0" w:colLast="0" w:name="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Волшебник 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Человек, являющийся экспертом в магии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2.2 </w:t>
        <w:tab/>
        <w:t xml:space="preserve">Простолюдин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Человек, не владеющий магией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2.3 </w:t>
        <w:tab/>
        <w:t xml:space="preserve">Дух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Магическая сущность, имеющая физический облик в нашем мире и способная исполнять желания, сформулированные определенным образом.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2.4</w:t>
        <w:tab/>
        <w:t xml:space="preserve">Ученик волшебника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Человек, владеющий магией, не являющийся экспертом в магии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