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[Titulação].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[Titulação]. E-mail: [e-mail do orientador]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onze pontos percentuais de F1-macro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eleven percentage point macro-F1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et al.,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 A hipótese que orientou a pesquisa foi a de que a aplicação de algoritmos de aprendizado de máquina, em conjunto com um processo de extração, transformação e carga, não apenas automatizaria a conciliação, mas também aprimoraria sua qualidade, identificando inconsistências que escapariam às abordagens baseadas em regras.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A diferença não decorreu de duplicidade resolvida no cruzamento: dezoito pagamentos tinham a inscrição repetida em duas notas, e a junção os multiplicou em duas linhas, doze delas com rótulos contraditórios entre si, por uma causa discutida adiante entre os modos de falha silenciosa.</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br/>
        <w:t xml:space="preserve">                        .fillna(9999)   # valor-sentinela</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e não constituem afirmação normativa; as alíquotas de 1,50%, 4,65% e 11,00% correspondem às retenções vigentes de IRRF sobre serviços profissionais, de CSRF e de contribuição previdenciária, ao passo que o limite de R$ 5.000,00 reproduz a redação do art. 31 da Lei nº 10.833/2003 anterior à Lei nº 13.137/2015, que o revogou — ele foi mantido por criar a interação condicional que o experimento explora, e não por descrever a regra em vigor</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t>indicador de coincidência entre o município do centro de custo do pagamento e o município declarado na nota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A janela de datas simuladas foi ancorada em uma data de referência declarada na configuração, e não no relógio, e a lista de inscrições passou a ser construída na ordem de sorteio, e não pela iteração de um conjunto — duas correções cuja ausência tornava o experimento principal não reprodutível, como a discussão detalha. Uma suíte de 140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a exigência de que treino e teste apresentem escalas comparáveis, a reprodutibilidade da geração entre processos distintos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em 0,8892 de F1-macro no cenário exact, diferença de onze pontos percentuais de F1-macro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 ± 0,0000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0,9061 ± 0,0072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0,9081 ± 0,0089</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ROC-AUC</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0,9824</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0,9877</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0,9182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0,9282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0,9264</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0,9664</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0,8371</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0,8407</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0,9978 ± 0,0021</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0,8611 ± 0,0137</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0,8674 ± 0,0155</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0,44 e 0,43 da importância total por redução de impureza, o que corresponde a aproximadamente 87% do total; as cinco variáveis restantes somaram cerca de 13%, e o indicador de inscrição do fornecedor apresentou importância exatamente nula. A medida é enviesada em favor de variáveis contínuas de alta cardinalidade (Strobl et al., 2007), mas a hierarquia observada mostrou-se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1.490,05 e desvio-padrão de 3.558,25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0,0084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0,167 desvio-padrão separando a coincidência perfeita de uma divergência de 6%, o que explica com precisão o padrão de erros: os modelos suaves continuaram separando divergências de valor e perderam quase completamente a capacidade de separar divergências de data. A decomposição dos erros confirma isso de forma exata. O conjunto de teste contém 454 negativos, sendo 208 sem nota alguma, 115 com divergência de valor e 131 com divergência de data; dos 128 falsos positivos cometidos pelos dois modelos, todos os 128 são divergências de data. Os dois detectam 208 de 208 ausências de nota e 115 de 115 divergências de valor, e deixam passar 128 das 131 divergências de data. A dimensão que a sentinela esmagou é exatamente, e somente, a que os modelos perderam.</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0,7630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0,7837</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0,6815</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0,4976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0,4111</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0,4608</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0,6526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0,6334</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0,6540</w:t>
            </w:r>
            <w:r>
              <w:rPr>
                <w:rFonts w:ascii="Arial" w:hAnsi="Arial" w:cs="Arial" w:eastAsia="Arial"/>
                <w:b w:val="0"/>
                <w:i w:val="0"/>
                <w:color w:val="000000"/>
                <w:sz w:val="22"/>
              </w:rPr>
            </w:r>
          </w:p>
        </w:tc>
      </w:tr>
      <w:tr>
        <w:trPr>
          <w:cantSplit/>
        </w:trPr>
        <w:tc>
          <w:tcPr>
            <w:tcW w:w="1995" w:type="dxa"/>
            <w:tcBorders>
              <w:top w:val="nil"/>
              <w:left w:val="nil"/>
              <w:bottom w:val="single" w:sz="6" w:space="0" w:color="000000"/>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single" w:sz="6" w:space="0" w:color="000000"/>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0,3313</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0,2741</w:t>
            </w:r>
            <w:r>
              <w:rPr>
                <w:rFonts w:ascii="Arial" w:hAnsi="Arial" w:cs="Arial" w:eastAsia="Arial"/>
                <w:b w:val="0"/>
                <w:i w:val="0"/>
                <w:color w:val="000000"/>
                <w:sz w:val="22"/>
              </w:rPr>
            </w:r>
          </w:p>
        </w:tc>
        <w:tc>
          <w:tcPr>
            <w:tcW w:w="1814" w:type="dxa"/>
            <w:tcBorders>
              <w:top w:val="nil"/>
              <w:left w:val="nil"/>
              <w:bottom w:val="single" w:sz="6" w:space="0" w:color="000000"/>
              <w:right w:val="nil"/>
            </w:tcBorders>
          </w:tcPr>
          <w:p>
            <w:pPr>
              <w:keepNext/>
              <w:spacing w:line="240" w:lineRule="auto" w:before="0" w:after="0"/>
              <w:jc w:val="right"/>
            </w:pPr>
            <w:r>
              <w:t>0,2618</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onze pontos percentuais de F1-macro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1 de 246 (0,4%)</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22 de 246 (8,9%)</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65 de 246 (26,4%)</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454</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1.050</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128 falsos positivos e nenhum falso negativo, ou seja, erraram sistematicamente na direção mais custosa para o controle interno. No cenário fuzzy o efeito é ainda mais pronunciado, pois 107 dos 226 registros parcialmente conciliados do conjunto de teste, ou 47,3%, receberam atestado de conformidade plena. A ablação mostra que o viés se agrava quando o vazamento é removido: sem as variáveis da regra, a floresta aleatória passou a cometer 245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A ordenação não é uma preferência deste trabalho: a norma brasileira de amostragem em auditoria define o risco de amostragem como a possibilidade de duas conclusões erradas e as hierarquiza explicitamente, atribuindo à conclusão de que não há distorção relevante quando ela existe o comprometimento da eficácia da auditoria, e à conclusão oposta apenas o da eficiência, por gerar trabalho adicional (Conselho Federal de Contabilidade [CFC], 2009). A divergência silenciada é o erro de eficácia; a revisão redundante, o de eficiência.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A área sob a curva ROC e o F1-macro divergiram: a máquina de vetores de suporte atingiu 0,9824 de área no cenário exact com apenas 0,8892 de F1-macro, e a regressão logística 0,9877 com o mesmo 0,8892.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0,8491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0,8892 para 0,8672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As comparações par a par só devem ser lidas depois de rejeitada a hipótese global de equivalência, que é o protocolo recomendado por Demšar (2006) e que a primeira versão desta análise não seguiu. O teste omnibus de Friedman sobre as dez execuções consta da Tabela 17, e foi aplicado a três métricas, e não apenas à primária, por uma razão que a Tabela 18 torna explícita.</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17. Teste omnibus de Friedman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χ²</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Ordem dos ranks médios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Rejeita a equivalência</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Recall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da exceção</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4,20</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0,1225</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logística 1,6; vetores 1,9; floresta 2,5</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leitura conjunta das três linhas da Tabela 17 responde à objeção mais forte que se pode dirigir a esta comparação. O recall é medido no ponto de operação de cada algoritmo, e esses pontos não caem sobre a mesma precisão realizada: 0,893 para a floresta contra 0,903 para a regressão logística. Como recall e precisão se trocam um pelo outro, a vantagem de recall da floresta poderia ser, em princípio, apenas o efeito de um limiar mais frouxo. Duas evidências das mesmas dez execuções afastam essa leitura. A primeira é que o ordenamento se mantém sob a PR-AUC, que resume a curva inteira e não depende de limiar algum. A segunda é que as diferenças de precisão não sobrevivem ao teste: nenhuma comparação par a par é significativa após a correção, e o omnibus não rejeita a equivalência entre os três, com p de 0,1225. A Tabela 18 reúne as comparações par a par sobre as duas métricas secundárias.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18. Comparação pareada de Wilcoxon sobre as métricas secundárias,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 e comparação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Diferença mediana</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p corrigido</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Significativo</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vetores</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+0,0088</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logística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+0,0210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PR-AUC: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+0,0125</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vetores</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−0,0033</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0,2754</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0,5508</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−0,0076</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0,0840</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0,2520</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−0,0078</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Em conjunto: a floresta aleatória ordena melhor as exceções e detecta mais delas, sem operar a uma precisão estatisticamente menor. Faltando qualquer uma dessas evidências, a afirmação de que a floresta detecta mais divergências seria uma afirmação sobre o limiar escolhido, e não sobre o algoritmo. Resta reportar a matriz de confusão completa, que é a verificação nº 6 do próprio checklist deste trabalho e que a Tabela 19 traz, somada sobre as dez execuções, em unidades de controle interno em vez de pontos percentuais.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19. Matriz de confusão da classe de exceção, somada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Algoritmo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Exceções detectadas</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Divergências silenciadas</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Revisões redundantes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Pares aprovados corretamente</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3.697</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803</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446</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10.054</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3.601</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899</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405</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10.095</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3.464</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1.036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374</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10.126</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15.000 pares de teste ao todo, dos quais 4.500 exceções; trocar a floresta pela regressão logística silencia 233 divergências a mais e poupa 72 revisões manuais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 O ordenamento é rejeitado como equivalente pelo teste omnibus de Friedman, mantém-se sob a PR-AUC, que não depende de limiar, e não é explicado por precisão desigual, uma vez que sobre a precisão da exceção o omnibus não rejeita a equivalência.</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20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21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As duas asserções passaram a integrar a suíte de testes, a segunda padronizando a partição de teste com a média e o desvio da de treino e exigindo que nenhuma coluna lance uma fração apreciável das linhas além de cinco desvios. A Tabela 22 reúne os seis modos de falha documentados ao longo do trabalho.</w:t>
      </w:r>
    </w:p>
    <w:p>
      <w:pPr>
        <w:keepNext w:val="0"/>
        <w:spacing w:line="360" w:lineRule="auto" w:before="0" w:after="0"/>
        <w:ind w:firstLine="709"/>
        <w:jc w:val="both"/>
      </w:pPr>
      <w:r>
        <w:rPr>
          <w:rFonts w:ascii="Arial" w:hAnsi="Arial" w:cs="Arial" w:eastAsia="Arial"/>
          <w:b w:val="0"/>
          <w:i w:val="0"/>
          <w:color w:val="000000"/>
          <w:sz w:val="22"/>
        </w:rPr>
      </w:r>
    </w:p>
    <w:p>
      <w:pPr>
        <w:keepNext/>
        <w:spacing w:line="360" w:lineRule="auto" w:before="0" w:after="0"/>
        <w:ind w:firstLine="709"/>
        <w:jc w:val="left"/>
      </w:pPr>
      <w:r>
        <w:rPr>
          <w:rFonts w:ascii="Arial" w:hAnsi="Arial" w:cs="Arial" w:eastAsia="Arial"/>
          <w:b/>
          <w:i w:val="0"/>
          <w:color w:val="000000"/>
          <w:sz w:val="22"/>
        </w:rPr>
        <w:t>Dois modos adicionais, no gerador do experimento principal</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auditoria do gerador revelou outros dois modos da mesma família, desta vez no experimento principal. O primeiro desfaz uma premissa do desenho: as duas fontes eram apresentadas como heterogêneas e independentes, e a independência de formato de fato existe, mas a estatística não existia. As funções que geram a planilha de pagamentos e o conjunto de notas recebiam a mesma semente e cada uma instanciava seu próprio gerador pseudoaleatório; duas instâncias construídas com a mesma semente produzem a mesma sequência, e ambas sorteavam inscrições dessa sequência. Os 7.500 primeiros números de inscrição de um fluxo independente com a mesma semente são, um a um, os mesmos do cadastro de fornecedores.</w:t>
      </w:r>
    </w:p>
    <w:p>
      <w:pPr>
        <w:keepNext w:val="0"/>
        <w:spacing w:line="360" w:lineRule="auto" w:before="0" w:after="0"/>
        <w:ind w:firstLine="709"/>
        <w:jc w:val="both"/>
      </w:pPr>
      <w:r>
        <w:rPr>
          <w:rFonts w:ascii="Arial" w:hAnsi="Arial" w:cs="Arial" w:eastAsia="Arial"/>
          <w:b w:val="0"/>
          <w:i w:val="0"/>
          <w:color w:val="000000"/>
          <w:sz w:val="22"/>
        </w:rPr>
        <w:t>As consequências são mensuráveis na base publicada. Em 277 notas o número de inscrição do tomador coincide com o de algum fornecedor, situação impossível no cenário simulado; em 14 delas a razão social do prestador é idêntica à do tomador; e em 18 o número do prestador colide com o de outro pagamento. Com 7.500 inscrições sorteadas de um espaço de 10¹², a probabilidade de uma única coincidência fortuita é da ordem de 10⁻⁵, de modo que 277 não é acaso. São as 18 colisões de prestador que chegam ao modelo: como a junção é feita pela inscrição, um pagamento cujo número aparece em duas notas gera duas linhas, e é essa a origem dos 7.518 registros. Como o rótulo é um limiar sobre as diferenças de cada linha, doze desses pagamentos aparecem simultaneamente como conciliados e como não conciliados, e alguns caem nas duas partições da divisão estratificada ao mesmo tempo.</w:t>
      </w:r>
    </w:p>
    <w:p>
      <w:pPr>
        <w:keepNext w:val="0"/>
        <w:spacing w:line="360" w:lineRule="auto" w:before="0" w:after="0"/>
        <w:ind w:firstLine="709"/>
        <w:jc w:val="both"/>
      </w:pPr>
      <w:r>
        <w:rPr>
          <w:rFonts w:ascii="Arial" w:hAnsi="Arial" w:cs="Arial" w:eastAsia="Arial"/>
          <w:b w:val="0"/>
          <w:i w:val="0"/>
          <w:color w:val="000000"/>
          <w:sz w:val="22"/>
        </w:rPr>
        <w:t>O segundo modo adicional contradizia a afirmação de reprodutibilidade. As inscrições eram acumuladas em um conjunto e depois convertidas em lista, e a ordem de iteração de um conjunto de cadeias de caracteres depende da semente de dispersão do processo, que o interpretador aleatoriza a cada inicialização. Cada execução atribuía, portanto, uma inscrição diferente a cada pagamento, sorteando valores, datas e descrições idênticos. Somava-se a isso uma janela de datas ancorada no relógio, de modo que a base simulada dependia do dia em que era gerada. O efeito combinado era pequeno — regenerar a base em outro dia produzia 7.520 linhas em vez de 7.518 — e é exatamente por isso que passou despercebido.</w:t>
      </w:r>
    </w:p>
    <w:p>
      <w:pPr>
        <w:keepNext w:val="0"/>
        <w:spacing w:line="360" w:lineRule="auto" w:before="0" w:after="0"/>
        <w:ind w:firstLine="709"/>
        <w:jc w:val="both"/>
      </w:pPr>
      <w:r>
        <w:rPr>
          <w:rFonts w:ascii="Arial" w:hAnsi="Arial" w:cs="Arial" w:eastAsia="Arial"/>
          <w:b w:val="0"/>
          <w:i w:val="0"/>
          <w:color w:val="000000"/>
          <w:sz w:val="22"/>
        </w:rPr>
        <w:t>O aspecto mais instrutivo é que existia um teste automatizado escrito para essa propriedade, e ele passava: chamava o gerador duas vezes e comparava os resultados, mas as duas chamadas ocorriam no mesmo processo, onde a semente de dispersão é fixa durante toda a vida do interpretador. O teste media consistência interna, não reprodutibilidade, e teria passado sob qualquer ordenação. A verificação que enxerga o defeito exige dois processos com sementes de dispersão distintas, e passou a integrar a suíte. Ambas as causas foram corrigidas — a lista é construída na ordem de sorteio e a janela de datas é ancorada em data explícita de configuração — e os artefatos foram regenerados sob a implementação corrigida. Nenhum dos dois modos afeta o experimento de comparação, cujo gerador emprega um único fluxo pseudoaleatório para as duas fontes.</w:t>
      </w:r>
    </w:p>
    <w:p>
      <w:pPr>
        <w:keepNext w:val="0"/>
        <w:spacing w:line="360" w:lineRule="auto" w:before="0" w:after="0"/>
        <w:ind w:firstLine="709"/>
        <w:jc w:val="both"/>
      </w:pPr>
      <w:r>
        <w:rPr>
          <w:rFonts w:ascii="Arial" w:hAnsi="Arial" w:cs="Arial" w:eastAsia="Arial"/>
          <w:b w:val="0"/>
          <w:i w:val="0"/>
          <w:color w:val="000000"/>
          <w:sz w:val="22"/>
        </w:rPr>
        <w:t>Um sexto modo, encontrado na conferência final, é o mais puro da série. O pipeline principal construía a matriz de atributos a partir do quadro de dados ainda em memória, ao passo que a ablação e os cadernos a constroem a partir do arquivo CSV que o pipeline acabara de gravar: dois caminhos de código para o mesmo cálculo, sobre os mesmos dados. A ida e volta pelo arquivo perturba a diferença relativa de valor em cerca de 10⁻¹⁴ em 94 das 7.518 linhas, ruído de representação sem significado; esse ruído atravessa a padronização, alcança o otimizador nas vizinhanças de sua tolerância de convergência, e move o F1-macro de validação cruzada da regressão logística no cenário fuzzy de 0,8678 para 0,8674. Uma diferença de entrada de 10⁻¹⁴ produz uma diferença de saída de 3×10⁻⁴, que cai exatamente na quarta casa decimal em que este trabalho reporta suas métricas. O pipeline passou a ler de volta o arquivo que grava, de modo que existe um único caminho e um único conjunto de números, e a escolha da direção não é arbitrária: o CSV é o artefato que um leitor pode inspecionar e, portanto, deve ser aquele sobre o qual o modelo é ajustado.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t>Fluxo pseudoaleatório compartilhado entre as duas fontes</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7.518 linhas a partir de 7.500 pagamentos; 277 notas cujo tomador é um fornecedor</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as duas fontes simuladas são independentes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Ordem de conjunto e janela de datas dependentes do processo e do relógio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nenhum; o teste de reprodutibilidade existente passava</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os resultados do experimento principal são reproduzíveis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Dois caminhos de código para o mesmo cálculo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duas tabelas discordando na quarta casa decimal</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 ablação reproduz o experimento principal exatamente</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seis modos pertencem à mesma família: configuração silenciosa que produz conclusão substantiva e errada sem se manifestar como erro. Os seis produziriam tabelas plausíveis, e cinco deles foram encontrados por revisão adversarial do código, e não pelas métricas, que em nenhum dos casos exibiram sinal de anomalia. O quinto é o mais instrutivo, porque havia um teste automatizado escrito exatamente para ele e esse teste passava, medindo uma propriedade mais fraca do que a que seu nome anunciava. A contribuição metodológica não se resume à recomendação de verificar vazamento: está em que a verificação precisa ser sistemática e adversarial, porque cada instrumento só enxerga o modo de falha para o qual foi construído, e em que um teste pode atestar menos do que aparenta. O guarda contra vazamento é útil e não teria detectado cinco dos seis.</w:t>
      </w:r>
    </w:p>
    <w:p>
      <w:pPr>
        <w:keepNext w:val="0"/>
        <w:spacing w:line="360" w:lineRule="auto" w:before="0" w:after="0"/>
        <w:ind w:firstLine="709"/>
        <w:jc w:val="both"/>
      </w:pPr>
      <w:r>
        <w:rPr>
          <w:rFonts w:ascii="Arial" w:hAnsi="Arial" w:cs="Arial" w:eastAsia="Arial"/>
          <w:b w:val="0"/>
          <w:i w:val="0"/>
          <w:color w:val="000000"/>
          <w:sz w:val="22"/>
        </w:rPr>
        <w:t>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23, 24 e 25,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23.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duas fontes simuladas compartilhavam o mesmo fluxo pseudoaleatório, o que produziu 277 notas cujo tomador é um fornecedor e 18 junções espúrias, com doze pagamentos recebendo rótulos contraditórios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principal não era reprodutível, por ordem de conjunto dependente do processo e por janela de datas ancorada no relógio; corrigido, e os artefatos foram regenerados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Resolvida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24.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25.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t>O limite de incidência da CSRF reproduz a redação anterior à Lei nº 13.137/2015, que o revogou; as alíquotas foram conferidas e estão vigentes, mas o gerador descreve um regime que já não é o de direito positivo</w:t>
            </w:r>
            <w:r>
              <w:rPr>
                <w:rFonts w:ascii="Arial" w:hAnsi="Arial" w:cs="Arial" w:eastAsia="Arial"/>
                <w:b w:val="0"/>
                <w:i w:val="0"/>
                <w:color w:val="000000"/>
                <w:sz w:val="22"/>
              </w:rPr>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Dois atributos do experimento de comparação são exatamente colineares, de modo que a matriz tem catorze colunas e treze direções; o efeito penaliza os dois algoritmos padronizados, nunca a floresta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Baixa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limiar é escolhido maximizando o recall entre milhares de cortes que atingem o piso na validação, o que seleciona pontos cuja precisão cruzou o piso por sorte e faz o piso valer apenas aproximadamente no teste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Os não-pares são o mesmo pagamento com evidência corrompida, e não um pagamento de outra contraparte, de modo que os algoritmos discriminam evidência corrompida e não contraparte errada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dez bases são dez amostras de um único processo gerador, e não dez conjuntos de dados distintos, de modo que os testes medem estabilidade sob reamostragem e não generalização entre regimes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de comparação não incluiu linha de base baseada em regras, de modo que a superioridade do aprendizado supervisionado sobre a conciliação por regras não foi testada sob rotulagem independente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0,7630 e, sem os proxies de ISS, para 0,4976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a conciliação contábil automatizada do que a escolha do algoritmo. Com o rótulo derivado de regra aplicada aos próprios atributos, os classificadores reproduziram a regra em vez de aprender a tarefa, e a vantagem aparente da floresta aleatória desapareceu com uma única alteração de codificação. Com rótulo independente e critério derivado do objetivo de controle, a floresta aleatória foi o algoritmo que melhor automatizou a conciliação, detectando mais divergências sem perda estatisticamente significativa de precisão, mas por margem estreita o bastante para que interpretabilidade e custo operacional sejam critérios legítimos de escolha. A hipótese de que o aprendizado de máquina aprimoraria a qualidade da conciliação não se confirmou onde a regra era conhecida, pois os modelos apenas a reproduziram com maior opacidade; onde a evidência era ambígua, eles automatizaram a triagem de exceções com precisão controlada, mas sem confronto com uma abordagem baseada em regras, de modo que a superioridade sobre esta permaneceu não demonstrada.</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Conselho Federal de Contabilidade [CFC]. 2009. Resolução CFC nº 1.222, de 27 de novembro de 2009. Aprova a NBC TA 530 – Amostragem em Auditoria. Diário Oficial da União, Brasília, 4 dez. 2009.</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Gagnier, K.; Padron-Uy, J.; Sareen, D.; Parihar, A.; Khmelevsky, Y.; Hains, G.; Wong, A. 2025. Data extraction, transformation, and loading (ETL) process automation and data warehouse implementation for algorithmic trading machine learning modelling. In: IEEE International Systems Conference (SysCon), 2025, Montreal, QC,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Trends in Deep Learning Methodologies.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0,8892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p>
      <w:pPr>
        <w:keepNext w:val="0"/>
        <w:spacing w:line="360" w:lineRule="auto" w:before="0" w:after="0"/>
        <w:ind w:firstLine="709"/>
        <w:jc w:val="both"/>
      </w:pPr>
      <w:r>
        <w:rPr>
          <w:rFonts w:ascii="Arial" w:hAnsi="Arial" w:cs="Arial" w:eastAsia="Arial"/>
          <w:b w:val="0"/>
          <w:i w:val="0"/>
          <w:color w:val="000000"/>
          <w:sz w:val="22"/>
        </w:rPr>
        <w:t>10. Verificar reprodutibilidade entre processos distintos, e não dentro de um único: um teste que chama o gerador duas vezes no mesmo interpretador não observa a ordem de iteração de conjuntos nem a semente de dispersão, e passa sob qualquer uma delas.</w:t>
      </w:r>
    </w:p>
    <w:p>
      <w:pPr>
        <w:keepNext w:val="0"/>
        <w:spacing w:line="360" w:lineRule="auto" w:before="0" w:after="0"/>
        <w:ind w:firstLine="709"/>
        <w:jc w:val="both"/>
      </w:pPr>
      <w:r>
        <w:rPr>
          <w:rFonts w:ascii="Arial" w:hAnsi="Arial" w:cs="Arial" w:eastAsia="Arial"/>
          <w:b w:val="0"/>
          <w:i w:val="0"/>
          <w:color w:val="000000"/>
          <w:sz w:val="22"/>
        </w:rPr>
        <w:t>11. Ancorar toda janela temporal em data explícita, e nunca no relógio, porque uma base gerada contra a data corrente muda a cada execução sem que isso apareça em métrica agregada alguma.</w:t>
      </w:r>
    </w:p>
    <w:p>
      <w:pPr>
        <w:keepNext w:val="0"/>
        <w:spacing w:line="360" w:lineRule="auto" w:before="0" w:after="0"/>
        <w:ind w:firstLine="709"/>
        <w:jc w:val="both"/>
      </w:pPr>
      <w:r>
        <w:rPr>
          <w:rFonts w:ascii="Arial" w:hAnsi="Arial" w:cs="Arial" w:eastAsia="Arial"/>
          <w:b w:val="0"/>
          <w:i w:val="0"/>
          <w:color w:val="000000"/>
          <w:sz w:val="22"/>
        </w:rPr>
        <w:t>12. Semear fontes distintas com sementes distintas: duas fontes declaradas independentes mas derivadas da mesma semente compartilham a sequência e produzem coincidências impossíveis entre si.</w:t>
      </w:r>
    </w:p>
    <w:p>
      <w:pPr>
        <w:keepNext w:val="0"/>
        <w:spacing w:line="360" w:lineRule="auto" w:before="0" w:after="0"/>
        <w:ind w:firstLine="709"/>
        <w:jc w:val="both"/>
      </w:pPr>
      <w:r>
        <w:rPr>
          <w:rFonts w:ascii="Arial" w:hAnsi="Arial" w:cs="Arial" w:eastAsia="Arial"/>
          <w:b w:val="0"/>
          <w:i w:val="0"/>
          <w:color w:val="000000"/>
          <w:sz w:val="22"/>
        </w:rPr>
        <w:t>13. Comparar algoritmos também em métrica livre de limiar, porque pontos de operação escolhidos por algoritmo não caem sobre a mesma precisão realizada e, sem isso, um ganho de recall é indistinguível de um limiar mais frouxo.</w:t>
      </w:r>
    </w:p>
    <w:p>
      <w:pPr>
        <w:keepNext w:val="0"/>
        <w:spacing w:line="360" w:lineRule="auto" w:before="0" w:after="0"/>
        <w:ind w:firstLine="709"/>
        <w:jc w:val="both"/>
      </w:pPr>
      <w:r>
        <w:rPr>
          <w:rFonts w:ascii="Arial" w:hAnsi="Arial" w:cs="Arial" w:eastAsia="Arial"/>
          <w:b w:val="0"/>
          <w:i w:val="0"/>
          <w:color w:val="000000"/>
          <w:sz w:val="22"/>
        </w:rPr>
        <w:t>14. Exigir margem acima do piso ao calibrar o limiar de decisão, já que maximizar o recall sobre milhares de cortes seleciona o ponto que cruzou o piso por sorte e o piso não se sustenta fora da amostra.</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