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both"/>
      </w:pPr>
    </w:p>
    <w:p>
      <w:pPr>
        <w:keepNext w:val="0"/>
        <w:spacing w:line="240" w:lineRule="auto" w:before="0" w:after="0"/>
        <w:jc w:val="center"/>
      </w:pPr>
      <w:r>
        <w:rPr>
          <w:rFonts w:ascii="Arial" w:hAnsi="Arial" w:cs="Arial" w:eastAsia="Arial"/>
          <w:b w:val="0"/>
          <w:i w:val="0"/>
          <w:color w:val="000000"/>
          <w:sz w:val="22"/>
        </w:rPr>
        <w:t>Artur Rios da Silva Oliveira</w:t>
      </w:r>
      <w:r>
        <w:rPr>
          <w:rFonts w:ascii="Arial" w:hAnsi="Arial" w:cs="Arial" w:eastAsia="Arial"/>
          <w:b w:val="0"/>
          <w:i w:val="0"/>
          <w:color w:val="000000"/>
          <w:sz w:val="22"/>
          <w:vertAlign w:val="superscript"/>
        </w:rPr>
        <w:t>1</w:t>
      </w:r>
      <w:r>
        <w:rPr>
          <w:rFonts w:ascii="Arial" w:hAnsi="Arial" w:cs="Arial" w:eastAsia="Arial"/>
          <w:b w:val="0"/>
          <w:i w:val="0"/>
          <w:color w:val="000000"/>
          <w:sz w:val="22"/>
          <w:vertAlign w:val="superscript"/>
        </w:rPr>
        <w:t>*</w:t>
      </w:r>
      <w:r>
        <w:rPr>
          <w:rFonts w:ascii="Arial" w:hAnsi="Arial" w:cs="Arial" w:eastAsia="Arial"/>
          <w:b w:val="0"/>
          <w:i w:val="0"/>
          <w:color w:val="000000"/>
          <w:sz w:val="22"/>
        </w:rPr>
        <w:t>; Emerson Aparecido Mouco Júnior</w:t>
      </w:r>
      <w:r>
        <w:rPr>
          <w:rFonts w:ascii="Arial" w:hAnsi="Arial" w:cs="Arial" w:eastAsia="Arial"/>
          <w:b w:val="0"/>
          <w:i w:val="0"/>
          <w:color w:val="000000"/>
          <w:sz w:val="22"/>
          <w:vertAlign w:val="superscript"/>
        </w:rPr>
        <w:t>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18"/>
          <w:vertAlign w:val="superscript"/>
        </w:rPr>
        <w:t>1</w:t>
      </w:r>
      <w:r>
        <w:rPr>
          <w:rFonts w:ascii="Arial" w:hAnsi="Arial" w:cs="Arial" w:eastAsia="Arial"/>
          <w:b w:val="0"/>
          <w:i w:val="0"/>
          <w:color w:val="000000"/>
          <w:sz w:val="18"/>
          <w:vertAlign w:val="superscript"/>
        </w:rPr>
        <w:t>*</w:t>
      </w:r>
      <w:r>
        <w:rPr>
          <w:rFonts w:ascii="Arial" w:hAnsi="Arial" w:cs="Arial" w:eastAsia="Arial"/>
          <w:b w:val="0"/>
          <w:i w:val="0"/>
          <w:color w:val="000000"/>
          <w:sz w:val="18"/>
        </w:rPr>
        <w:t xml:space="preserve"> [Titulação]. E-mail autor correspondente: arturdev@duck.com</w:t>
      </w:r>
    </w:p>
    <w:p>
      <w:pPr>
        <w:keepNext w:val="0"/>
        <w:spacing w:line="240" w:lineRule="auto" w:before="0" w:after="0"/>
        <w:jc w:val="left"/>
      </w:pPr>
      <w:r>
        <w:rPr>
          <w:rFonts w:ascii="Arial" w:hAnsi="Arial" w:cs="Arial" w:eastAsia="Arial"/>
          <w:b w:val="0"/>
          <w:i w:val="0"/>
          <w:color w:val="000000"/>
          <w:sz w:val="18"/>
          <w:vertAlign w:val="superscript"/>
        </w:rPr>
        <w:t>2</w:t>
      </w:r>
      <w:r>
        <w:rPr>
          <w:rFonts w:ascii="Arial" w:hAnsi="Arial" w:cs="Arial" w:eastAsia="Arial"/>
          <w:b w:val="0"/>
          <w:i w:val="0"/>
          <w:color w:val="000000"/>
          <w:sz w:val="18"/>
        </w:rPr>
        <w:t xml:space="preserve"> [Titulação]. E-mail: [e-mail do orientador]</w:t>
      </w:r>
    </w:p>
    <w:p>
      <w:pPr>
        <w:spacing w:line="240" w:lineRule="auto" w:after="0"/>
      </w:pPr>
      <w:r>
        <w:rPr>
          <w:rFonts w:ascii="Arial" w:hAnsi="Arial" w:cs="Arial" w:eastAsia="Arial"/>
          <w:b w:val="0"/>
          <w:i w:val="0"/>
          <w:color w:val="000000"/>
          <w:sz w:val="22"/>
        </w:rPr>
        <w:br w:type="page"/>
      </w:r>
    </w:p>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Resumo</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 conciliação contábil consome tempo e permanece sujeita a erro humano nas organizações que a executam manualmente, o que motivou o interesse por automação apoiada em aprendizado supervisionado. Este trabalho investigou qual algoritmo melhor automatiza a conciliação entre registros de pagamento e notas fiscais de serviços eletrônicas, e em que medida esse desempenho decorre do algoritmo ou da representação atribuída aos dados. Foram simuladas duas fontes heterogêneas, uma planilha de pagamentos e um conjunto de documentos fiscais em formato XML, submetidas a extração, transformação e carga e empregadas no treinamento de floresta aleatória, máquina de vetores de suporte e regressão logística. O primeiro experimento produziu acurácia unitária para a floresta aleatória, desempenho que a auditoria do código atribuiu à circularidade entre a regra de rotulagem e os atributos preditores. Um experimento de ablação quantificou essa circularidade e demonstrou que a vantagem de onze pontos percentuais de F1-macro da floresta sobre os demais algoritmos decorria integralmente da codificação por valor-sentinela. Um segundo experimento, com rótulo derivado da verdade de origem do gerador, guarda automatizado contra vazamento e seleção por recall da classe de exceção sob precisão mínima de 0,90, reposicionou a comparação: em dez execuções, a floresta aleatória detectou 1,44 ponto percentual mais divergências que a máquina de vetores de suporte e 4,56 mais que a regressão logística, ao custo de encaminhar 27,6% do lote à revisão manual. A representação dos dados e a procedência do rótulo pesaram mais na conciliação contábil automatizada do que a escolha do algoritmo.</w:t>
      </w:r>
    </w:p>
    <w:p>
      <w:pPr>
        <w:keepNext w:val="0"/>
        <w:spacing w:line="240" w:lineRule="auto" w:before="0" w:after="0"/>
        <w:jc w:val="both"/>
      </w:pPr>
      <w:r>
        <w:rPr>
          <w:rFonts w:ascii="Arial" w:hAnsi="Arial" w:cs="Arial" w:eastAsia="Arial"/>
          <w:b/>
          <w:i w:val="0"/>
          <w:color w:val="000000"/>
          <w:sz w:val="22"/>
        </w:rPr>
        <w:t>Palavras-chave:</w:t>
      </w:r>
      <w:r>
        <w:rPr>
          <w:rFonts w:ascii="Arial" w:hAnsi="Arial" w:cs="Arial" w:eastAsia="Arial"/>
          <w:b w:val="0"/>
          <w:i w:val="0"/>
          <w:color w:val="000000"/>
          <w:sz w:val="22"/>
        </w:rPr>
        <w:t xml:space="preserve"> aprendizado supervisionado; vazamento de rótulo; floresta aleatória; controle interno; nota fiscal eletrônica.</w:t>
      </w:r>
    </w:p>
    <w:p>
      <w:pPr>
        <w:keepNext w:val="0"/>
        <w:spacing w:line="240" w:lineRule="auto" w:before="0" w:after="0"/>
        <w:jc w:val="both"/>
      </w:pPr>
    </w:p>
    <w:p>
      <w:pPr>
        <w:keepNext w:val="0"/>
        <w:spacing w:line="240" w:lineRule="auto" w:before="0" w:after="0"/>
        <w:jc w:val="center"/>
      </w:pPr>
      <w:r>
        <w:rPr>
          <w:rFonts w:ascii="Arial" w:hAnsi="Arial" w:cs="Arial" w:eastAsia="Arial"/>
          <w:b/>
          <w:i w:val="0"/>
          <w:color w:val="000000"/>
          <w:sz w:val="22"/>
        </w:rPr>
        <w:t>Data representation determines algorithm performance in automated accounting reconciliation</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Abstract</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Accounting reconciliation is time consuming and remains exposed to human error in organisations that still perform it manually, a condition that motivated interest in automation supported by supervised learning. This work investigated which algorithm best automates the reconciliation between payment records and electronic service invoices, and to what extent the observed performance follows from the algorithm or from the representation assigned to the data. Two heterogeneous sources were simulated, a supplier payment spreadsheet and a set of tax documents in XML format, processed through extraction, transformation and loading and used to train a random forest, a support vector machine and a logistic regression. The first experiment produced unit accuracy for the random forest, a performance that the code audit attributed to circularity between the labelling rule and the predictive attributes. An ablation experiment quantified that circularity and showed that the eleven percentage point macro-F1 advantage of the forest over the remaining algorithms followed entirely from sentinel value encoding. A second experiment, with the label taken from generator ground truth, an automated leakage guard and model selection by exception recall under a minimum precision of 0.90, repositioned the comparison: across ten independent runs the random forest detected 1.44 percentage points more divergences than the support vector machine and 4.56 percentage points more than the logistic regression, at the cost of referring 27.6% of the batch to manual review. Data representation and label provenance weighed more on automated accounting reconciliation than the choice of algorithm.</w:t>
      </w:r>
    </w:p>
    <w:p>
      <w:pPr>
        <w:keepNext w:val="0"/>
        <w:spacing w:line="240" w:lineRule="auto" w:before="0" w:after="0"/>
        <w:jc w:val="both"/>
      </w:pPr>
      <w:r>
        <w:rPr>
          <w:rFonts w:ascii="Arial" w:hAnsi="Arial" w:cs="Arial" w:eastAsia="Arial"/>
          <w:b/>
          <w:i w:val="0"/>
          <w:color w:val="000000"/>
          <w:sz w:val="22"/>
        </w:rPr>
        <w:t>Keywords:</w:t>
      </w:r>
      <w:r>
        <w:rPr>
          <w:rFonts w:ascii="Arial" w:hAnsi="Arial" w:cs="Arial" w:eastAsia="Arial"/>
          <w:b w:val="0"/>
          <w:i w:val="0"/>
          <w:color w:val="000000"/>
          <w:sz w:val="22"/>
        </w:rPr>
        <w:t xml:space="preserve"> supervised learning; label leakage; random forest; internal control; electronic invoice.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Considerações Iniciais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conciliação contábil consiste em conferir e compatibilizar dados de transações financeiras gerados por diferentes sistemas ou subsistemas, a partir de documentos-fonte padronizados, com a finalidade de identificar e corrigir erros, detectar fraudes e assegurar que os saldos finais reflitam a realidade econômica da organização (Mahmud e Fitriani, 2025). Em parcela expressiva das empresas a atividade permanece manual ou semiautomática, condição que eleva o tempo de execução, amplia a exposição ao erro humano e restringe a escalabilidade do controle à medida que cresce o volume de documentos processados.</w:t>
      </w:r>
    </w:p>
    <w:p>
      <w:pPr>
        <w:keepNext w:val="0"/>
        <w:spacing w:line="360" w:lineRule="auto" w:before="0" w:after="0"/>
        <w:ind w:firstLine="709"/>
        <w:jc w:val="both"/>
      </w:pPr>
      <w:r>
        <w:rPr>
          <w:rFonts w:ascii="Arial" w:hAnsi="Arial" w:cs="Arial" w:eastAsia="Arial"/>
          <w:b w:val="0"/>
          <w:i w:val="0"/>
          <w:color w:val="000000"/>
          <w:sz w:val="22"/>
        </w:rPr>
        <w:t>Serviços de automação tornaram-se tendência em diversos setores, impulsionados pelos avanços recentes da inteligência artificial e do aprendizado de máquina (Soni et al., 2020). O aprendizado de máquina reúne algoritmos que exploram a correlação entre os dados de um conjunto, descobrem padrões e produzem modelos capazes de associar entradas a saídas e de generalizar esse comportamento para exemplos novos (França et al., 2021). Aplicado à conciliação, o paradigma supervisionado converte a decisão de conciliar em um problema de classificação sobre pares de registros, no qual o classificador recebe evidências observáveis do pareamento e devolve a categoria correspondente.</w:t>
      </w:r>
    </w:p>
    <w:p>
      <w:pPr>
        <w:keepNext w:val="0"/>
        <w:spacing w:line="360" w:lineRule="auto" w:before="0" w:after="0"/>
        <w:ind w:firstLine="709"/>
        <w:jc w:val="both"/>
      </w:pPr>
      <w:r>
        <w:rPr>
          <w:rFonts w:ascii="Arial" w:hAnsi="Arial" w:cs="Arial" w:eastAsia="Arial"/>
          <w:b w:val="0"/>
          <w:i w:val="0"/>
          <w:color w:val="000000"/>
          <w:sz w:val="22"/>
        </w:rPr>
        <w:t>A heterogeneidade das fontes constitui obstáculo anterior à modelagem. Processos de extração, transformação e carga [ETL] coletam dados de múltiplas origens com esquemas distintos, transformam-nos em representação utilizável e realizam a limpeza necessária para assegurar a validade das informações empregadas no treinamento (Cormier et al., 2025). Chaves de conciliação como o número de inscrição do fornecedor, as datas de emissão e de pagamento e os valores nominais exigem normalização prévia para que a comparação entre fontes seja possível.</w:t>
      </w:r>
    </w:p>
    <w:p>
      <w:pPr>
        <w:keepNext w:val="0"/>
        <w:spacing w:line="360" w:lineRule="auto" w:before="0" w:after="0"/>
        <w:ind w:firstLine="709"/>
        <w:jc w:val="both"/>
      </w:pPr>
      <w:r>
        <w:rPr>
          <w:rFonts w:ascii="Arial" w:hAnsi="Arial" w:cs="Arial" w:eastAsia="Arial"/>
          <w:b w:val="0"/>
          <w:i w:val="0"/>
          <w:color w:val="000000"/>
          <w:sz w:val="22"/>
        </w:rPr>
        <w:t>Formalmente, conciliar registros de pagamento contra documentos fiscais configura um problema de pareamento de registros, cuja fundamentação probabilística remonta ao modelo de Fellegi e Sunter (1969) e foi sistematizada por Christen (2012). Nesse arcabouço o objeto de decisão é o par candidato, e o esforço computacional concentra-se na geração de candidatos, uma vez que o espaço de pares cresce quadraticamente com o número de registros de cada fonte.</w:t>
      </w:r>
    </w:p>
    <w:p>
      <w:pPr>
        <w:keepNext w:val="0"/>
        <w:spacing w:line="360" w:lineRule="auto" w:before="0" w:after="0"/>
        <w:ind w:firstLine="709"/>
        <w:jc w:val="both"/>
      </w:pPr>
      <w:r>
        <w:rPr>
          <w:rFonts w:ascii="Arial" w:hAnsi="Arial" w:cs="Arial" w:eastAsia="Arial"/>
          <w:b w:val="0"/>
          <w:i w:val="0"/>
          <w:color w:val="000000"/>
          <w:sz w:val="22"/>
        </w:rPr>
        <w:t>O emprego de aprendizado supervisionado nesse domínio enfrenta uma dificuldade específica. A maioria das organizações dispõe apenas de rótulos produzidos por suas próprias regras de negócio, e quando as grandezas que compõem a regra de rotulagem também integram o vetor de atributos, o alvo torna-se função determinística das entradas: o modelo recupera a regra em vez de aprender a tarefa. Kaufman et al. (2012) descreveram essa introdução, entre as variáveis preditoras, de informação derivada do próprio alvo, e identificaram como sintoma característico o desempenho implausivelmente alto e estável. A literatura de aprendizado de máquina aplicado à contabilidade e à auditoria registra distância recorrente entre a acurácia reportada e a utilidade operacional dos modelos (Appelbaum et al., 2017; Bao et al., 2020).</w:t>
      </w:r>
    </w:p>
    <w:p>
      <w:pPr>
        <w:keepNext w:val="0"/>
        <w:spacing w:line="360" w:lineRule="auto" w:before="0" w:after="0"/>
        <w:ind w:firstLine="709"/>
        <w:jc w:val="both"/>
      </w:pPr>
      <w:r>
        <w:rPr>
          <w:rFonts w:ascii="Arial" w:hAnsi="Arial" w:cs="Arial" w:eastAsia="Arial"/>
          <w:b w:val="0"/>
          <w:i w:val="0"/>
          <w:color w:val="000000"/>
          <w:sz w:val="22"/>
        </w:rPr>
        <w:t>Neste trabalho os algoritmos foram empregados com finalidade supervisionada e classificatória, sobre dados simulados de pagamentos a fornecedores e de notas fiscais de serviços eletrônicas gerados segundo procedimentos estatísticos explícitos. Três classificadores de famílias distintas foram confrontados: a floresta aleatória, que particiona recursivamente o espaço de atributos (Breiman, 2001); a máquina de vetores de suporte, que busca a fronteira de margem máxima em espaço transformado por núcleo (Cortes e Vapnik, 1995); e a regressão logística, fronteira linear cujos coeficientes são diretamente interpretáveis. O método carrega limitação conhecida de antemão, que o próprio desenho procurou expor em vez de ocultar: rótulos derivados de regra interna restringem o que se pode aprender e o que se pode concluir a respeito dos algoritmos.</w:t>
      </w:r>
    </w:p>
    <w:p>
      <w:pPr>
        <w:keepNext w:val="0"/>
        <w:spacing w:line="360" w:lineRule="auto" w:before="0" w:after="0"/>
        <w:ind w:firstLine="709"/>
        <w:jc w:val="both"/>
      </w:pPr>
      <w:r>
        <w:rPr>
          <w:rFonts w:ascii="Arial" w:hAnsi="Arial" w:cs="Arial" w:eastAsia="Arial"/>
          <w:b w:val="0"/>
          <w:i w:val="0"/>
          <w:color w:val="000000"/>
          <w:sz w:val="22"/>
        </w:rPr>
        <w:t>Este trabalho teve por objetivo determinar qual desses três algoritmos melhor automatiza a conciliação entre registros de pagamento e notas fiscais de serviços eletrônicas, e estabelecer em que medida o desempenho observado decorre do algoritmo escolhido ou da representação atribuída aos dados.</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Implementação de Algoritmo(s) de Machine Learning</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Delineamento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pesquisa caracterizou-se como estudo de natureza aplicada, com abordagem quantitativa, conduzido sob o delineamento de implementação de algoritmos de aprendizado de máquina. O desenvolvimento ocorreu em três etapas encadeadas, cada qual motivada pelo resultado da anterior. A primeira implementou o pipeline completo de conciliação, da simulação das fontes à avaliação dos modelos, em dois cenários de rigor de rótulo. A segunda submeteu a teste, por ablação controlada, duas hipóteses levantadas na auditoria dos resultados da primeira. A terceira reconstruiu o experimento sob rotulagem independente dos atributos, para responder à pergunta de pesquisa com poder discriminante.</w:t>
      </w:r>
    </w:p>
    <w:p>
      <w:pPr>
        <w:keepNext w:val="0"/>
        <w:spacing w:line="360" w:lineRule="auto" w:before="0" w:after="0"/>
        <w:ind w:firstLine="709"/>
        <w:jc w:val="both"/>
      </w:pPr>
      <w:r>
        <w:rPr>
          <w:rFonts w:ascii="Arial" w:hAnsi="Arial" w:cs="Arial" w:eastAsia="Arial"/>
          <w:b w:val="0"/>
          <w:i w:val="0"/>
          <w:color w:val="000000"/>
          <w:sz w:val="22"/>
        </w:rPr>
        <w:t>Todo o código foi escrito em linguagem Python e organizado no pacote reconciliacao, com separação entre simulação, ETL, modelagem e avaliação. A totalidade dos parâmetros experimentais foi externalizada em um arquivo de configuração, sem valores fixos nos módulos de código, e a semente do gerador pseudoaleatório foi mantida constante, de modo que cada execução reproduz exatamente os mesmos artefatos. Os modelos e as métricas foram obtidos com a biblioteca scikit-learn (Pedregosa et al., 2011).</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Geração dos dados simulados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ausência de base contábil real com rótulos auditados, os dados foram gerados por simulação, procedimento admitido para trabalhos com temática de implementação de algoritmos desde que os critérios de geração sejam descritos em detalhe. O gerador produziu duas fontes heterogêneas e independentes em formato, replicando a situação em que a conciliação se apresenta na prática: uma planilha eletrônica com o registro de pagamentos a fornecedores e um conjunto de notas fiscais de serviços eletrônicas em formato XML, estruturadas segundo o padrão de intercâmbio adotado pelos municípios brasileiros.</w:t>
      </w:r>
    </w:p>
    <w:p>
      <w:pPr>
        <w:keepNext w:val="0"/>
        <w:spacing w:line="360" w:lineRule="auto" w:before="0" w:after="0"/>
        <w:ind w:firstLine="709"/>
        <w:jc w:val="both"/>
      </w:pPr>
      <w:r>
        <w:rPr>
          <w:rFonts w:ascii="Arial" w:hAnsi="Arial" w:cs="Arial" w:eastAsia="Arial"/>
          <w:b w:val="0"/>
          <w:i w:val="0"/>
          <w:color w:val="000000"/>
          <w:sz w:val="22"/>
        </w:rPr>
        <w:t>Os números de inscrição dos fornecedores foram gerados com dígitos verificadores calculados, e não sorteados, de modo que a validação cadastral aplicada na etapa de limpeza tivesse referente real. Cada nota recebeu código de município segundo a tabela oficial de códigos, item da lista de serviços, valor dos serviços, alíquota e valor do imposto sobre serviços [ISS] calculado sobre esses dois campos. A descrição de cada pagamento e a discriminação de cada nota foram produzidas por chamadas independentes ao gerador de texto sintético. Os parâmetros da simulação constam da Tabela 1.</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 Parâmetros da simulação do experimento principal</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Parâmetro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Valor</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Registros de pagamento gerados</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7.500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conciliação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Semente do gerador pseudoaleatório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data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6 a 30 dias</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valor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3% a 20%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Partição de teste, estratificada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20%</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Dobras da validação cruzada estratificada</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fração não conciliada da base, correspondente a 30% dos registros, distribuiu-se por três modos de divergência. O primeiro suprimiu a correspondência, seja por atribuição de inscrição inexistente ao pagamento, seja pela emissão de notas sem pagamento associado. O segundo deslocou a data de pagamento em intervalo sorteado entre seis e trinta dias. O terceiro alterou o valor pago por fator sorteado entre 3% e 20% do valor dos serviços.</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Extração, transformação e carga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módulo de extração leu a planilha de pagamentos e percorreu os documentos XML, convertendo ambos em estruturas tabulares. O módulo de limpeza padronizou os números de inscrição pela remoção de máscara e pela validação dos dígitos verificadores, converteu datas para um tipo temporal único e normalizou os valores monetários. A junção entre as fontes foi realizada pela inscrição do fornecedor, e produziu 7.518 registros a partir dos 7.500 pagamentos solicitados. A diferença não é uma duplicidade resolvida no cruzamento: são dezoito pagamentos cuja inscrição aparece em duas notas, de modo que a junção os multiplica em duas linhas, doze delas com rótulos contraditórios entre si. A causa está examinada adiante, entre os modos de falha silenciosa.</w:t>
      </w:r>
    </w:p>
    <w:p>
      <w:pPr>
        <w:keepNext w:val="0"/>
        <w:spacing w:line="360" w:lineRule="auto" w:before="0" w:after="0"/>
        <w:ind w:firstLine="709"/>
        <w:jc w:val="both"/>
      </w:pPr>
      <w:r>
        <w:rPr>
          <w:rFonts w:ascii="Arial" w:hAnsi="Arial" w:cs="Arial" w:eastAsia="Arial"/>
          <w:b w:val="0"/>
          <w:i w:val="0"/>
          <w:color w:val="000000"/>
          <w:sz w:val="22"/>
        </w:rPr>
        <w:t>O módulo de rotulagem atribuiu a classe de cada registro por regra determinística de limiar sobre duas grandezas calculadas na junção: a diferença absoluta em dias entre a data de pagamento e a data de emissão, e a diferença relativa entre o valor pago e o valor dos serviços. Dois cenários de rigor foram definidos, descritos na Tabela 2. No cenário exact a conciliação exigiu coincidência perfeita de data e de valor, com duas classes. No cenário fuzzy admitiram-se tolerâncias e acrescentou-se uma classe intermediária, atribuída aos registros situados dentro de quatro vezes a tolerância de data ou de cinco vezes a tolerância de valor. A Figura 1 reproduz o trecho do rotulador que implementa a regra.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 Cenários de rigor do rótulo</w:t>
      </w:r>
    </w:p>
    <w:tbl>
      <w:tblPr>
        <w:tblW w:w="9070" w:type="dxa"/>
        <w:jc w:val="left"/>
        <w:tblLayout w:type="fixed"/>
        <w:tblLook w:firstColumn="1" w:firstRow="1" w:lastColumn="0" w:lastRow="0" w:noHBand="0" w:noVBand="1" w:val="04A0"/>
      </w:tblPr>
      <w:tblGrid>
        <w:gridCol w:w="2267"/>
        <w:gridCol w:w="2448"/>
        <w:gridCol w:w="2448"/>
        <w:gridCol w:w="1904"/>
      </w:tblGrid>
      <w:tr>
        <w:trPr>
          <w:cantSplit/>
          <w:tblHeader/>
        </w:trPr>
        <w:tc>
          <w:tcPr>
            <w:tcW w:w="2267"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Cenário</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data</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valor</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Classes</w:t>
            </w:r>
          </w:p>
        </w:tc>
      </w:tr>
      <w:tr>
        <w:trPr>
          <w:cantSplit/>
        </w:trPr>
        <w:tc>
          <w:tcPr>
            <w:tcW w:w="2267"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 dia</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w:t>
            </w:r>
          </w:p>
        </w:tc>
      </w:tr>
      <w:tr>
        <w:trPr>
          <w:cantSplit/>
        </w:trPr>
        <w:tc>
          <w:tcPr>
            <w:tcW w:w="2267"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fuzzy</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 dias</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 Divergência absoluta de data e de valor entre o pagamento e a nota</w:t>
      </w:r>
    </w:p>
    <w:p>
      <w:pPr>
        <w:keepNext/>
        <w:spacing w:line="240" w:lineRule="auto" w:before="0" w:after="0"/>
        <w:jc w:val="left"/>
      </w:pPr>
      <w:r>
        <w:rPr>
          <w:rFonts w:ascii="Courier New" w:hAnsi="Courier New" w:cs="Courier New" w:eastAsia="Courier New"/>
          <w:b w:val="0"/>
          <w:i w:val="0"/>
          <w:color w:val="000000"/>
          <w:sz w:val="18"/>
        </w:rPr>
        <w:t>merged["delta_days"] = (merged["data_pagamento"]</w:t>
      </w:r>
    </w:p>
    <w:p>
      <w:pPr>
        <w:keepNext/>
        <w:spacing w:line="240" w:lineRule="auto" w:before="0" w:after="0"/>
        <w:jc w:val="left"/>
      </w:pPr>
      <w:r>
        <w:rPr>
          <w:rFonts w:ascii="Courier New" w:hAnsi="Courier New" w:cs="Courier New" w:eastAsia="Courier New"/>
          <w:b w:val="0"/>
          <w:i w:val="0"/>
          <w:color w:val="000000"/>
          <w:sz w:val="18"/>
        </w:rPr>
        <w:t xml:space="preserve">                        - merged["nfse_data_emissao"]).dt.days.abs()</w:t>
        <w:br/>
        <w:t xml:space="preserve">                        .fillna(9999)   # valor-sentinela</w:t>
      </w:r>
    </w:p>
    <w:p>
      <w:pPr>
        <w:keepNext/>
        <w:spacing w:line="240" w:lineRule="auto" w:before="0" w:after="0"/>
        <w:jc w:val="left"/>
      </w:pPr>
      <w:r>
        <w:rPr>
          <w:rFonts w:ascii="Courier New" w:hAnsi="Courier New" w:cs="Courier New" w:eastAsia="Courier New"/>
          <w:b w:val="0"/>
          <w:i w:val="0"/>
          <w:color w:val="000000"/>
          <w:sz w:val="18"/>
        </w:rPr>
        <w:t>merged["delta_valor_pct"] = ((merged["valor_pago"]</w:t>
      </w:r>
    </w:p>
    <w:p>
      <w:pPr>
        <w:keepNext/>
        <w:spacing w:line="240" w:lineRule="auto" w:before="0" w:after="0"/>
        <w:jc w:val="left"/>
      </w:pPr>
      <w:r>
        <w:rPr>
          <w:rFonts w:ascii="Courier New" w:hAnsi="Courier New" w:cs="Courier New" w:eastAsia="Courier New"/>
          <w:b w:val="0"/>
          <w:i w:val="0"/>
          <w:color w:val="000000"/>
          <w:sz w:val="18"/>
        </w:rPr>
        <w:t xml:space="preserve">                              - merged["nfse_valor_servicos"]).abs()</w:t>
      </w:r>
    </w:p>
    <w:p>
      <w:pPr>
        <w:keepNext/>
        <w:spacing w:line="240" w:lineRule="auto" w:before="0" w:after="0"/>
        <w:jc w:val="left"/>
      </w:pPr>
      <w:r>
        <w:rPr>
          <w:rFonts w:ascii="Courier New" w:hAnsi="Courier New" w:cs="Courier New" w:eastAsia="Courier New"/>
          <w:b w:val="0"/>
          <w:i w:val="0"/>
          <w:color w:val="000000"/>
          <w:sz w:val="18"/>
        </w:rPr>
        <w:t xml:space="preserve">                             / safe_valor * 100).fillna(100.0)</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Regra determinística de limiar que define o rótulo</w:t>
      </w:r>
    </w:p>
    <w:p>
      <w:pPr>
        <w:keepNext/>
        <w:spacing w:line="240" w:lineRule="auto" w:before="0" w:after="0"/>
        <w:jc w:val="left"/>
      </w:pPr>
      <w:r>
        <w:rPr>
          <w:rFonts w:ascii="Courier New" w:hAnsi="Courier New" w:cs="Courier New" w:eastAsia="Courier New"/>
          <w:b w:val="0"/>
          <w:i w:val="0"/>
          <w:color w:val="000000"/>
          <w:sz w:val="18"/>
        </w:rPr>
        <w:t>mask_date_ok = merged["delta_days"] &lt;= date_tolerance_days</w:t>
      </w:r>
    </w:p>
    <w:p>
      <w:pPr>
        <w:keepNext/>
        <w:spacing w:line="240" w:lineRule="auto" w:before="0" w:after="0"/>
        <w:jc w:val="left"/>
      </w:pPr>
      <w:r>
        <w:rPr>
          <w:rFonts w:ascii="Courier New" w:hAnsi="Courier New" w:cs="Courier New" w:eastAsia="Courier New"/>
          <w:b w:val="0"/>
          <w:i w:val="0"/>
          <w:color w:val="000000"/>
          <w:sz w:val="18"/>
        </w:rPr>
        <w:t>mask_valor_ok = merged["delta_valor_pct"] &lt;= value_tolerance_pct</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if n_classes == 2:                       # cenário exact</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1</w:t>
      </w:r>
    </w:p>
    <w:p>
      <w:pPr>
        <w:keepNext/>
        <w:spacing w:line="240" w:lineRule="auto" w:before="0" w:after="0"/>
        <w:jc w:val="left"/>
      </w:pPr>
      <w:r>
        <w:rPr>
          <w:rFonts w:ascii="Courier New" w:hAnsi="Courier New" w:cs="Courier New" w:eastAsia="Courier New"/>
          <w:b w:val="0"/>
          <w:i w:val="0"/>
          <w:color w:val="000000"/>
          <w:sz w:val="18"/>
        </w:rPr>
        <w:t>else:                                    # cenário fuzzy</w:t>
      </w:r>
    </w:p>
    <w:p>
      <w:pPr>
        <w:keepNext/>
        <w:spacing w:line="240" w:lineRule="auto" w:before="0" w:after="0"/>
        <w:jc w:val="left"/>
      </w:pPr>
      <w:r>
        <w:rPr>
          <w:rFonts w:ascii="Courier New" w:hAnsi="Courier New" w:cs="Courier New" w:eastAsia="Courier New"/>
          <w:b w:val="0"/>
          <w:i w:val="0"/>
          <w:color w:val="000000"/>
          <w:sz w:val="18"/>
        </w:rPr>
        <w:t xml:space="preserve">    mask_date_close = merged["delta_days"] &lt;= date_tolerance_days * 4</w:t>
      </w:r>
    </w:p>
    <w:p>
      <w:pPr>
        <w:keepNext/>
        <w:spacing w:line="240" w:lineRule="auto" w:before="0" w:after="0"/>
        <w:jc w:val="left"/>
      </w:pPr>
      <w:r>
        <w:rPr>
          <w:rFonts w:ascii="Courier New" w:hAnsi="Courier New" w:cs="Courier New" w:eastAsia="Courier New"/>
          <w:b w:val="0"/>
          <w:i w:val="0"/>
          <w:color w:val="000000"/>
          <w:sz w:val="18"/>
        </w:rPr>
        <w:t xml:space="preserve">    mask_valor_close = merged["delta_valor_pct"] &lt;= value_tolerance_pct * 5</w:t>
      </w:r>
    </w:p>
    <w:p>
      <w:pPr>
        <w:keepNext/>
        <w:spacing w:line="240" w:lineRule="auto" w:before="0" w:after="0"/>
        <w:jc w:val="left"/>
      </w:pPr>
      <w:r>
        <w:rPr>
          <w:rFonts w:ascii="Courier New" w:hAnsi="Courier New" w:cs="Courier New" w:eastAsia="Courier New"/>
          <w:b w:val="0"/>
          <w:i w:val="0"/>
          <w:color w:val="000000"/>
          <w:sz w:val="18"/>
        </w:rPr>
        <w:t xml:space="preserve">    mask_parcial = (~(mask_date_ok &amp; mask_valor_ok)) &amp; (mask_date_close</w:t>
      </w:r>
    </w:p>
    <w:p>
      <w:pPr>
        <w:keepNext/>
        <w:spacing w:line="240" w:lineRule="auto" w:before="0" w:after="0"/>
        <w:jc w:val="left"/>
      </w:pPr>
      <w:r>
        <w:rPr>
          <w:rFonts w:ascii="Courier New" w:hAnsi="Courier New" w:cs="Courier New" w:eastAsia="Courier New"/>
          <w:b w:val="0"/>
          <w:i w:val="0"/>
          <w:color w:val="000000"/>
          <w:sz w:val="18"/>
        </w:rPr>
        <w:t xml:space="preserve">                                                        | mask_valor_close)</w:t>
      </w:r>
    </w:p>
    <w:p>
      <w:pPr>
        <w:keepNext/>
        <w:spacing w:line="240" w:lineRule="auto" w:before="0" w:after="0"/>
        <w:jc w:val="left"/>
      </w:pPr>
      <w:r>
        <w:rPr>
          <w:rFonts w:ascii="Courier New" w:hAnsi="Courier New" w:cs="Courier New" w:eastAsia="Courier New"/>
          <w:b w:val="0"/>
          <w:i w:val="0"/>
          <w:color w:val="000000"/>
          <w:sz w:val="18"/>
        </w:rPr>
        <w:t xml:space="preserve">    merged.loc[mask_parcial, "label"] = 1</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2</w:t>
      </w:r>
    </w:p>
    <w:p>
      <w:pPr>
        <w:keepNext/>
        <w:spacing w:line="240" w:lineRule="auto" w:before="0" w:after="0"/>
        <w:jc w:val="both"/>
      </w:pPr>
      <w:r>
        <w:rPr>
          <w:rFonts w:ascii="Arial" w:hAnsi="Arial" w:cs="Arial" w:eastAsia="Arial"/>
          <w:b w:val="0"/>
          <w:i w:val="0"/>
          <w:color w:val="000000"/>
          <w:sz w:val="22"/>
        </w:rPr>
        <w:t>Figura 1. Regra de rotulagem do experimento principal, aplicada sobre a diferença de data e a diferença relativa de valor</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Engenharia de atributos e algoritmos avaliados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matriz de atributos do experimento principal reuniu sete variáveis, descritas na Tabela 3. Registros de pagamento sem nota correspondente não possuem diferença de data nem de valor calculável, e receberam valores-sentinela: 9.999 para a diferença de dias e 100 para a diferença percentual de valor. Essa decisão de codificação, aparentemente inócua, revelou-se determinante para o resultado, conforme discutido adiante.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3. Atributos do experimento principal</w:t>
      </w:r>
    </w:p>
    <w:tbl>
      <w:tblPr>
        <w:tblW w:w="9070" w:type="dxa"/>
        <w:jc w:val="left"/>
        <w:tblLayout w:type="fixed"/>
        <w:tblLook w:firstColumn="1" w:firstRow="1" w:lastColumn="0" w:lastRow="0" w:noHBand="0" w:noVBand="1" w:val="04A0"/>
      </w:tblPr>
      <w:tblGrid>
        <w:gridCol w:w="2539"/>
        <w:gridCol w:w="6530"/>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53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delta_days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em dias, entre a data de pagamento e a data de emissão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delta_valor_pct</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relativa entre o valor pago e o valor dos serviços</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valor_pago</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nominal registrado no pagamento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nfse_valor_iss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 ISS declarado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nfse_aliquota</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do ISS declarada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descricao_similarity</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cnpj_match</w:t>
            </w:r>
          </w:p>
        </w:tc>
        <w:tc>
          <w:tcPr>
            <w:tcW w:w="653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indicador de presença da inscrição do fornecedor no registro de pagamento</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encapsulados em fluxos de processamento que incluíam, quando necessário, a padronização por escore z, e foram ajustados por busca exaustiva em grade com validação cruzada estratificada de cinco dobras, maximizando o F1-macro. A Tabela 4 detalha o pré-processamento e o espaço de busca de cada algoritmo, e a Figura 2 reproduz a definição dos fluxos. A partição de teste correspondeu a 20% dos registros, estratificada pela classe e isolada antes de qualquer ajuste.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4. Algoritmos, pré-processamento e grades de hiperparâmetros</w:t>
      </w:r>
    </w:p>
    <w:tbl>
      <w:tblPr>
        <w:tblW w:w="9070" w:type="dxa"/>
        <w:jc w:val="left"/>
        <w:tblLayout w:type="fixed"/>
        <w:tblLook w:firstColumn="1" w:firstRow="1" w:lastColumn="0" w:lastRow="0" w:noHBand="0" w:noVBand="1" w:val="04A0"/>
      </w:tblPr>
      <w:tblGrid>
        <w:gridCol w:w="2176"/>
        <w:gridCol w:w="2993"/>
        <w:gridCol w:w="3900"/>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299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Pré-processamento</w:t>
            </w:r>
          </w:p>
        </w:tc>
        <w:tc>
          <w:tcPr>
            <w:tcW w:w="390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Hiperparâmetros pesquisados</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número de árvores (100; 200); profundidade máxima (sem limite; 10)</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padronização por escore z; calibração de probabilidades</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custo C (0,1; 1,0; 10,0)</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Regressão logística</w:t>
            </w:r>
          </w:p>
        </w:tc>
        <w:tc>
          <w:tcPr>
            <w:tcW w:w="299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padronização por escore z</w:t>
            </w:r>
          </w:p>
        </w:tc>
        <w:tc>
          <w:tcPr>
            <w:tcW w:w="390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inverso da regularização C (0,01; 0,1; 1,0; 10,0)</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três algoritmos foram ajustados com ponderação de classes inversamente proporcional à frequência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"random_forest": (</w:t>
      </w:r>
    </w:p>
    <w:p>
      <w:pPr>
        <w:keepNext/>
        <w:spacing w:line="240" w:lineRule="auto" w:before="0" w:after="0"/>
        <w:jc w:val="left"/>
      </w:pPr>
      <w:r>
        <w:rPr>
          <w:rFonts w:ascii="Courier New" w:hAnsi="Courier New" w:cs="Courier New" w:eastAsia="Courier New"/>
          <w:b w:val="0"/>
          <w:i w:val="0"/>
          <w:color w:val="000000"/>
          <w:sz w:val="18"/>
        </w:rPr>
        <w:t xml:space="preserve">    Pipeline([("clf", RandomForestClassifier(</w:t>
      </w:r>
    </w:p>
    <w:p>
      <w:pPr>
        <w:keepNext/>
        <w:spacing w:line="240" w:lineRule="auto" w:before="0" w:after="0"/>
        <w:jc w:val="left"/>
      </w:pPr>
      <w:r>
        <w:rPr>
          <w:rFonts w:ascii="Courier New" w:hAnsi="Courier New" w:cs="Courier New" w:eastAsia="Courier New"/>
          <w:b w:val="0"/>
          <w:i w:val="0"/>
          <w:color w:val="000000"/>
          <w:sz w:val="18"/>
        </w:rPr>
        <w:t xml:space="preserve">        n_estimators=mcfg["random_forest"]["n_estimators"],</w:t>
      </w:r>
    </w:p>
    <w:p>
      <w:pPr>
        <w:keepNext/>
        <w:spacing w:line="240" w:lineRule="auto" w:before="0" w:after="0"/>
        <w:jc w:val="left"/>
      </w:pPr>
      <w:r>
        <w:rPr>
          <w:rFonts w:ascii="Courier New" w:hAnsi="Courier New" w:cs="Courier New" w:eastAsia="Courier New"/>
          <w:b w:val="0"/>
          <w:i w:val="0"/>
          <w:color w:val="000000"/>
          <w:sz w:val="18"/>
        </w:rPr>
        <w:t xml:space="preserve">        class_weight=mcfg["random_forest"]["class_weight"],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w:t>
      </w:r>
    </w:p>
    <w:p>
      <w:pPr>
        <w:keepNext/>
        <w:spacing w:line="240" w:lineRule="auto" w:before="0" w:after="0"/>
        <w:jc w:val="left"/>
      </w:pPr>
      <w:r>
        <w:rPr>
          <w:rFonts w:ascii="Courier New" w:hAnsi="Courier New" w:cs="Courier New" w:eastAsia="Courier New"/>
          <w:b w:val="0"/>
          <w:i w:val="0"/>
          <w:color w:val="000000"/>
          <w:sz w:val="18"/>
        </w:rPr>
        <w:t xml:space="preserve">    {"clf__n_estimators": [100, 200], "clf__max_depth": [None, 10]}),</w:t>
      </w:r>
    </w:p>
    <w:p>
      <w:pPr>
        <w:keepNext/>
        <w:spacing w:line="240" w:lineRule="auto" w:before="0" w:after="0"/>
        <w:jc w:val="left"/>
      </w:pPr>
      <w:r>
        <w:rPr>
          <w:rFonts w:ascii="Courier New" w:hAnsi="Courier New" w:cs="Courier New" w:eastAsia="Courier New"/>
          <w:b w:val="0"/>
          <w:i w:val="0"/>
          <w:color w:val="000000"/>
          <w:sz w:val="18"/>
        </w:rPr>
        <w:t>"svm":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CalibratedClassifierCV(</w:t>
      </w:r>
    </w:p>
    <w:p>
      <w:pPr>
        <w:keepNext/>
        <w:spacing w:line="240" w:lineRule="auto" w:before="0" w:after="0"/>
        <w:jc w:val="left"/>
      </w:pPr>
      <w:r>
        <w:rPr>
          <w:rFonts w:ascii="Courier New" w:hAnsi="Courier New" w:cs="Courier New" w:eastAsia="Courier New"/>
          <w:b w:val="0"/>
          <w:i w:val="0"/>
          <w:color w:val="000000"/>
          <w:sz w:val="18"/>
        </w:rPr>
        <w:t xml:space="preserve">                  SVC(kernel=mcfg["svm"]["kernel"],</w:t>
      </w:r>
    </w:p>
    <w:p>
      <w:pPr>
        <w:keepNext/>
        <w:spacing w:line="240" w:lineRule="auto" w:before="0" w:after="0"/>
        <w:jc w:val="left"/>
      </w:pPr>
      <w:r>
        <w:rPr>
          <w:rFonts w:ascii="Courier New" w:hAnsi="Courier New" w:cs="Courier New" w:eastAsia="Courier New"/>
          <w:b w:val="0"/>
          <w:i w:val="0"/>
          <w:color w:val="000000"/>
          <w:sz w:val="18"/>
        </w:rPr>
        <w:t xml:space="preserve">                      class_weight=mcfg["svm"]["class_weight"],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 ensemble=False))]),</w:t>
      </w:r>
    </w:p>
    <w:p>
      <w:pPr>
        <w:keepNext/>
        <w:spacing w:line="240" w:lineRule="auto" w:before="0" w:after="0"/>
        <w:jc w:val="left"/>
      </w:pPr>
      <w:r>
        <w:rPr>
          <w:rFonts w:ascii="Courier New" w:hAnsi="Courier New" w:cs="Courier New" w:eastAsia="Courier New"/>
          <w:b w:val="0"/>
          <w:i w:val="0"/>
          <w:color w:val="000000"/>
          <w:sz w:val="18"/>
        </w:rPr>
        <w:t xml:space="preserve">    {"clf__estimator__C": [0.1, 1.0, 10.0]}),</w:t>
      </w:r>
    </w:p>
    <w:p>
      <w:pPr>
        <w:keepNext/>
        <w:spacing w:line="240" w:lineRule="auto" w:before="0" w:after="0"/>
        <w:jc w:val="left"/>
      </w:pPr>
      <w:r>
        <w:rPr>
          <w:rFonts w:ascii="Courier New" w:hAnsi="Courier New" w:cs="Courier New" w:eastAsia="Courier New"/>
          <w:b w:val="0"/>
          <w:i w:val="0"/>
          <w:color w:val="000000"/>
          <w:sz w:val="18"/>
        </w:rPr>
        <w:t>"logistic_regression":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LogisticRegression(</w:t>
      </w:r>
    </w:p>
    <w:p>
      <w:pPr>
        <w:keepNext/>
        <w:spacing w:line="240" w:lineRule="auto" w:before="0" w:after="0"/>
        <w:jc w:val="left"/>
      </w:pPr>
      <w:r>
        <w:rPr>
          <w:rFonts w:ascii="Courier New" w:hAnsi="Courier New" w:cs="Courier New" w:eastAsia="Courier New"/>
          <w:b w:val="0"/>
          <w:i w:val="0"/>
          <w:color w:val="000000"/>
          <w:sz w:val="18"/>
        </w:rPr>
        <w:t xml:space="preserve">                  class_weight=mcfg["logistic_regression"]["class_weight"],</w:t>
      </w:r>
    </w:p>
    <w:p>
      <w:pPr>
        <w:keepNext/>
        <w:spacing w:line="240" w:lineRule="auto" w:before="0" w:after="0"/>
        <w:jc w:val="left"/>
      </w:pPr>
      <w:r>
        <w:rPr>
          <w:rFonts w:ascii="Courier New" w:hAnsi="Courier New" w:cs="Courier New" w:eastAsia="Courier New"/>
          <w:b w:val="0"/>
          <w:i w:val="0"/>
          <w:color w:val="000000"/>
          <w:sz w:val="18"/>
        </w:rPr>
        <w:t xml:space="preserve">                  max_iter=1000, random_state=seed))]),</w:t>
      </w:r>
    </w:p>
    <w:p>
      <w:pPr>
        <w:keepNext/>
        <w:spacing w:line="240" w:lineRule="auto" w:before="0" w:after="0"/>
        <w:jc w:val="left"/>
      </w:pPr>
      <w:r>
        <w:rPr>
          <w:rFonts w:ascii="Courier New" w:hAnsi="Courier New" w:cs="Courier New" w:eastAsia="Courier New"/>
          <w:b w:val="0"/>
          <w:i w:val="0"/>
          <w:color w:val="000000"/>
          <w:sz w:val="18"/>
        </w:rPr>
        <w:t xml:space="preserve">    {"clf__C": [0.01, 0.1, 1.0, 10.0]}),</w:t>
      </w:r>
    </w:p>
    <w:p>
      <w:pPr>
        <w:keepNext/>
        <w:spacing w:line="240" w:lineRule="auto" w:before="0" w:after="0"/>
        <w:jc w:val="both"/>
      </w:pPr>
      <w:r>
        <w:rPr>
          <w:rFonts w:ascii="Arial" w:hAnsi="Arial" w:cs="Arial" w:eastAsia="Arial"/>
          <w:b w:val="0"/>
          <w:i w:val="0"/>
          <w:color w:val="000000"/>
          <w:sz w:val="22"/>
        </w:rPr>
        <w:t>Figura 2. Definição dos três fluxos de processamento e das respectivas grades de hiperparâmetros, reutilizada sem alteração nos três experimentos</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dos resultados do experimento principal levantou duas hipóteses explicativas, formuladas na seção seguinte, que exigiam verificação empírica. Para submetê-las a teste foi conduzido um experimento de ablação que manteve constantes os dados, a divisão entre treino e teste, a semente, a grade de hiperparâmetros e o protocolo de validação cruzada, variando exclusivamente a representação dos atributos. Os artefatos do experimento original foram preservados; a ablação escreveu em diretório próprio. As quatro configurações avaliadas constam da Tabela 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5. Configurações do experimento de ablação</w:t>
      </w:r>
    </w:p>
    <w:tbl>
      <w:tblPr>
        <w:tblW w:w="9070" w:type="dxa"/>
        <w:jc w:val="left"/>
        <w:tblLayout w:type="fixed"/>
        <w:tblLook w:firstColumn="1" w:firstRow="1" w:lastColumn="0" w:lastRow="0" w:noHBand="0" w:noVBand="1" w:val="04A0"/>
      </w:tblPr>
      <w:tblGrid>
        <w:gridCol w:w="1723"/>
        <w:gridCol w:w="3990"/>
        <w:gridCol w:w="3355"/>
      </w:tblGrid>
      <w:tr>
        <w:trPr>
          <w:cantSplit/>
          <w:tblHeader/>
        </w:trPr>
        <w:tc>
          <w:tcPr>
            <w:tcW w:w="172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399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Atributos</w:t>
            </w:r>
          </w:p>
        </w:tc>
        <w:tc>
          <w:tcPr>
            <w:tcW w:w="335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Hipótese submetida a teste</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linha de base, que replica o experimento principal</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 acrescidos de indicador de correspondência, com imputação neutra no lugar das sentinelas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diferença entre os algoritmos é artefato da escala</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sem delta_days e sem delta_valor_pct</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parcela do desempenho atribuível ao vazamento direto</w:t>
            </w:r>
          </w:p>
        </w:tc>
      </w:tr>
      <w:tr>
        <w:trPr>
          <w:cantSplit/>
        </w:trPr>
        <w:tc>
          <w:tcPr>
            <w:tcW w:w="172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399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também sem nfse_valor_iss e sem nfse_aliquota</w:t>
            </w:r>
          </w:p>
        </w:tc>
        <w:tc>
          <w:tcPr>
            <w:tcW w:w="335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parcela atribuível ao vazamento indireto pelos campos de ISS</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na configuração sentinel_fixed os registros sem correspondência receberam indicador nulo e imputação das diferenças pela mediana dos registros pareados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comparação com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experimento de comparação foi construído sobre um princípio único: o rótulo vem do gerador e nenhum atributo participa de sua definição. O desacoplamento foi obtido por construção, e não por remoção de variáveis. O gerador conhece qual pagamento quita qual nota, persiste essa correspondência em uma tabela de verdade e a mantém inacessível à engenharia de atributos, que reconstrói apenas o que um analista de conciliação observaria.</w:t>
      </w:r>
    </w:p>
    <w:p>
      <w:pPr>
        <w:keepNext w:val="0"/>
        <w:spacing w:line="360" w:lineRule="auto" w:before="0" w:after="0"/>
        <w:ind w:firstLine="709"/>
        <w:jc w:val="both"/>
      </w:pPr>
      <w:r>
        <w:rPr>
          <w:rFonts w:ascii="Arial" w:hAnsi="Arial" w:cs="Arial" w:eastAsia="Arial"/>
          <w:b w:val="0"/>
          <w:i w:val="0"/>
          <w:color w:val="000000"/>
          <w:sz w:val="22"/>
        </w:rPr>
        <w:t>O segundo desvio em relação ao desenho original diz respeito à natureza dos pares legítimos. No experimento principal, um par verdadeiro era uma cópia: mesma data e mesmo valor. No experimento de comparação, o pagamento foi derivado da nota por transformação legítima. A data de pagamento resultou da soma da data de emissão a um prazo sorteado uma única vez por fornecedor, de modo que cada fornecedor passasse a ter prazo característico estimável a partir do histórico, com fração declarada de exceções legítimas. O valor pago resultou da aplicação de retenções tributárias sobre o valor dos serviços, sorteadas entre as combinações apresentadas na Tabela 6, que envolvem o imposto de renda retido na fonte [IRRF], as contribuições sociais retidas na fonte [CSRF], a contribuição previdenciária [INSS] e o ISS retido pelo tomador.</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6. Combinações de retenção admitidas na geração dos pares verdadeiros</w:t>
      </w:r>
    </w:p>
    <w:tbl>
      <w:tblPr>
        <w:tblW w:w="9070" w:type="dxa"/>
        <w:jc w:val="left"/>
        <w:tblLayout w:type="fixed"/>
        <w:tblLook w:firstColumn="1" w:firstRow="1" w:lastColumn="0" w:lastRow="0" w:noHBand="0" w:noVBand="1" w:val="04A0"/>
      </w:tblPr>
      <w:tblGrid>
        <w:gridCol w:w="2721"/>
        <w:gridCol w:w="3083"/>
        <w:gridCol w:w="3265"/>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Combinação</w:t>
            </w:r>
          </w:p>
        </w:tc>
        <w:tc>
          <w:tcPr>
            <w:tcW w:w="308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Retenção total</w:t>
            </w:r>
          </w:p>
        </w:tc>
        <w:tc>
          <w:tcPr>
            <w:tcW w:w="326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Condição de incidência</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Nenhuma</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0,00%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4,65%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declarada, de 2,00% a 5,00%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CSRF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INSS</w:t>
            </w:r>
          </w:p>
        </w:tc>
        <w:tc>
          <w:tcPr>
            <w:tcW w:w="308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11,00%</w:t>
            </w:r>
          </w:p>
        </w:tc>
        <w:tc>
          <w:tcPr>
            <w:tcW w:w="326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as alíquotas e o limite de incidência são parâmetros de configuração do gerador e não constituem afirmação normativa; as alíquotas de 1,50%, 4,65% e 11,00% correspondem às retenções vigentes de IRRF sobre serviços profissionais, de CSRF e de contribuição previdenciária, ao passo que o limite de R$ 5.000,00 reproduz a redação do art. 31 da Lei nº 10.833/2003 anterior à Lei nº 13.137/2015, que o revogou — ele é mantido por criar a interação condicional que o experimento explora, e não por descrever a regra em vigor</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consequência dessa transformação é que uma razão de valor de 0,9535 deixou de significar divergência e passou a significar compatibilidade com a retenção das contribuições sociais. Como essa retenção incide apenas acima do limite configurado, surgiu uma interação condicional genuína entre o valor dos serviços e a diferença legítima esperada, isto é, uma fronteira não linear sobre combinações discretas de alíquotas condicionada a um limiar em outra variável. É precisamente o tipo de estrutura em que o particionamento axial, a fronteira de margem com núcleo radial e a fronteira linear possuem capacidades distintas.</w:t>
      </w:r>
    </w:p>
    <w:p>
      <w:pPr>
        <w:keepNext w:val="0"/>
        <w:spacing w:line="360" w:lineRule="auto" w:before="0" w:after="0"/>
        <w:ind w:firstLine="709"/>
        <w:jc w:val="both"/>
      </w:pPr>
      <w:r>
        <w:rPr>
          <w:rFonts w:ascii="Arial" w:hAnsi="Arial" w:cs="Arial" w:eastAsia="Arial"/>
          <w:b w:val="0"/>
          <w:i w:val="0"/>
          <w:color w:val="000000"/>
          <w:sz w:val="22"/>
        </w:rPr>
        <w:t>Os não-pares foram construídos para não serem trivialmente separáveis. Ao menos 30% deles receberam razão de valor cuja retenção implícita cai dentro da tolerância de alguma combinação legítima, de sorte que não são resolvíveis pelo valor e exigem outra evidência. Simetricamente, uma fração dos pares verdadeiros foge do prazo típico do fornecedor, apresenta divergência de centavos por arredondamento no ISS declarado ou traz descrição não relacionada, e os não-pares corrompem um subconjunto sorteado das dimensões de evidência, e não uma dimensão fixa. Sem essa sobreposição deliberada, qualquer dimensão isolada se converteria em nova regra determinística e o problema original seria reproduzido. A descrição do pagamento passou a ser derivada da discriminação da nota por abreviação de palavras, transposição de caracteres adjacentes e perda de acentuação, o que conferiu à similaridade textual conteúdo informativo genuíno, ainda que imperfeito.</w:t>
      </w:r>
    </w:p>
    <w:p>
      <w:pPr>
        <w:keepNext w:val="0"/>
        <w:spacing w:line="360" w:lineRule="auto" w:before="0" w:after="0"/>
        <w:ind w:firstLine="709"/>
        <w:jc w:val="both"/>
      </w:pPr>
      <w:r>
        <w:rPr>
          <w:rFonts w:ascii="Arial" w:hAnsi="Arial" w:cs="Arial" w:eastAsia="Arial"/>
          <w:b w:val="0"/>
          <w:i w:val="0"/>
          <w:color w:val="000000"/>
          <w:sz w:val="22"/>
        </w:rPr>
        <w:t>A matriz de evidências passou a reunir catorze atributos, descritos na Tabela 7, todos computáveis por quem desconhece a genuinidade do pareamento. Os indicadores de compatibilidade codificam conhecimento de domínio a partir de campos observáveis, e um não-par pode ser coincidentemente compatível, que é exatamente o que caracteriza um caso difícil. A mediana de prazo por fornecedor foi estimada apenas na partição de treino e aplicada às demais, com recurso à mediana global do treino para fornecedores ausentes, para evitar o vazamento transdutivo de estatística agregada.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7. Atributos do experimento de comparação</w:t>
      </w:r>
    </w:p>
    <w:tbl>
      <w:tblPr>
        <w:tblW w:w="9070" w:type="dxa"/>
        <w:jc w:val="left"/>
        <w:tblLayout w:type="fixed"/>
        <w:tblLook w:firstColumn="1" w:firstRow="1" w:lastColumn="0" w:lastRow="0" w:noHBand="0" w:noVBand="1" w:val="04A0"/>
      </w:tblPr>
      <w:tblGrid>
        <w:gridCol w:w="2811"/>
        <w:gridCol w:w="6258"/>
      </w:tblGrid>
      <w:tr>
        <w:trPr>
          <w:cantSplit/>
          <w:tblHeader/>
        </w:trPr>
        <w:tc>
          <w:tcPr>
            <w:tcW w:w="281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25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delta_dias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com sinal, em dias, entre a data de pagamento e a data de emissão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quociente entre o valor pago e o valor dos serviços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complemento percentual da razão de valor</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valor_retido_brl</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em reais, entre o valor dos serviços e o valor pago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IRRF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soma de IRRF 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ISS declarada</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compat_combo_iss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às combinações que incluem o ISS retido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compat_inss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INSS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acima_limite_csrf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indicador de valor dos serviços acima do limite de incidência da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entre o prazo observado e a mediana histórica do fornecedor, estimada na partição de treino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81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6258" w:type="dxa"/>
            <w:tcBorders>
              <w:top w:val="nil"/>
              <w:left w:val="nil"/>
              <w:bottom w:val="single" w:sz="6" w:space="0" w:color="000000"/>
              <w:right w:val="nil"/>
            </w:tcBorders>
          </w:tcPr>
          <w:p>
            <w:pPr>
              <w:keepNext/>
              <w:spacing w:line="240" w:lineRule="auto" w:before="0" w:after="0"/>
              <w:jc w:val="both"/>
            </w:pPr>
            <w:r>
              <w:t>indicador de coincidência entre o município do centro de custo do pagamento e o município declarado na nota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indicadores de compatibilidade utilizam tolerância de 0,05 ponto percentual sobre a retenção implícita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Guarda contra vazamento de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requisito de que nenhuma dimensão de evidência separe as classes sozinha foi convertido em verificação executável. Antes de cada treinamento, o guarda ajustou uma árvore de decisão de profundidade um sobre cada atributo isoladamente, mediu a acurácia por validação cruzada e interrompeu o pipeline com erro, e não com aviso, sempre que algum atributo ultrapassasse o teto configurado de 0,95. O guarda operacionalizou como teste de regressão a recomendação derivada do experimento principal, e sua implementação consta da Figura 3.</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stump_accuracies(X, y, cv=3, seed=42):</w:t>
      </w:r>
    </w:p>
    <w:p>
      <w:pPr>
        <w:keepNext/>
        <w:spacing w:line="240" w:lineRule="auto" w:before="0" w:after="0"/>
        <w:jc w:val="left"/>
      </w:pPr>
      <w:r>
        <w:rPr>
          <w:rFonts w:ascii="Courier New" w:hAnsi="Courier New" w:cs="Courier New" w:eastAsia="Courier New"/>
          <w:b w:val="0"/>
          <w:i w:val="0"/>
          <w:color w:val="000000"/>
          <w:sz w:val="18"/>
        </w:rPr>
        <w:t xml:space="preserve">    """Acurácia, em validação cruzada, de uma árvore de profundidade um</w:t>
      </w:r>
    </w:p>
    <w:p>
      <w:pPr>
        <w:keepNext/>
        <w:spacing w:line="240" w:lineRule="auto" w:before="0" w:after="0"/>
        <w:jc w:val="left"/>
      </w:pPr>
      <w:r>
        <w:rPr>
          <w:rFonts w:ascii="Courier New" w:hAnsi="Courier New" w:cs="Courier New" w:eastAsia="Courier New"/>
          <w:b w:val="0"/>
          <w:i w:val="0"/>
          <w:color w:val="000000"/>
          <w:sz w:val="18"/>
        </w:rPr>
        <w:t xml:space="preserve">    ajustada sobre cada atributo isoladamente."""</w:t>
      </w:r>
    </w:p>
    <w:p>
      <w:pPr>
        <w:keepNext/>
        <w:spacing w:line="240" w:lineRule="auto" w:before="0" w:after="0"/>
        <w:jc w:val="left"/>
      </w:pPr>
      <w:r>
        <w:rPr>
          <w:rFonts w:ascii="Courier New" w:hAnsi="Courier New" w:cs="Courier New" w:eastAsia="Courier New"/>
          <w:b w:val="0"/>
          <w:i w:val="0"/>
          <w:color w:val="000000"/>
          <w:sz w:val="18"/>
        </w:rPr>
        <w:t xml:space="preserve">    folds = StratifiedKFold(n_splits=cv, shuffle=True, random_state=seed)</w:t>
      </w:r>
    </w:p>
    <w:p>
      <w:pPr>
        <w:keepNext/>
        <w:spacing w:line="240" w:lineRule="auto" w:before="0" w:after="0"/>
        <w:jc w:val="left"/>
      </w:pPr>
      <w:r>
        <w:rPr>
          <w:rFonts w:ascii="Courier New" w:hAnsi="Courier New" w:cs="Courier New" w:eastAsia="Courier New"/>
          <w:b w:val="0"/>
          <w:i w:val="0"/>
          <w:color w:val="000000"/>
          <w:sz w:val="18"/>
        </w:rPr>
        <w:t xml:space="preserve">    scores = {}</w:t>
      </w:r>
    </w:p>
    <w:p>
      <w:pPr>
        <w:keepNext/>
        <w:spacing w:line="240" w:lineRule="auto" w:before="0" w:after="0"/>
        <w:jc w:val="left"/>
      </w:pPr>
      <w:r>
        <w:rPr>
          <w:rFonts w:ascii="Courier New" w:hAnsi="Courier New" w:cs="Courier New" w:eastAsia="Courier New"/>
          <w:b w:val="0"/>
          <w:i w:val="0"/>
          <w:color w:val="000000"/>
          <w:sz w:val="18"/>
        </w:rPr>
        <w:t xml:space="preserve">    for column in X.columns:</w:t>
      </w:r>
    </w:p>
    <w:p>
      <w:pPr>
        <w:keepNext/>
        <w:spacing w:line="240" w:lineRule="auto" w:before="0" w:after="0"/>
        <w:jc w:val="left"/>
      </w:pPr>
      <w:r>
        <w:rPr>
          <w:rFonts w:ascii="Courier New" w:hAnsi="Courier New" w:cs="Courier New" w:eastAsia="Courier New"/>
          <w:b w:val="0"/>
          <w:i w:val="0"/>
          <w:color w:val="000000"/>
          <w:sz w:val="18"/>
        </w:rPr>
        <w:t xml:space="preserve">        stump = DecisionTreeClassifier(max_depth=1, random_state=seed)</w:t>
      </w:r>
    </w:p>
    <w:p>
      <w:pPr>
        <w:keepNext/>
        <w:spacing w:line="240" w:lineRule="auto" w:before="0" w:after="0"/>
        <w:jc w:val="left"/>
      </w:pPr>
      <w:r>
        <w:rPr>
          <w:rFonts w:ascii="Courier New" w:hAnsi="Courier New" w:cs="Courier New" w:eastAsia="Courier New"/>
          <w:b w:val="0"/>
          <w:i w:val="0"/>
          <w:color w:val="000000"/>
          <w:sz w:val="18"/>
        </w:rPr>
        <w:t xml:space="preserve">        scores[column] = float(cross_val_score(</w:t>
      </w:r>
    </w:p>
    <w:p>
      <w:pPr>
        <w:keepNext/>
        <w:spacing w:line="240" w:lineRule="auto" w:before="0" w:after="0"/>
        <w:jc w:val="left"/>
      </w:pPr>
      <w:r>
        <w:rPr>
          <w:rFonts w:ascii="Courier New" w:hAnsi="Courier New" w:cs="Courier New" w:eastAsia="Courier New"/>
          <w:b w:val="0"/>
          <w:i w:val="0"/>
          <w:color w:val="000000"/>
          <w:sz w:val="18"/>
        </w:rPr>
        <w:t xml:space="preserve">            stump, X[[column]], y, cv=folds, scoring="accuracy").mean())</w:t>
      </w:r>
    </w:p>
    <w:p>
      <w:pPr>
        <w:keepNext/>
        <w:spacing w:line="240" w:lineRule="auto" w:before="0" w:after="0"/>
        <w:jc w:val="left"/>
      </w:pPr>
      <w:r>
        <w:rPr>
          <w:rFonts w:ascii="Courier New" w:hAnsi="Courier New" w:cs="Courier New" w:eastAsia="Courier New"/>
          <w:b w:val="0"/>
          <w:i w:val="0"/>
          <w:color w:val="000000"/>
          <w:sz w:val="18"/>
        </w:rPr>
        <w:t xml:space="preserve">    return pd.Series(scores).sort_values(ascending=False)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def assert_no_leak(X, y, max_accuracy, cv=3, seed=42):</w:t>
      </w:r>
    </w:p>
    <w:p>
      <w:pPr>
        <w:keepNext/>
        <w:spacing w:line="240" w:lineRule="auto" w:before="0" w:after="0"/>
        <w:jc w:val="left"/>
      </w:pPr>
      <w:r>
        <w:rPr>
          <w:rFonts w:ascii="Courier New" w:hAnsi="Courier New" w:cs="Courier New" w:eastAsia="Courier New"/>
          <w:b w:val="0"/>
          <w:i w:val="0"/>
          <w:color w:val="000000"/>
          <w:sz w:val="18"/>
        </w:rPr>
        <w:t xml:space="preserve">    """Falha o pipeline quando algum atributo isolado prediz bem demais."""</w:t>
      </w:r>
    </w:p>
    <w:p>
      <w:pPr>
        <w:keepNext/>
        <w:spacing w:line="240" w:lineRule="auto" w:before="0" w:after="0"/>
        <w:jc w:val="left"/>
      </w:pPr>
      <w:r>
        <w:rPr>
          <w:rFonts w:ascii="Courier New" w:hAnsi="Courier New" w:cs="Courier New" w:eastAsia="Courier New"/>
          <w:b w:val="0"/>
          <w:i w:val="0"/>
          <w:color w:val="000000"/>
          <w:sz w:val="18"/>
        </w:rPr>
        <w:t xml:space="preserve">    report = stump_accuracies(X, y, cv=cv, seed=seed)</w:t>
      </w:r>
    </w:p>
    <w:p>
      <w:pPr>
        <w:keepNext/>
        <w:spacing w:line="240" w:lineRule="auto" w:before="0" w:after="0"/>
        <w:jc w:val="left"/>
      </w:pPr>
      <w:r>
        <w:rPr>
          <w:rFonts w:ascii="Courier New" w:hAnsi="Courier New" w:cs="Courier New" w:eastAsia="Courier New"/>
          <w:b w:val="0"/>
          <w:i w:val="0"/>
          <w:color w:val="000000"/>
          <w:sz w:val="18"/>
        </w:rPr>
        <w:t xml:space="preserve">    offenders = report[report &gt; max_accuracy]</w:t>
      </w:r>
    </w:p>
    <w:p>
      <w:pPr>
        <w:keepNext/>
        <w:spacing w:line="240" w:lineRule="auto" w:before="0" w:after="0"/>
        <w:jc w:val="left"/>
      </w:pPr>
      <w:r>
        <w:rPr>
          <w:rFonts w:ascii="Courier New" w:hAnsi="Courier New" w:cs="Courier New" w:eastAsia="Courier New"/>
          <w:b w:val="0"/>
          <w:i w:val="0"/>
          <w:color w:val="000000"/>
          <w:sz w:val="18"/>
        </w:rPr>
        <w:t xml:space="preserve">    if not offenders.empty:</w:t>
      </w:r>
    </w:p>
    <w:p>
      <w:pPr>
        <w:keepNext/>
        <w:spacing w:line="240" w:lineRule="auto" w:before="0" w:after="0"/>
        <w:jc w:val="left"/>
      </w:pPr>
      <w:r>
        <w:rPr>
          <w:rFonts w:ascii="Courier New" w:hAnsi="Courier New" w:cs="Courier New" w:eastAsia="Courier New"/>
          <w:b w:val="0"/>
          <w:i w:val="0"/>
          <w:color w:val="000000"/>
          <w:sz w:val="18"/>
        </w:rPr>
        <w:t xml:space="preserve">        raise LeakDetected(</w:t>
      </w:r>
    </w:p>
    <w:p>
      <w:pPr>
        <w:keepNext/>
        <w:spacing w:line="240" w:lineRule="auto" w:before="0" w:after="0"/>
        <w:jc w:val="left"/>
      </w:pPr>
      <w:r>
        <w:rPr>
          <w:rFonts w:ascii="Courier New" w:hAnsi="Courier New" w:cs="Courier New" w:eastAsia="Courier New"/>
          <w:b w:val="0"/>
          <w:i w:val="0"/>
          <w:color w:val="000000"/>
          <w:sz w:val="18"/>
        </w:rPr>
        <w:t xml:space="preserve">            f"acurácia de atributo isolado acima de {max_accuracy}: "</w:t>
      </w:r>
    </w:p>
    <w:p>
      <w:pPr>
        <w:keepNext/>
        <w:spacing w:line="240" w:lineRule="auto" w:before="0" w:after="0"/>
        <w:jc w:val="left"/>
      </w:pPr>
      <w:r>
        <w:rPr>
          <w:rFonts w:ascii="Courier New" w:hAnsi="Courier New" w:cs="Courier New" w:eastAsia="Courier New"/>
          <w:b w:val="0"/>
          <w:i w:val="0"/>
          <w:color w:val="000000"/>
          <w:sz w:val="18"/>
        </w:rPr>
        <w:t xml:space="preserve">            f"{dict(offenders)}. O rótulo é recuperável de um atributo.")</w:t>
      </w:r>
    </w:p>
    <w:p>
      <w:pPr>
        <w:keepNext/>
        <w:spacing w:line="240" w:lineRule="auto" w:before="0" w:after="0"/>
        <w:jc w:val="left"/>
      </w:pPr>
      <w:r>
        <w:rPr>
          <w:rFonts w:ascii="Courier New" w:hAnsi="Courier New" w:cs="Courier New" w:eastAsia="Courier New"/>
          <w:b w:val="0"/>
          <w:i w:val="0"/>
          <w:color w:val="000000"/>
          <w:sz w:val="18"/>
        </w:rPr>
        <w:t xml:space="preserve">    return report</w:t>
      </w:r>
    </w:p>
    <w:p>
      <w:pPr>
        <w:keepNext/>
        <w:spacing w:line="240" w:lineRule="auto" w:before="0" w:after="0"/>
        <w:jc w:val="both"/>
      </w:pPr>
      <w:r>
        <w:rPr>
          <w:rFonts w:ascii="Arial" w:hAnsi="Arial" w:cs="Arial" w:eastAsia="Arial"/>
          <w:b w:val="0"/>
          <w:i w:val="0"/>
          <w:color w:val="000000"/>
          <w:sz w:val="22"/>
        </w:rPr>
        <w:t>Figura 3. Guarda contra vazamento de rótulo, executado antes de cada treinamento do experimento de comparação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Critério de decisão e comparação estatística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seleção de modelo deixou de recair sobre métricas simétricas e passou a derivar do objetivo de controle. Em conciliação, deixar passar uma divergência e encaminhar um pagamento legítimo à revisão manual não possuem o mesmo custo: o primeiro silencia uma exceção e compromete o controle interno, ao passo que o segundo apenas gera trabalho redundante. A métrica primária adotada foi, portanto, o recall da classe de exceção sob a restrição de precisão mínima de 0,90 nessa mesma classe. O limiar de decisão que satisfazia a restrição foi escolhido na partição de validação e aplicado sem reajuste à partição de teste, conforme a Figura 4, e a taxa de encaminhamento à revisão manual foi reportada ao lado da métrica primária, por constituir o custo operacional que acompanha o ganho de detecção. A área sob a curva de precisão e recall, o F1-macro e a matriz de confusão completa foram registrados como métricas secundárias.</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choose_threshold(y_val, proba_excecao, min_precision):</w:t>
      </w:r>
    </w:p>
    <w:p>
      <w:pPr>
        <w:keepNext/>
        <w:spacing w:line="240" w:lineRule="auto" w:before="0" w:after="0"/>
        <w:jc w:val="left"/>
      </w:pPr>
      <w:r>
        <w:rPr>
          <w:rFonts w:ascii="Courier New" w:hAnsi="Courier New" w:cs="Courier New" w:eastAsia="Courier New"/>
          <w:b w:val="0"/>
          <w:i w:val="0"/>
          <w:color w:val="000000"/>
          <w:sz w:val="18"/>
        </w:rPr>
        <w:t xml:space="preserve">    """Maior recall de exceção cuja precisão atinge o piso exigido.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Devolve None quando nenhum limiar alcança o piso: nesse caso o</w:t>
      </w:r>
    </w:p>
    <w:p>
      <w:pPr>
        <w:keepNext/>
        <w:spacing w:line="240" w:lineRule="auto" w:before="0" w:after="0"/>
        <w:jc w:val="left"/>
      </w:pPr>
      <w:r>
        <w:rPr>
          <w:rFonts w:ascii="Courier New" w:hAnsi="Courier New" w:cs="Courier New" w:eastAsia="Courier New"/>
          <w:b w:val="0"/>
          <w:i w:val="0"/>
          <w:color w:val="000000"/>
          <w:sz w:val="18"/>
        </w:rPr>
        <w:t xml:space="preserve">    algoritmo é reportado como incapaz de satisfazer a restrição."""</w:t>
      </w:r>
    </w:p>
    <w:p>
      <w:pPr>
        <w:keepNext/>
        <w:spacing w:line="240" w:lineRule="auto" w:before="0" w:after="0"/>
        <w:jc w:val="left"/>
      </w:pPr>
      <w:r>
        <w:rPr>
          <w:rFonts w:ascii="Courier New" w:hAnsi="Courier New" w:cs="Courier New" w:eastAsia="Courier New"/>
          <w:b w:val="0"/>
          <w:i w:val="0"/>
          <w:color w:val="000000"/>
          <w:sz w:val="18"/>
        </w:rPr>
        <w:t xml:space="preserve">    is_exception = (np.asarray(y_val) == 0).astype(int)</w:t>
      </w:r>
    </w:p>
    <w:p>
      <w:pPr>
        <w:keepNext/>
        <w:spacing w:line="240" w:lineRule="auto" w:before="0" w:after="0"/>
        <w:jc w:val="left"/>
      </w:pPr>
      <w:r>
        <w:rPr>
          <w:rFonts w:ascii="Courier New" w:hAnsi="Courier New" w:cs="Courier New" w:eastAsia="Courier New"/>
          <w:b w:val="0"/>
          <w:i w:val="0"/>
          <w:color w:val="000000"/>
          <w:sz w:val="18"/>
        </w:rPr>
        <w:t xml:space="preserve">    precision, recall, thresholds = precision_recall_curve(</w:t>
      </w:r>
    </w:p>
    <w:p>
      <w:pPr>
        <w:keepNext/>
        <w:spacing w:line="240" w:lineRule="auto" w:before="0" w:after="0"/>
        <w:jc w:val="left"/>
      </w:pPr>
      <w:r>
        <w:rPr>
          <w:rFonts w:ascii="Courier New" w:hAnsi="Courier New" w:cs="Courier New" w:eastAsia="Courier New"/>
          <w:b w:val="0"/>
          <w:i w:val="0"/>
          <w:color w:val="000000"/>
          <w:sz w:val="18"/>
        </w:rPr>
        <w:t xml:space="preserve">        is_exception, proba_excecao)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None, -1.0</w:t>
      </w:r>
    </w:p>
    <w:p>
      <w:pPr>
        <w:keepNext/>
        <w:spacing w:line="240" w:lineRule="auto" w:before="0" w:after="0"/>
        <w:jc w:val="left"/>
      </w:pPr>
      <w:r>
        <w:rPr>
          <w:rFonts w:ascii="Courier New" w:hAnsi="Courier New" w:cs="Courier New" w:eastAsia="Courier New"/>
          <w:b w:val="0"/>
          <w:i w:val="0"/>
          <w:color w:val="000000"/>
          <w:sz w:val="18"/>
        </w:rPr>
        <w:t xml:space="preserve">    for p, r, t in zip(precision[:-1], recall[:-1], thresholds):</w:t>
      </w:r>
    </w:p>
    <w:p>
      <w:pPr>
        <w:keepNext/>
        <w:spacing w:line="240" w:lineRule="auto" w:before="0" w:after="0"/>
        <w:jc w:val="left"/>
      </w:pPr>
      <w:r>
        <w:rPr>
          <w:rFonts w:ascii="Courier New" w:hAnsi="Courier New" w:cs="Courier New" w:eastAsia="Courier New"/>
          <w:b w:val="0"/>
          <w:i w:val="0"/>
          <w:color w:val="000000"/>
          <w:sz w:val="18"/>
        </w:rPr>
        <w:t xml:space="preserve">        if p &gt;= min_precision and r &gt; best_recall:</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float(t), float(r)</w:t>
      </w:r>
    </w:p>
    <w:p>
      <w:pPr>
        <w:keepNext/>
        <w:spacing w:line="240" w:lineRule="auto" w:before="0" w:after="0"/>
        <w:jc w:val="left"/>
      </w:pPr>
      <w:r>
        <w:rPr>
          <w:rFonts w:ascii="Courier New" w:hAnsi="Courier New" w:cs="Courier New" w:eastAsia="Courier New"/>
          <w:b w:val="0"/>
          <w:i w:val="0"/>
          <w:color w:val="000000"/>
          <w:sz w:val="18"/>
        </w:rPr>
        <w:t xml:space="preserve">    return best_threshold</w:t>
      </w:r>
    </w:p>
    <w:p>
      <w:pPr>
        <w:keepNext/>
        <w:spacing w:line="240" w:lineRule="auto" w:before="0" w:after="0"/>
        <w:jc w:val="both"/>
      </w:pPr>
      <w:r>
        <w:rPr>
          <w:rFonts w:ascii="Arial" w:hAnsi="Arial" w:cs="Arial" w:eastAsia="Arial"/>
          <w:b w:val="0"/>
          <w:i w:val="0"/>
          <w:color w:val="000000"/>
          <w:sz w:val="22"/>
        </w:rPr>
        <w:t>Figura 4. Escolha do limiar de decisão na partição de validação, sob piso de precisão da classe de exceção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ajuste de hiperparâmetros exigiu correção correlata. O critério padrão de precisão média da biblioteca utilizada avalia a classe positiva, que nesse desenho é o par legítimo, ao passo que todo o critério de decisão recai sobre a classe de exceção. A função de pontuação foi redefinida para a classe de exceção, de modo que a seleção de hiperparâmetros, a escolha do limiar e a métrica reportada apontassem para o mesmo lado da decisão.</w:t>
      </w:r>
    </w:p>
    <w:p>
      <w:pPr>
        <w:keepNext w:val="0"/>
        <w:spacing w:line="360" w:lineRule="auto" w:before="0" w:after="0"/>
        <w:ind w:firstLine="709"/>
        <w:jc w:val="both"/>
      </w:pPr>
      <w:r>
        <w:rPr>
          <w:rFonts w:ascii="Arial" w:hAnsi="Arial" w:cs="Arial" w:eastAsia="Arial"/>
          <w:b w:val="0"/>
          <w:i w:val="0"/>
          <w:color w:val="000000"/>
          <w:sz w:val="22"/>
        </w:rPr>
        <w:t>A partição por semente foi de 60% para treino, 20% para validação e 20% para teste, estratificada. Dez sementes independentes geraram dez bases completas, produzindo dez valores pareados por algoritmo e por métrica. A comparação entre algoritmos foi realizada pelo teste de postos sinalizados de Wilcoxon (Wilcoxon, 1945) aplicado aos pares, com correção de Holm (Holm, 1979) para as três comparações múltiplas, conforme a Figura 5. O tamanho de efeito, expresso como diferença mediana em pontos percentuais, foi reportado ao lado do valor-p, uma vez que significância estatística desacompanhada de magnitude não sustenta recomendação prática (Demšar, 2006).</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paired_comparisons(per_seed, metric):</w:t>
      </w:r>
    </w:p>
    <w:p>
      <w:pPr>
        <w:keepNext/>
        <w:spacing w:line="240" w:lineRule="auto" w:before="0" w:after="0"/>
        <w:jc w:val="left"/>
      </w:pPr>
      <w:r>
        <w:rPr>
          <w:rFonts w:ascii="Courier New" w:hAnsi="Courier New" w:cs="Courier New" w:eastAsia="Courier New"/>
          <w:b w:val="0"/>
          <w:i w:val="0"/>
          <w:color w:val="000000"/>
          <w:sz w:val="18"/>
        </w:rPr>
        <w:t xml:space="preserve">    """Wilcoxon pareado entre os três algoritmos, com correção de Holm."""</w:t>
      </w:r>
    </w:p>
    <w:p>
      <w:pPr>
        <w:keepNext/>
        <w:spacing w:line="240" w:lineRule="auto" w:before="0" w:after="0"/>
        <w:jc w:val="left"/>
      </w:pPr>
      <w:r>
        <w:rPr>
          <w:rFonts w:ascii="Courier New" w:hAnsi="Courier New" w:cs="Courier New" w:eastAsia="Courier New"/>
          <w:b w:val="0"/>
          <w:i w:val="0"/>
          <w:color w:val="000000"/>
          <w:sz w:val="18"/>
        </w:rPr>
        <w:t xml:space="preserve">    wide = per_seed.pivot(index="seed", columns="algorithm", values=metric)</w:t>
      </w:r>
    </w:p>
    <w:p>
      <w:pPr>
        <w:keepNext/>
        <w:spacing w:line="240" w:lineRule="auto" w:before="0" w:after="0"/>
        <w:jc w:val="left"/>
      </w:pPr>
      <w:r>
        <w:rPr>
          <w:rFonts w:ascii="Courier New" w:hAnsi="Courier New" w:cs="Courier New" w:eastAsia="Courier New"/>
          <w:b w:val="0"/>
          <w:i w:val="0"/>
          <w:color w:val="000000"/>
          <w:sz w:val="18"/>
        </w:rPr>
        <w:t xml:space="preserve">    algorithms = sorted(wide.columns)</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rows, raw_p_values = [], []</w:t>
      </w:r>
    </w:p>
    <w:p>
      <w:pPr>
        <w:keepNext/>
        <w:spacing w:line="240" w:lineRule="auto" w:before="0" w:after="0"/>
        <w:jc w:val="left"/>
      </w:pPr>
      <w:r>
        <w:rPr>
          <w:rFonts w:ascii="Courier New" w:hAnsi="Courier New" w:cs="Courier New" w:eastAsia="Courier New"/>
          <w:b w:val="0"/>
          <w:i w:val="0"/>
          <w:color w:val="000000"/>
          <w:sz w:val="18"/>
        </w:rPr>
        <w:t xml:space="preserve">    for a, b in combinations(algorithms, 2):</w:t>
      </w:r>
    </w:p>
    <w:p>
      <w:pPr>
        <w:keepNext/>
        <w:spacing w:line="240" w:lineRule="auto" w:before="0" w:after="0"/>
        <w:jc w:val="left"/>
      </w:pPr>
      <w:r>
        <w:rPr>
          <w:rFonts w:ascii="Courier New" w:hAnsi="Courier New" w:cs="Courier New" w:eastAsia="Courier New"/>
          <w:b w:val="0"/>
          <w:i w:val="0"/>
          <w:color w:val="000000"/>
          <w:sz w:val="18"/>
        </w:rPr>
        <w:t xml:space="preserve">        diff = wide[a] - wide[b]</w:t>
      </w:r>
    </w:p>
    <w:p>
      <w:pPr>
        <w:keepNext/>
        <w:spacing w:line="240" w:lineRule="auto" w:before="0" w:after="0"/>
        <w:jc w:val="left"/>
      </w:pPr>
      <w:r>
        <w:rPr>
          <w:rFonts w:ascii="Courier New" w:hAnsi="Courier New" w:cs="Courier New" w:eastAsia="Courier New"/>
          <w:b w:val="0"/>
          <w:i w:val="0"/>
          <w:color w:val="000000"/>
          <w:sz w:val="18"/>
        </w:rPr>
        <w:t xml:space="preserve">        result = wilcoxon(wide[a], wide[b], zero_method="wilcox")</w:t>
      </w:r>
    </w:p>
    <w:p>
      <w:pPr>
        <w:keepNext/>
        <w:spacing w:line="240" w:lineRule="auto" w:before="0" w:after="0"/>
        <w:jc w:val="left"/>
      </w:pPr>
      <w:r>
        <w:rPr>
          <w:rFonts w:ascii="Courier New" w:hAnsi="Courier New" w:cs="Courier New" w:eastAsia="Courier New"/>
          <w:b w:val="0"/>
          <w:i w:val="0"/>
          <w:color w:val="000000"/>
          <w:sz w:val="18"/>
        </w:rPr>
        <w:t xml:space="preserve">        raw_p_values.append(float(result.pvalue))</w:t>
      </w:r>
    </w:p>
    <w:p>
      <w:pPr>
        <w:keepNext/>
        <w:spacing w:line="240" w:lineRule="auto" w:before="0" w:after="0"/>
        <w:jc w:val="left"/>
      </w:pPr>
      <w:r>
        <w:rPr>
          <w:rFonts w:ascii="Courier New" w:hAnsi="Courier New" w:cs="Courier New" w:eastAsia="Courier New"/>
          <w:b w:val="0"/>
          <w:i w:val="0"/>
          <w:color w:val="000000"/>
          <w:sz w:val="18"/>
        </w:rPr>
        <w:t xml:space="preserve">        rows.append({"algorithm_a": a, "algorithm_b": b,</w:t>
      </w:r>
    </w:p>
    <w:p>
      <w:pPr>
        <w:keepNext/>
        <w:spacing w:line="240" w:lineRule="auto" w:before="0" w:after="0"/>
        <w:jc w:val="left"/>
      </w:pPr>
      <w:r>
        <w:rPr>
          <w:rFonts w:ascii="Courier New" w:hAnsi="Courier New" w:cs="Courier New" w:eastAsia="Courier New"/>
          <w:b w:val="0"/>
          <w:i w:val="0"/>
          <w:color w:val="000000"/>
          <w:sz w:val="18"/>
        </w:rPr>
        <w:t xml:space="preserve">                     "median_diff": float(diff.median()),</w:t>
      </w:r>
    </w:p>
    <w:p>
      <w:pPr>
        <w:keepNext/>
        <w:spacing w:line="240" w:lineRule="auto" w:before="0" w:after="0"/>
        <w:jc w:val="left"/>
      </w:pPr>
      <w:r>
        <w:rPr>
          <w:rFonts w:ascii="Courier New" w:hAnsi="Courier New" w:cs="Courier New" w:eastAsia="Courier New"/>
          <w:b w:val="0"/>
          <w:i w:val="0"/>
          <w:color w:val="000000"/>
          <w:sz w:val="18"/>
        </w:rPr>
        <w:t xml:space="preserve">                     "p_value": float(result.pvalue)})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for row, p_holm in zip(rows, _holm(raw_p_values)):</w:t>
      </w:r>
    </w:p>
    <w:p>
      <w:pPr>
        <w:keepNext/>
        <w:spacing w:line="240" w:lineRule="auto" w:before="0" w:after="0"/>
        <w:jc w:val="left"/>
      </w:pPr>
      <w:r>
        <w:rPr>
          <w:rFonts w:ascii="Courier New" w:hAnsi="Courier New" w:cs="Courier New" w:eastAsia="Courier New"/>
          <w:b w:val="0"/>
          <w:i w:val="0"/>
          <w:color w:val="000000"/>
          <w:sz w:val="18"/>
        </w:rPr>
        <w:t xml:space="preserve">        row["p_holm"] = p_holm</w:t>
      </w:r>
    </w:p>
    <w:p>
      <w:pPr>
        <w:keepNext/>
        <w:spacing w:line="240" w:lineRule="auto" w:before="0" w:after="0"/>
        <w:jc w:val="left"/>
      </w:pPr>
      <w:r>
        <w:rPr>
          <w:rFonts w:ascii="Courier New" w:hAnsi="Courier New" w:cs="Courier New" w:eastAsia="Courier New"/>
          <w:b w:val="0"/>
          <w:i w:val="0"/>
          <w:color w:val="000000"/>
          <w:sz w:val="18"/>
        </w:rPr>
        <w:t xml:space="preserve">        row["significant"] = p_holm &lt; ALPHA</w:t>
      </w:r>
    </w:p>
    <w:p>
      <w:pPr>
        <w:keepNext/>
        <w:spacing w:line="240" w:lineRule="auto" w:before="0" w:after="0"/>
        <w:jc w:val="left"/>
      </w:pPr>
      <w:r>
        <w:rPr>
          <w:rFonts w:ascii="Courier New" w:hAnsi="Courier New" w:cs="Courier New" w:eastAsia="Courier New"/>
          <w:b w:val="0"/>
          <w:i w:val="0"/>
          <w:color w:val="000000"/>
          <w:sz w:val="18"/>
        </w:rPr>
        <w:t xml:space="preserve">    return pd.DataFrame(rows)</w:t>
      </w:r>
    </w:p>
    <w:p>
      <w:pPr>
        <w:keepNext/>
        <w:spacing w:line="240" w:lineRule="auto" w:before="0" w:after="0"/>
        <w:jc w:val="both"/>
      </w:pPr>
      <w:r>
        <w:rPr>
          <w:rFonts w:ascii="Arial" w:hAnsi="Arial" w:cs="Arial" w:eastAsia="Arial"/>
          <w:b w:val="0"/>
          <w:i w:val="0"/>
          <w:color w:val="000000"/>
          <w:sz w:val="22"/>
        </w:rPr>
        <w:t>Figura 5. Comparação pareada entre algoritmos ao longo das dez sementes, com correção de Holm e tamanho de efeito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Reprodutibilidade e verificação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reprodutibilidade foi tratada como requisito de projeto, e não como consequência. Todos os parâmetros de simulação, rotulagem, modelagem e avaliação residem em um único arquivo de configuração; a semente é explícita em cada camada; e os artefatos de cada cenário são persistidos em diretórios separados. A janela de datas simuladas é ancorada em uma data de referência declarada na configuração, e não no relógio, e a lista de inscrições é construída na ordem de sorteio, e não pela iteração de um conjunto — duas correções cuja ausência tornava o experimento principal não reprodutível, como a discussão detalha. Uma suíte de 140 testes automatizados cobre os quatro módulos do pacote e inclui asserções de regressão para os modos de falha descobertos ao longo do trabalho, entre eles a detecção de vazamento em base deliberadamente circular, a exigência de que nenhuma coluna seja constante na partição de treino, a exigência de que treino e teste apresentem escalas comparáveis, a reprodutibilidade da geração entre processos distintos e a verificação de que o limiar de decisão jamais seja calibrado no conjunto de teste.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Resultados e Discussão</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Desempenho no experimento principal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treinados e avaliados nos dois cenários de rigor de rótulo, sobre a partição de teste de 1.504 registros. As Tabelas 8 e 9 reúnem o desempenho obtido. A floresta aleatória atingiu valor unitário em todas as métricas, nos dois cenários, com desvio-padrão de validação cruzada exatamente nulo no cenário exact. A máquina de vetores de suporte e a regressão logística estacionaram em 0,8892 de F1-macro no cenário exact, diferença de onze pontos percentuais de F1-macro em relação à floresta.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8. Desempenho dos algoritmos no cenário exact</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 ± 0,0000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0,9061 ± 0,0072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0,9081 ± 0,0089</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ROC-AUC</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0,9824</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0,9877</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linha de validação cruzada apresenta média e desvio-padrão do F1-macro em cinco dobras do conjunto de treino</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9. Desempenho dos algoritmos no cenário fuzzy</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0,9182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0,9282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0,9264</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0,9664</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0,8371</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0,8407</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0,9978 ± 0,0021</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0,8611 ± 0,0137</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0,8674 ± 0,0155</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área sob a curva ROC não se aplica a este cenário, de três classes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Circularidade entre a regra de rotulagem e os atributos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mais relevante deste trabalho não é que a floresta aleatória superou os demais classificadores, e sim a razão pela qual alcançou valor unitário com dispersão nula. A inspeção do pipeline expõe circularidade entre rotulagem e representação: o módulo de rotulagem define o rótulo como conjunção de dois limiares sobre a diferença de data e a diferença relativa de valor, e o módulo de engenharia de atributos entrega essas mesmas duas grandezas ao classificador. O alvo é, portanto, função exata e inteiramente conhecida de duas das sete variáveis de entrada. O problema submetido aos algoritmos não foi aprender a conciliar, mas recuperar uma conjunção de dois limiares alinhados aos eixos a partir de exemplos, tarefa para a qual o particionamento recursivo de árvores é a hipótese indutiva perfeitamente adequada.</w:t>
      </w:r>
    </w:p>
    <w:p>
      <w:pPr>
        <w:keepNext w:val="0"/>
        <w:spacing w:line="360" w:lineRule="auto" w:before="0" w:after="0"/>
        <w:ind w:firstLine="709"/>
        <w:jc w:val="both"/>
      </w:pPr>
      <w:r>
        <w:rPr>
          <w:rFonts w:ascii="Arial" w:hAnsi="Arial" w:cs="Arial" w:eastAsia="Arial"/>
          <w:b w:val="0"/>
          <w:i w:val="0"/>
          <w:color w:val="000000"/>
          <w:sz w:val="22"/>
        </w:rPr>
        <w:t>A evidência empírica é inequívoca. No cenário exact, a diferença relativa de valor e a diferença de dias concentraram, respectivamente, cerca de 0,44 e 0,43 da importância total por redução de impureza, o que corresponde a aproximadamente 87% do total; as cinco variáveis restantes somaram cerca de 13%, e o indicador de inscrição do fornecedor apresentou importância exatamente nula. Vale a cautela recomendada por Strobl et al. (2007) quanto ao viés dessa medida em favor de variáveis contínuas de alta cardinalidade, embora a hierarquia observada seja robusta o bastante para sustentar o argumento.</w:t>
      </w:r>
    </w:p>
    <w:p>
      <w:pPr>
        <w:keepNext w:val="0"/>
        <w:spacing w:line="360" w:lineRule="auto" w:before="0" w:after="0"/>
        <w:ind w:firstLine="709"/>
        <w:jc w:val="both"/>
      </w:pPr>
      <w:r>
        <w:rPr>
          <w:rFonts w:ascii="Arial" w:hAnsi="Arial" w:cs="Arial" w:eastAsia="Arial"/>
          <w:b w:val="0"/>
          <w:i w:val="0"/>
          <w:color w:val="000000"/>
          <w:sz w:val="22"/>
        </w:rPr>
        <w:t>O padrão corresponde ao vazamento descrito por Kaufman et al. (2012), cujo sintoma clássico é justamente o desempenho implausivelmente alto e estável. A acurácia unitária com desvio-padrão de validação cruzada nulo constitui, assim, diagnóstico e não resultado. A advertência é diretamente transferível às equipes que pretendam aplicar aprendizado supervisionado à conciliação a partir de rótulos gerados por regras internas, situação extremamente comum na prática, já que poucas organizações dispõem de rótulos auditados de forma independente.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artefato de escala na codificação por sentinela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contraste entre a floresta aleatória e os modelos de fronteira suave não decorreu de superioridade conceitual das florestas para o domínio de conciliação, mas de uma interação entre a codificação de ausência de correspondência e a padronização de escala. Os 1.119 registros sem nota correspondente, 14,9% da base, receberam os valores-sentinela descritos na metodologia. A floresta aleatória é invariante a transformações monotônicas, pois apenas a ordem importa para a escolha de pontos de corte. Os dois modelos restantes operam sobre variáveis padronizadas, e a sentinela distorce severamente a média e o desvio-padrão, conforme a Tabela 10.</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10. Efeito da padronização sobre a diferença de dias no cenário exact</w:t>
      </w:r>
    </w:p>
    <w:tbl>
      <w:tblPr>
        <w:tblW w:w="9070" w:type="dxa"/>
        <w:jc w:val="left"/>
        <w:tblLayout w:type="fixed"/>
        <w:tblLook w:firstColumn="1" w:firstRow="1" w:lastColumn="0" w:lastRow="0" w:noHBand="0" w:noVBand="1" w:val="04A0"/>
      </w:tblPr>
      <w:tblGrid>
        <w:gridCol w:w="4988"/>
        <w:gridCol w:w="4081"/>
      </w:tblGrid>
      <w:tr>
        <w:trPr>
          <w:cantSplit/>
          <w:tblHeader/>
        </w:trPr>
        <w:tc>
          <w:tcPr>
            <w:tcW w:w="498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Valor original</w:t>
            </w:r>
          </w:p>
        </w:tc>
        <w:tc>
          <w:tcPr>
            <w:tcW w:w="408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Escore padronizado</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 dia</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−0,4188</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−0,4174</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−0,4171</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30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−0,4103</w:t>
            </w:r>
          </w:p>
        </w:tc>
      </w:tr>
      <w:tr>
        <w:trPr>
          <w:cantSplit/>
        </w:trPr>
        <w:tc>
          <w:tcPr>
            <w:tcW w:w="498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9.999 dias, valor-sentinela</w:t>
            </w:r>
          </w:p>
        </w:tc>
        <w:tc>
          <w:tcPr>
            <w:tcW w:w="408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2,3913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variável apresenta média de 1.490,05 e desvio-padrão de 3.558,25 na base do cenário exact</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Toda a faixa informativa da diferença de dias, de zero a trinta dias, que é onde reside a decisão de conciliação, comprimiu-se em um intervalo de 0,0084 desvio-padrão, ao passo que a sentinela ocupou sozinha 2,8 desvios. Para um classificador de margem, a distância entre um pagamento na data exata e um pagamento com trinta dias de defasagem tornou-se numericamente indistinguível de ruído. A diferença relativa de valor sofreu distorção muito menor, com 0,167 desvio-padrão separando a coincidência perfeita de uma divergência de 6%, o que explica com precisão o padrão de erros: os modelos suaves continuaram separando divergências de valor e perderam quase completamente a capacidade de separar divergências de data. A decomposição dos erros confirma isso de forma exata. O conjunto de teste contém 454 negativos, sendo 208 sem nota alguma, 115 com divergência de valor e 131 com divergência de data; dos 128 falsos positivos cometidos pelos dois modelos, todos os 128 são divergências de data. Os dois detectam 208 de 208 ausências de nota e 115 de 115 divergências de valor, e deixam passar 128 das 131 divergências de data. A dimensão que a sentinela esmagou é exatamente, e somente, a que os modelos perderam.</w:t>
      </w:r>
    </w:p>
    <w:p>
      <w:pPr>
        <w:keepNext w:val="0"/>
        <w:spacing w:line="360" w:lineRule="auto" w:before="0" w:after="0"/>
        <w:ind w:firstLine="709"/>
        <w:jc w:val="both"/>
      </w:pPr>
      <w:r>
        <w:rPr>
          <w:rFonts w:ascii="Arial" w:hAnsi="Arial" w:cs="Arial" w:eastAsia="Arial"/>
          <w:b w:val="0"/>
          <w:i w:val="0"/>
          <w:color w:val="000000"/>
          <w:sz w:val="22"/>
        </w:rPr>
        <w:t>Indício adicional dessa degeneração é que a máquina de vetores de suporte e a regressão logística produziram matrizes de confusão rigorosamente idênticas no cenário exact. Dois modelos de famílias distintas convergindo para a mesma partição do espaço de teste sugerem que ambos colapsaram para essencialmente a mesma decisão univariada sobre a diferença relativa de valor.</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Resultados do 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duas hipóteses foram submetidas a teste no experimento de ablação, cujos resultados em F1-macro constam da Tabela 11 e da Figura 6. A configuração de linha de base reproduziu os valores do experimento principal com precisão de quatro casas decimais, apesar de executada sob versões mais recentes das bibliotecas, o que constitui verificação independente da reprodutibilidade do pipeline.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11. F1-macro por configuração de atributos, cenário e algoritmo</w:t>
      </w:r>
    </w:p>
    <w:tbl>
      <w:tblPr>
        <w:tblW w:w="9070" w:type="dxa"/>
        <w:jc w:val="left"/>
        <w:tblLayout w:type="fixed"/>
        <w:tblLook w:firstColumn="1" w:firstRow="1" w:lastColumn="0" w:lastRow="0" w:noHBand="0" w:noVBand="1" w:val="04A0"/>
      </w:tblPr>
      <w:tblGrid>
        <w:gridCol w:w="1995"/>
        <w:gridCol w:w="1179"/>
        <w:gridCol w:w="1904"/>
        <w:gridCol w:w="2176"/>
        <w:gridCol w:w="1814"/>
      </w:tblGrid>
      <w:tr>
        <w:trPr>
          <w:cantSplit/>
          <w:tblHeader/>
        </w:trPr>
        <w:tc>
          <w:tcPr>
            <w:tcW w:w="1995"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117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Cenário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81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0,7630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0,7837</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0,6815</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0,4976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0,4111</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0,4608</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0,6526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0,6334</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0,6540</w:t>
            </w:r>
            <w:r>
              <w:rPr>
                <w:rFonts w:ascii="Arial" w:hAnsi="Arial" w:cs="Arial" w:eastAsia="Arial"/>
                <w:b w:val="0"/>
                <w:i w:val="0"/>
                <w:color w:val="000000"/>
                <w:sz w:val="22"/>
              </w:rPr>
            </w:r>
          </w:p>
        </w:tc>
      </w:tr>
      <w:tr>
        <w:trPr>
          <w:cantSplit/>
        </w:trPr>
        <w:tc>
          <w:tcPr>
            <w:tcW w:w="1995" w:type="dxa"/>
            <w:tcBorders>
              <w:top w:val="nil"/>
              <w:left w:val="nil"/>
              <w:bottom w:val="single" w:sz="6" w:space="0" w:color="000000"/>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single" w:sz="6" w:space="0" w:color="000000"/>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0,3313</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0,2741</w:t>
            </w:r>
            <w:r>
              <w:rPr>
                <w:rFonts w:ascii="Arial" w:hAnsi="Arial" w:cs="Arial" w:eastAsia="Arial"/>
                <w:b w:val="0"/>
                <w:i w:val="0"/>
                <w:color w:val="000000"/>
                <w:sz w:val="22"/>
              </w:rPr>
            </w:r>
          </w:p>
        </w:tc>
        <w:tc>
          <w:tcPr>
            <w:tcW w:w="1814" w:type="dxa"/>
            <w:tcBorders>
              <w:top w:val="nil"/>
              <w:left w:val="nil"/>
              <w:bottom w:val="single" w:sz="6" w:space="0" w:color="000000"/>
              <w:right w:val="nil"/>
            </w:tcBorders>
          </w:tcPr>
          <w:p>
            <w:pPr>
              <w:keepNext/>
              <w:spacing w:line="240" w:lineRule="auto" w:before="0" w:after="0"/>
              <w:jc w:val="right"/>
            </w:pPr>
            <w:r>
              <w:t>0,2618</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791488"/>
            <wp:docPr id="1" name="Picture 1"/>
            <wp:cNvGraphicFramePr>
              <a:graphicFrameLocks noChangeAspect="1"/>
            </wp:cNvGraphicFramePr>
            <a:graphic>
              <a:graphicData uri="http://schemas.openxmlformats.org/drawingml/2006/picture">
                <pic:pic>
                  <pic:nvPicPr>
                    <pic:cNvPr id="0" name="ablacao.png"/>
                    <pic:cNvPicPr/>
                  </pic:nvPicPr>
                  <pic:blipFill>
                    <a:blip r:embed="rId16"/>
                    <a:stretch>
                      <a:fillRect/>
                    </a:stretch>
                  </pic:blipFill>
                  <pic:spPr>
                    <a:xfrm>
                      <a:off x="0" y="0"/>
                      <a:ext cx="5580000" cy="2791488"/>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6. F1-macro por configuração de atributos e algoritmo no cenário exact</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configuração full replica o experimento principal; sentinel_fixed substitui os valores-sentinela por indicador explícito de correspondência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configuração que substituiu a sentinela por indicador explícito de correspondência, os três algoritmos atingiram matrizes de confusão idênticas e perfeitas no cenário exact, com 454 verdadeiros negativos, 1.050 verdadeiros positivos e nenhum erro em qualquer direção. A diferença de onze pontos percentuais de F1-macro entre a floresta aleatória e os modelos de fronteira suave desapareceu por completo mediante uma única alteração de pré-processamento, sem qualquer mudança de algoritmo, de hiperparâmetro ou de dados. A explicação é geometricamente transparente: removida a sentinela, os registros conciliados ocupam exatamente a origem do plano formado pelas duas diferenças, e a classe torna-se linearmente separável com o auxílio do indicador. O que impedia a regressão logística de encontrar essa fronteira não era sua natureza linear, e sim o esmagamento de escala provocado pelo valor-sentinela.</w:t>
      </w:r>
    </w:p>
    <w:p>
      <w:pPr>
        <w:keepNext w:val="0"/>
        <w:spacing w:line="360" w:lineRule="auto" w:before="0" w:after="0"/>
        <w:ind w:firstLine="709"/>
        <w:jc w:val="both"/>
      </w:pPr>
      <w:r>
        <w:rPr>
          <w:rFonts w:ascii="Arial" w:hAnsi="Arial" w:cs="Arial" w:eastAsia="Arial"/>
          <w:b w:val="0"/>
          <w:i w:val="0"/>
          <w:color w:val="000000"/>
          <w:sz w:val="22"/>
        </w:rPr>
        <w:t>A primeira pergunta de pesquisa precisa, portanto, ser reformulada. Sob representação adequada os três algoritmos são equivalentes neste desenho, e a questão relevante deixa de ser qual algoritmo escolher e passa a ser como representar os dados. O resultado está alinhado à literatura clássica de comparação empírica de classificadores: o teorema da inexistência de almoço grátis (Wolpert, 1996) e o levantamento de Fernández-Delgado et al. (2014) sobre 121 conjuntos de dados sustentam que o desempenho relativo de algoritmos é condicionado à representação, e não intrínseco à família do modelo.</w:t>
      </w:r>
    </w:p>
    <w:p>
      <w:pPr>
        <w:keepNext w:val="0"/>
        <w:spacing w:line="360" w:lineRule="auto" w:before="0" w:after="0"/>
        <w:ind w:firstLine="709"/>
        <w:jc w:val="both"/>
      </w:pPr>
      <w:r>
        <w:rPr>
          <w:rFonts w:ascii="Arial" w:hAnsi="Arial" w:cs="Arial" w:eastAsia="Arial"/>
          <w:b w:val="0"/>
          <w:i w:val="0"/>
          <w:color w:val="000000"/>
          <w:sz w:val="22"/>
        </w:rPr>
        <w:t>A remoção das variáveis da regra confirmou a hipótese de circularidade e produziu um resultado adicional digno de nota: a ordem entre os algoritmos inverteu-se no cenário exact, com a máquina de vetores de suporte superando a floresta aleatória. A conclusão de que a floresta seria o melhor algoritmo para conciliação não sobreviveu à remoção do vazamento. Mais importante que a magnitude da queda é a natureza do que restou detectável, decomposta na Tabela 12.</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12. Decomposição dos acertos na classe negativa sem as variáveis da regra, cenário exact</w:t>
      </w:r>
    </w:p>
    <w:tbl>
      <w:tblPr>
        <w:tblW w:w="9070" w:type="dxa"/>
        <w:jc w:val="left"/>
        <w:tblLayout w:type="fixed"/>
        <w:tblLook w:firstColumn="1" w:firstRow="1" w:lastColumn="0" w:lastRow="0" w:noHBand="0" w:noVBand="1" w:val="04A0"/>
      </w:tblPr>
      <w:tblGrid>
        <w:gridCol w:w="2721"/>
        <w:gridCol w:w="3174"/>
        <w:gridCol w:w="3174"/>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Registros sem correspondência detectados</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Divergências de data ou valor detectadas</w:t>
            </w:r>
          </w:p>
        </w:tc>
      </w:tr>
      <w:tr>
        <w:trPr>
          <w:cantSplit/>
        </w:trPr>
        <w:tc>
          <w:tcPr>
            <w:tcW w:w="2721"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1 de 246 (0,4%)</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22 de 246 (8,9%)</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65 de 246 (26,4%)</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Sem as variáveis da regra, os modelos identificaram com perfeição os pagamentos sem nota fiscal alguma e permaneceram praticamente cegos às divergências de data e de valor. Detectar a ausência de correspondência, porém, não é aprendizado de máquina: é o resultado de uma junção relacional, obtenível por consulta de uma linha em linguagem estruturada. O sinal aparentemente residual é, ele próprio, vazamento indireto, pois o valor e a alíquota do ISS valem zero exatamente quando não existe nota. A configuração que removeu também esses campos confirmou o argumento: o desempenho colapsou para a faixa de 0,41 a 0,50 de F1-macro no cenário exact e de 0,25 a 0,35 no cenário fuzzy, e a máquina de vetores de suporte degenerou para o classificador trivial, predizendo a classe majoritária em todos os casos e obtendo acurácia de 0,6981, exatamente a proporção de registros conciliados na base.</w:t>
      </w:r>
    </w:p>
    <w:p>
      <w:pPr>
        <w:keepNext w:val="0"/>
        <w:spacing w:line="360" w:lineRule="auto" w:before="0" w:after="0"/>
        <w:ind w:firstLine="709"/>
        <w:jc w:val="both"/>
      </w:pPr>
      <w:r>
        <w:rPr>
          <w:rFonts w:ascii="Arial" w:hAnsi="Arial" w:cs="Arial" w:eastAsia="Arial"/>
          <w:b w:val="0"/>
          <w:i w:val="0"/>
          <w:color w:val="000000"/>
          <w:sz w:val="22"/>
        </w:rPr>
        <w:t>Descontado o vazamento direto e o indireto, o conjunto de dados sintéticos do experimento principal não contém sinal aprendível para a tarefa de conciliação. Esse resultado não invalida o trabalho: delimita com precisão o que ele demonstra e converte o que seria uma fragilidade oculta em achado metodológico explícito e mensurado.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Assimetria dos erros e custo em controle interno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de maior relevância prática reside na estrutura dos erros, e não em sua quantidade. A Tabela 13 apresenta a distribuição dos erros no conjunto de teste do cenário exact.</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13. Distribuição dos erros no conjunto de teste do cenário exact</w:t>
      </w:r>
    </w:p>
    <w:tbl>
      <w:tblPr>
        <w:tblW w:w="9070" w:type="dxa"/>
        <w:jc w:val="left"/>
        <w:tblLayout w:type="fixed"/>
        <w:tblLook w:firstColumn="1" w:firstRow="1" w:lastColumn="0" w:lastRow="0" w:noHBand="0" w:noVBand="1" w:val="04A0"/>
      </w:tblPr>
      <w:tblGrid>
        <w:gridCol w:w="2539"/>
        <w:gridCol w:w="1723"/>
        <w:gridCol w:w="1541"/>
        <w:gridCol w:w="1541"/>
        <w:gridCol w:w="1723"/>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negativos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positivos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negativos</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positivos</w:t>
            </w:r>
          </w:p>
        </w:tc>
      </w:tr>
      <w:tr>
        <w:trPr>
          <w:cantSplit/>
        </w:trPr>
        <w:tc>
          <w:tcPr>
            <w:tcW w:w="2539"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454</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1.050</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Em conciliação financeira, as duas categorias de erro têm consequências assimétricas. Um falso negativo, isto é, um pagamento legítimo classificado como não conciliado, gera trabalho manual desnecessário: há custo operacional, mas o controle permanece íntegro. Um falso positivo silencia a divergência: um pagamento com valor 3% superior ao da nota, ou emitido trinta dias fora da competência, recebe aprovação automática e jamais chega à revisão humana. Os modelos de fronteira suave cometeram 128 falsos positivos e nenhum falso negativo, ou seja, erraram sistematicamente na direção mais custosa para o controle interno. No cenário fuzzy o efeito é ainda mais pronunciado, pois 107 dos 226 registros parcialmente conciliados do conjunto de teste, ou 47,3%, receberam atestado de conformidade plena. A ablação mostra que o viés se agrava quando o vazamento é removido: sem as variáveis da regra, a floresta aleatória passou a cometer 245 falsos positivos contra nenhum falso negativo.</w:t>
      </w:r>
    </w:p>
    <w:p>
      <w:pPr>
        <w:keepNext w:val="0"/>
        <w:spacing w:line="360" w:lineRule="auto" w:before="0" w:after="0"/>
        <w:ind w:firstLine="709"/>
        <w:jc w:val="both"/>
      </w:pPr>
      <w:r>
        <w:rPr>
          <w:rFonts w:ascii="Arial" w:hAnsi="Arial" w:cs="Arial" w:eastAsia="Arial"/>
          <w:b w:val="0"/>
          <w:i w:val="0"/>
          <w:color w:val="000000"/>
          <w:sz w:val="22"/>
        </w:rPr>
        <w:t>A tendência a silenciar exceções não é acidental. Decorre da combinação entre o desbalanço de classes, com 69,8% de registros conciliados, e uma métrica de seleção simétrica que trata como equivalentes a revisão manual redundante e a divergência não detectada. O ponto conecta o trabalho à teoria de aprendizado sensível a custo (Elkan, 2001) e sustenta a recomendação de que, em conciliação, a métrica de seleção de modelo seja o recall da classe de exceção sob restrição de precisão mínima aceitável, e não a acurácia nem o F1-macro. Um sistema que encaminha 15% dos registros à revisão manual sem deixar passar divergência alguma é operacionalmente superior a outro que automatiza 91% silenciando parcela expressiva das exceções.</w:t>
      </w:r>
    </w:p>
    <w:p>
      <w:pPr>
        <w:keepNext w:val="0"/>
        <w:spacing w:line="360" w:lineRule="auto" w:before="0" w:after="0"/>
        <w:ind w:firstLine="709"/>
        <w:jc w:val="both"/>
      </w:pPr>
      <w:r>
        <w:rPr>
          <w:rFonts w:ascii="Arial" w:hAnsi="Arial" w:cs="Arial" w:eastAsia="Arial"/>
          <w:b w:val="0"/>
          <w:i w:val="0"/>
          <w:color w:val="000000"/>
          <w:sz w:val="22"/>
        </w:rPr>
        <w:t>Cabe registrar ainda a discrepância entre a área sob a curva ROC e o F1-macro: a máquina de vetores de suporte atingiu 0,9824 de área no cenário exact com apenas 0,8892 de F1-macro, e a regressão logística 0,9877 com o mesmo 0,8892. Com classes desbalanceadas, a curva ROC produz impressão otimista do desempenho, fenômeno documentado por Saito e Rehmsmeier (2015). A ablação oferece ilustração ainda mais didática, pois no cenário fuzzy sem vazamento a máquina de vetores de suporte alcançou acurácia de 0,8491 sem jamais predizer a classe intermediária, com recall nulo nessa classe.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efeito do rigor do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segunda pergunta de pesquisa, relativa ao efeito do rigor do rótulo sobre o ordenamento dos algoritmos, exige resposta mais cuidadosa do que a tabela de métricas sugere. O gerador produz divergências de data por deslocamento sorteado entre seis e trinta dias, e divergências de valor por fator sorteado entre 3% e 20%. As tolerâncias do cenário fuzzy são de cinco dias e 2%. Por construção, portanto, nenhum registro cai dentro da janela de tolerância, o que a verificação empírica confirma: na base fuzzy, todos os 5.250 registros da classe plenamente conciliada apresentam diferença de data e diferença de valor exatamente nulas, com máximos e mínimos coincidentes.</w:t>
      </w:r>
    </w:p>
    <w:p>
      <w:pPr>
        <w:keepNext w:val="0"/>
        <w:spacing w:line="360" w:lineRule="auto" w:before="0" w:after="0"/>
        <w:ind w:firstLine="709"/>
        <w:jc w:val="both"/>
      </w:pPr>
      <w:r>
        <w:rPr>
          <w:rFonts w:ascii="Arial" w:hAnsi="Arial" w:cs="Arial" w:eastAsia="Arial"/>
          <w:b w:val="0"/>
          <w:i w:val="0"/>
          <w:color w:val="000000"/>
          <w:sz w:val="22"/>
        </w:rPr>
        <w:t>O cenário fuzzy não avaliou, assim, robustez a tolerâncias. O que efetivamente fez foi subdividir a classe negativa em duas, aplicando uma regra de proximidade sobre as mesmas variáveis vazadas. A conclusão legítima é mais restrita e mais interessante: o aumento da granularidade do rótulo, de binário para ternário, degradou o desempenho dos modelos de fronteira suave, com queda do F1-macro de 0,8892 para 0,8672 na máquina de vetores de suporte, sem afetar a floresta aleatória, porque a classe intermediária é definida por limiares sobre as mesmas grandezas. A dificuldade adicional recai integralmente sobre a fronteira entre a classe parcial e a classe conciliada, que é justamente a região comprimida pela padronização.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Comparação entre algoritmos sob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seções anteriores estabeleceram que a comparação original não possuía poder discriminante. O experimento corretivo, com rótulo derivado da verdade de origem, responde à primeira pergunta de pesquisa. Antes de qualquer treinamento, o guarda contra vazamento avaliou cada atributo isoladamente nas dez execuções. A maior acurácia de atributo isolado foi de 0,8173, bastante abaixo do teto de 0,95, e os seis atributos mais informativos constam da Tabela 14.</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14. Acurácia de árvore de profundidade um por atributo, média das dez execuções</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Acurácia</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0,7852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0,7750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0,7711</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delta_dias</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0,7429</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oito atributos restantes ficaram em 0,7302 ou abaixo; sete deles marcaram exatamente 0,70, a taxa da classe majoritária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Nenhum atributo separou as classes sozinho, e os mais informativos correspondem a evidências de nível de par, e não à própria regra de rotulagem. A tarefa submetida aos algoritmos foi, portanto, genuína. Sobre ela, dez bases independentes de 7.500 registros cada produziram os resultados da Tabela 15.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15. Desempenho no experimento de comparação, média de dez execuções</w:t>
      </w:r>
    </w:p>
    <w:tbl>
      <w:tblPr>
        <w:tblW w:w="9070" w:type="dxa"/>
        <w:jc w:val="left"/>
        <w:tblLayout w:type="fixed"/>
        <w:tblLook w:firstColumn="1" w:firstRow="1" w:lastColumn="0" w:lastRow="0" w:noHBand="0" w:noVBand="1" w:val="04A0"/>
      </w:tblPr>
      <w:tblGrid>
        <w:gridCol w:w="2539"/>
        <w:gridCol w:w="1995"/>
        <w:gridCol w:w="2539"/>
        <w:gridCol w:w="1995"/>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0,8216</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0,7698</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0,0169</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0,0251</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0,8931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0,8996</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0,9030</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encaminhamento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27,62%</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26,71%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25,59%</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PR-AUC</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0,9356</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0,9258</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0,9153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três algoritmos atingiram o piso de precisão de 0,90 na partição de validação em todas as dez execuções; a precisão apresentada é a de teste, medida no limiar calibrado na validação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precisão de teste situou-se ligeiramente abaixo do piso para a floresta aleatória e para a máquina de vetores de suporte, e acima dele para a regressão logística, o que é esperado e desejável, já que o limiar foi calibrado na validação e aplicado ao teste sem reajuste. Precisão de teste exatamente sobre o piso seria indício de que o conjunto de teste havia participado da calibração. As comparações pareadas entre algoritmos constam da Tabela 16.</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16. Comparação pareada de Wilcoxon sobre o recall da exceção,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Comparação</w:t>
            </w:r>
          </w:p>
        </w:tc>
        <w:tc>
          <w:tcPr>
            <w:tcW w:w="163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Diferença mediana</w:t>
            </w:r>
          </w:p>
        </w:tc>
        <w:tc>
          <w:tcPr>
            <w:tcW w:w="90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 corrigido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Significativo</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máquina de vetores</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1,44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regressão logística</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4,56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Máquina de vetores e regressão logística</w:t>
            </w:r>
          </w:p>
        </w:tc>
        <w:tc>
          <w:tcPr>
            <w:tcW w:w="163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3,00 p.p.</w:t>
            </w:r>
          </w:p>
        </w:tc>
        <w:tc>
          <w:tcPr>
            <w:tcW w:w="90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0,0039</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sim</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 p.p. designa pontos percentuais</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As comparações par a par só devem ser lidas depois de rejeitada a hipótese global de equivalência, que é o protocolo recomendado por Demšar (2006) e que a primeira versão desta análise não seguiu. O teste omnibus de Friedman sobre as dez execuções consta da Tabela 17, e foi aplicado a três métricas, e não apenas à primária, por uma razão que a Tabela 18 torna explícita.</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17. Teste omnibus de Friedman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χ²</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Ordem dos ranks médios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Rejeita a equivalência</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Recall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da exceção</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4,20</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0,1225</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logística 1,6; vetores 1,9; floresta 2,5</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leitura conjunta das três linhas da Tabela 17 responde à objeção mais forte que se pode dirigir a esta comparação. O recall é medido no ponto de operação de cada algoritmo, e esses pontos não caem sobre a mesma precisão realizada: 0,893 para a floresta contra 0,903 para a regressão logística. Como recall e precisão se trocam um pelo outro, a vantagem de recall da floresta poderia ser, em princípio, apenas o efeito de um limiar mais frouxo. Duas evidências das mesmas dez execuções afastam essa leitura. A primeira é que o ordenamento se mantém sob a PR-AUC, que resume a curva inteira e não depende de limiar algum. A segunda é que as diferenças de precisão não sobrevivem ao teste: nenhuma comparação par a par é significativa após a correção, e o omnibus não rejeita a equivalência entre os três, com p de 0,1225. A Tabela 18 reúne as comparações par a par sobre as duas métricas secundárias.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18. Comparação pareada de Wilcoxon sobre as métricas secundárias,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 e comparação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Diferença mediana</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p corrigido</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Significativo</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vetores</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+0,0088</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logística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+0,0210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PR-AUC: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+0,0125</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vetores</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−0,0033</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0,2754</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0,5508</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−0,0076</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0,0840</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0,2520</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−0,0078</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Em conjunto: a floresta aleatória ordena melhor as exceções e detecta mais delas, sem operar a uma precisão estatisticamente menor. Faltando qualquer uma dessas evidências, a afirmação de que a floresta detecta mais divergências seria uma afirmação sobre o limiar escolhido, e não sobre o algoritmo. Resta reportar a matriz de confusão completa, que é a verificação nº 6 do próprio checklist deste trabalho e que a Tabela 19 traz, somada sobre as dez execuções, em unidades de controle interno em vez de pontos percentuais.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19. Matriz de confusão da classe de exceção, somada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Algoritmo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Exceções detectadas</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Divergências silenciadas</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Revisões redundantes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Pares aprovados corretamente</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3.697</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803</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446</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10.054</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3.601</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899</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405</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10.095</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3.464</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1.036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374</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10.126</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15.000 pares de teste ao todo, dos quais 4.500 exceções; trocar a floresta pela regressão logística silencia 233 divergências a mais e poupa 72 revisões manuais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resposta à primeira pergunta de pesquisa pode ser enunciada com precisão. Sob rotulagem independente dos atributos e critério derivado do objetivo de controle, a floresta aleatória detectou 1,44 ponto percentual mais divergências que a máquina de vetores de suporte e 4,56 pontos percentuais mais que a regressão logística, mantendo o piso de precisão de 0,90 na validação, com valor-p de 0,0059 após correção de Holm em dez execuções, ao custo de encaminhar 27,6% do lote à revisão manual. O ordenamento é rejeitado como equivalente pelo teste omnibus de Friedman, mantém-se sob a PR-AUC, que não depende de limiar, e não é explicado por precisão desigual, uma vez que sobre a precisão da exceção o omnibus não rejeita a equivalência.</w:t>
      </w:r>
    </w:p>
    <w:p>
      <w:pPr>
        <w:keepNext w:val="0"/>
        <w:spacing w:line="360" w:lineRule="auto" w:before="0" w:after="0"/>
        <w:ind w:firstLine="709"/>
        <w:jc w:val="both"/>
      </w:pPr>
      <w:r>
        <w:rPr>
          <w:rFonts w:ascii="Arial" w:hAnsi="Arial" w:cs="Arial" w:eastAsia="Arial"/>
          <w:b w:val="0"/>
          <w:i w:val="0"/>
          <w:color w:val="000000"/>
          <w:sz w:val="22"/>
        </w:rPr>
        <w:t>A significância estatística não se confunde, porém, com relevância prática. A diferença entre a floresta aleatória e a máquina de vetores de suporte é de 1,44 ponto percentual, o que corresponde, em uma carteira de 7.500 pagamentos com 30% de exceções, a cerca de 32 divergências adicionais. O teste a detecta porque a ordem se repete nas dez execuções, e não porque a magnitude seja expressiva, que é exatamente a razão de se reportar o tamanho de efeito ao lado do valor-p (Demšar, 2006). A leitura defensável é mais matizada do que a simples vitória da floresta: os três algoritmos são operacionalmente próximos, com a regressão logística cerca de 4,6 pontos atrás, e a escolha entre eles pode legitimamente recair sobre interpretabilidade e custo em vez de desempenho. Para um sistema que precisa justificar cada exceção a um auditor, os coeficientes de uma regressão logística podem valer mais do que 4,6 pontos percentuais de recall (Rudin, 2019).</w:t>
      </w:r>
    </w:p>
    <w:p>
      <w:pPr>
        <w:keepNext w:val="0"/>
        <w:spacing w:line="360" w:lineRule="auto" w:before="0" w:after="0"/>
        <w:ind w:firstLine="709"/>
        <w:jc w:val="both"/>
      </w:pPr>
      <w:r>
        <w:rPr>
          <w:rFonts w:ascii="Arial" w:hAnsi="Arial" w:cs="Arial" w:eastAsia="Arial"/>
          <w:b w:val="0"/>
          <w:i w:val="0"/>
          <w:color w:val="000000"/>
          <w:sz w:val="22"/>
        </w:rPr>
        <w:t>A estabilidade entre execuções foi semelhante nos três algoritmos, com desvios-padrão de 0,0169, 0,0191 e 0,0251, e nenhum apresentou comportamento bimodal ou regimes distintos, conforme a Tabela 20 e a Figura 7. A floresta aleatória obteve o melhor resultado em todas as dez execuções, o que sustenta a significância apesar da margem estreita.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20. Recall da classe de exceção por semente</w:t>
      </w:r>
    </w:p>
    <w:tbl>
      <w:tblPr>
        <w:tblW w:w="9070" w:type="dxa"/>
        <w:jc w:val="left"/>
        <w:tblLayout w:type="fixed"/>
        <w:tblLook w:firstColumn="1" w:firstRow="1" w:lastColumn="0" w:lastRow="0" w:noHBand="0" w:noVBand="1" w:val="04A0"/>
      </w:tblPr>
      <w:tblGrid>
        <w:gridCol w:w="1451"/>
        <w:gridCol w:w="2448"/>
        <w:gridCol w:w="2902"/>
        <w:gridCol w:w="2267"/>
      </w:tblGrid>
      <w:tr>
        <w:trPr>
          <w:cantSplit/>
          <w:tblHeader/>
        </w:trPr>
        <w:tc>
          <w:tcPr>
            <w:tcW w:w="145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Semente</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26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1</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0,791</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0,742</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2</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0,840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0,827</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0,776</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4</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0,780</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7</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0,796</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8</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0,798</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0,824</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0,820</w:t>
            </w:r>
          </w:p>
        </w:tc>
        <w:tc>
          <w:tcPr>
            <w:tcW w:w="226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0,798</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803406"/>
            <wp:docPr id="2" name="Picture 2"/>
            <wp:cNvGraphicFramePr>
              <a:graphicFrameLocks noChangeAspect="1"/>
            </wp:cNvGraphicFramePr>
            <a:graphic>
              <a:graphicData uri="http://schemas.openxmlformats.org/drawingml/2006/picture">
                <pic:pic>
                  <pic:nvPicPr>
                    <pic:cNvPr id="0" name="sementes.png"/>
                    <pic:cNvPicPr/>
                  </pic:nvPicPr>
                  <pic:blipFill>
                    <a:blip r:embed="rId17"/>
                    <a:stretch>
                      <a:fillRect/>
                    </a:stretch>
                  </pic:blipFill>
                  <pic:spPr>
                    <a:xfrm>
                      <a:off x="0" y="0"/>
                      <a:ext cx="5580000" cy="2803406"/>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7. Recall da classe de exceção por semente e por algoritmo, sob piso de precisão de 0,90</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Um terceiro modo de falha silenciosa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final do experimento corretivo revelou um terceiro modo de falha, dentro do próprio experimento construído para evitar os dois primeiros. A versão inicial do gerador emitia um pagamento por fornecedor. O atributo de desvio de prazo é definido como a diferença entre o prazo observado e a mediana histórica do fornecedor, ajustada apenas na partição de treino; com um único pagamento por fornecedor, essa mediana é o próprio valor da linha, e o atributo tornava-se identicamente nulo em todas as linhas de treino. Como nenhum fornecedor do teste aparecia no treino, todos recorriam à mediana global e a coluna passava a ter dispersão real fora do treino.</w:t>
      </w:r>
    </w:p>
    <w:p>
      <w:pPr>
        <w:keepNext w:val="0"/>
        <w:spacing w:line="360" w:lineRule="auto" w:before="0" w:after="0"/>
        <w:ind w:firstLine="709"/>
        <w:jc w:val="both"/>
      </w:pPr>
      <w:r>
        <w:rPr>
          <w:rFonts w:ascii="Arial" w:hAnsi="Arial" w:cs="Arial" w:eastAsia="Arial"/>
          <w:b w:val="0"/>
          <w:i w:val="0"/>
          <w:color w:val="000000"/>
          <w:sz w:val="22"/>
        </w:rPr>
        <w:t>A consequência não foi um atributo inerte, e sim um artefato de escala. Medido sobre 2.000 registros, o desvio-padrão da coluna era nulo no treino e de 25,48 no teste. O padronizador encontra variância zero, aplica sua guarda interna e mantém a escala unitária, de modo que as linhas de teste passam sem normalização para uma dimensão que o modelo jamais viu variar: 83,75% delas com escore padronizado superior a cinco em módulo, com máximo de 90. O núcleo radial colapsa. A floresta aleatória, invariante a transformações monotônicas, e a regressão logística, cujo coeficiente para uma coluna constante é nulo, não foram afetadas; apenas a máquina de vetores de suporte o foi. A Tabela 21 sintetiza o efeito da correção.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21. Efeito da correção do gerador sobre a máquina de vetores de suporte</w:t>
      </w:r>
    </w:p>
    <w:tbl>
      <w:tblPr>
        <w:tblW w:w="9070" w:type="dxa"/>
        <w:jc w:val="left"/>
        <w:tblLayout w:type="fixed"/>
        <w:tblLook w:firstColumn="1" w:firstRow="1" w:lastColumn="0" w:lastRow="0" w:noHBand="0" w:noVBand="1" w:val="04A0"/>
      </w:tblPr>
      <w:tblGrid>
        <w:gridCol w:w="3628"/>
        <w:gridCol w:w="2902"/>
        <w:gridCol w:w="2539"/>
      </w:tblGrid>
      <w:tr>
        <w:trPr>
          <w:cantSplit/>
          <w:tblHeader/>
        </w:trPr>
        <w:tc>
          <w:tcPr>
            <w:tcW w:w="362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Antes da correção</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Depois da correção</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médio da exceção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0,2211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0,1248</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Posição no ordenamento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terceira</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segunda</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Distância para o primeiro colocado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51,9 p.p.</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 p.p.</w:t>
            </w:r>
          </w:p>
        </w:tc>
      </w:tr>
      <w:tr>
        <w:trPr>
          <w:cantSplit/>
        </w:trPr>
        <w:tc>
          <w:tcPr>
            <w:tcW w:w="362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Comportamento bimodal</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quatro sementes próximas de 0,08</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ausente</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correção consistiu em atribuir cinco notas a cada fornecedor, de modo que a mediana de prazo passasse a ser estatística real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conclusão anterior, de que ambos os demais algoritmos superavam a máquina de vetores de suporte por margens acima de 48 pontos percentuais, era inteiramente artefato. A explicação por calibração de probabilidades, inicialmente oferecida para a bimodalidade, era racionalização plausível de um sintoma cuja causa era outra.</w:t>
      </w:r>
    </w:p>
    <w:p>
      <w:pPr>
        <w:keepNext w:val="0"/>
        <w:spacing w:line="360" w:lineRule="auto" w:before="0" w:after="0"/>
        <w:ind w:firstLine="709"/>
        <w:jc w:val="both"/>
      </w:pPr>
      <w:r>
        <w:rPr>
          <w:rFonts w:ascii="Arial" w:hAnsi="Arial" w:cs="Arial" w:eastAsia="Arial"/>
          <w:b w:val="0"/>
          <w:i w:val="0"/>
          <w:color w:val="000000"/>
          <w:sz w:val="22"/>
        </w:rPr>
        <w:t>O guarda contra vazamento não capturou esse defeito, e a razão é instrutiva. O instrumento testa se algum atributo prediz o rótulo bem demais; um atributo constante prediz o rótulo mal, marcando exatamente a taxa da classe majoritária, e passa no teste justamente por não conter informação alguma. A verificação que o teria capturado é outra: exigir que nenhuma coluna seja constante na partição de treino e que treino e teste apresentem escalas comparáveis. As duas asserções passaram a integrar a suíte de testes, a segunda padronizando a partição de teste com a média e o desvio da de treino e exigindo que nenhuma coluna lance uma fração apreciável das linhas além de cinco desvios. A Tabela 22 reúne os seis modos de falha documentados ao longo do trabalho.</w:t>
      </w:r>
    </w:p>
    <w:p>
      <w:pPr>
        <w:keepNext w:val="0"/>
        <w:spacing w:line="360" w:lineRule="auto" w:before="0" w:after="0"/>
        <w:ind w:firstLine="709"/>
        <w:jc w:val="both"/>
      </w:pPr>
      <w:r>
        <w:rPr>
          <w:rFonts w:ascii="Arial" w:hAnsi="Arial" w:cs="Arial" w:eastAsia="Arial"/>
          <w:b w:val="0"/>
          <w:i w:val="0"/>
          <w:color w:val="000000"/>
          <w:sz w:val="22"/>
        </w:rPr>
      </w:r>
    </w:p>
    <w:p>
      <w:pPr>
        <w:keepNext/>
        <w:spacing w:line="360" w:lineRule="auto" w:before="0" w:after="0"/>
        <w:ind w:firstLine="709"/>
        <w:jc w:val="left"/>
      </w:pPr>
      <w:r>
        <w:rPr>
          <w:rFonts w:ascii="Arial" w:hAnsi="Arial" w:cs="Arial" w:eastAsia="Arial"/>
          <w:b/>
          <w:i w:val="0"/>
          <w:color w:val="000000"/>
          <w:sz w:val="22"/>
        </w:rPr>
        <w:t>Dois modos adicionais, no gerador do experimento principal</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auditoria do gerador revelou outros dois modos da mesma família, desta vez no experimento principal. O primeiro desfaz uma premissa do desenho: as duas fontes eram apresentadas como heterogêneas e independentes, e a independência de formato de fato existe, mas a estatística não existia. As funções que geram a planilha de pagamentos e o conjunto de notas recebiam a mesma semente e cada uma instanciava seu próprio gerador pseudoaleatório; duas instâncias construídas com a mesma semente produzem a mesma sequência, e ambas sorteavam inscrições dessa sequência. Os 7.500 primeiros números de inscrição de um fluxo independente com a mesma semente são, um a um, os mesmos do cadastro de fornecedores.</w:t>
      </w:r>
    </w:p>
    <w:p>
      <w:pPr>
        <w:keepNext w:val="0"/>
        <w:spacing w:line="360" w:lineRule="auto" w:before="0" w:after="0"/>
        <w:ind w:firstLine="709"/>
        <w:jc w:val="both"/>
      </w:pPr>
      <w:r>
        <w:rPr>
          <w:rFonts w:ascii="Arial" w:hAnsi="Arial" w:cs="Arial" w:eastAsia="Arial"/>
          <w:b w:val="0"/>
          <w:i w:val="0"/>
          <w:color w:val="000000"/>
          <w:sz w:val="22"/>
        </w:rPr>
        <w:t>As consequências são mensuráveis na base publicada. Em 277 notas o número de inscrição do tomador coincide com o de algum fornecedor, situação impossível no cenário simulado; em 14 delas a razão social do prestador é idêntica à do tomador; e em 18 o número do prestador colide com o de outro pagamento. Com 7.500 inscrições sorteadas de um espaço de 10¹², a probabilidade de uma única coincidência fortuita é da ordem de 10⁻⁵, de modo que 277 não é acaso. São as 18 colisões de prestador que chegam ao modelo: como a junção é feita pela inscrição, um pagamento cujo número aparece em duas notas gera duas linhas, e é essa a origem dos 7.518 registros. Como o rótulo é um limiar sobre as diferenças de cada linha, doze desses pagamentos aparecem simultaneamente como conciliados e como não conciliados, e alguns caem nas duas partições da divisão estratificada ao mesmo tempo.</w:t>
      </w:r>
    </w:p>
    <w:p>
      <w:pPr>
        <w:keepNext w:val="0"/>
        <w:spacing w:line="360" w:lineRule="auto" w:before="0" w:after="0"/>
        <w:ind w:firstLine="709"/>
        <w:jc w:val="both"/>
      </w:pPr>
      <w:r>
        <w:rPr>
          <w:rFonts w:ascii="Arial" w:hAnsi="Arial" w:cs="Arial" w:eastAsia="Arial"/>
          <w:b w:val="0"/>
          <w:i w:val="0"/>
          <w:color w:val="000000"/>
          <w:sz w:val="22"/>
        </w:rPr>
        <w:t>O segundo modo adicional contradizia a afirmação de reprodutibilidade. As inscrições eram acumuladas em um conjunto e depois convertidas em lista, e a ordem de iteração de um conjunto de cadeias de caracteres depende da semente de dispersão do processo, que o interpretador aleatoriza a cada inicialização. Cada execução atribuía, portanto, uma inscrição diferente a cada pagamento, sorteando valores, datas e descrições idênticos. Somava-se a isso uma janela de datas ancorada no relógio, de modo que a base simulada dependia do dia em que era gerada. O efeito combinado era pequeno — regenerar a base em outro dia produzia 7.520 linhas em vez de 7.518 — e é exatamente por isso que passou despercebido.</w:t>
      </w:r>
    </w:p>
    <w:p>
      <w:pPr>
        <w:keepNext w:val="0"/>
        <w:spacing w:line="360" w:lineRule="auto" w:before="0" w:after="0"/>
        <w:ind w:firstLine="709"/>
        <w:jc w:val="both"/>
      </w:pPr>
      <w:r>
        <w:rPr>
          <w:rFonts w:ascii="Arial" w:hAnsi="Arial" w:cs="Arial" w:eastAsia="Arial"/>
          <w:b w:val="0"/>
          <w:i w:val="0"/>
          <w:color w:val="000000"/>
          <w:sz w:val="22"/>
        </w:rPr>
        <w:t>O aspecto mais instrutivo é que existia um teste automatizado escrito para essa propriedade, e ele passava: chamava o gerador duas vezes e comparava os resultados, mas as duas chamadas ocorriam no mesmo processo, onde a semente de dispersão é fixa durante toda a vida do interpretador. O teste media consistência interna, não reprodutibilidade, e teria passado sob qualquer ordenação. A verificação que enxerga o defeito exige dois processos com sementes de dispersão distintas, e passou a integrar a suíte. Ambas as causas foram corrigidas — a lista é construída na ordem de sorteio e a janela de datas é ancorada em data explícita de configuração — e os artefatos foram regenerados sob a implementação corrigida. Nenhum dos dois modos afeta o experimento de comparação, cujo gerador emprega um único fluxo pseudoaleatório para as duas fontes.</w:t>
      </w:r>
    </w:p>
    <w:p>
      <w:pPr>
        <w:keepNext w:val="0"/>
        <w:spacing w:line="360" w:lineRule="auto" w:before="0" w:after="0"/>
        <w:ind w:firstLine="709"/>
        <w:jc w:val="both"/>
      </w:pPr>
      <w:r>
        <w:rPr>
          <w:rFonts w:ascii="Arial" w:hAnsi="Arial" w:cs="Arial" w:eastAsia="Arial"/>
          <w:b w:val="0"/>
          <w:i w:val="0"/>
          <w:color w:val="000000"/>
          <w:sz w:val="22"/>
        </w:rPr>
        <w:t>Um sexto modo, encontrado na conferência final, é o mais puro da série. O pipeline principal construía a matriz de atributos a partir do quadro de dados ainda em memória, ao passo que a ablação e os cadernos a constroem a partir do arquivo CSV que o pipeline acabara de gravar: dois caminhos de código para o mesmo cálculo, sobre os mesmos dados. A ida e volta pelo arquivo perturba a diferença relativa de valor em cerca de 10⁻¹⁴ em 94 das 7.518 linhas, ruído de representação sem significado; esse ruído atravessa a padronização, alcança o otimizador nas vizinhanças de sua tolerância de convergência, e move o F1-macro de validação cruzada da regressão logística no cenário fuzzy de 0,8678 para 0,8674. Uma diferença de entrada de 10⁻¹⁴ produz uma diferença de saída de 3×10⁻⁴, que cai exatamente na quarta casa decimal em que este trabalho reporta suas métricas. O pipeline passou a ler de volta o arquivo que grava, de modo que existe um único caminho e um único conjunto de números, e a escolha da direção não é arbitrária: o CSV é o artefato que um leitor pode inspecionar e, portanto, deve ser aquele sobre o qual o modelo é ajustado.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22. Modos de falha silenciosa identificados</w:t>
      </w:r>
    </w:p>
    <w:tbl>
      <w:tblPr>
        <w:tblW w:w="9070" w:type="dxa"/>
        <w:jc w:val="left"/>
        <w:tblLayout w:type="fixed"/>
        <w:tblLook w:firstColumn="1" w:firstRow="1" w:lastColumn="0" w:lastRow="0" w:noHBand="0" w:noVBand="1" w:val="04A0"/>
      </w:tblPr>
      <w:tblGrid>
        <w:gridCol w:w="2721"/>
        <w:gridCol w:w="2721"/>
        <w:gridCol w:w="3628"/>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Modo de falha</w:t>
            </w:r>
          </w:p>
        </w:tc>
        <w:tc>
          <w:tcPr>
            <w:tcW w:w="272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Sintoma</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Conclusão falsa que sustentaria</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Vazamento de rótulo</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acurácia de 1,0000 com dispersão nula</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floresta aleatória resolve a conciliação</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 de seleção apontada para a classe incorreta</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recall de exceção de 0,088</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máquina de vetores de suporte não serve à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Atributo constante na partição de treino</w:t>
            </w:r>
          </w:p>
        </w:tc>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recall de 0,221, com bimodalidade</w:t>
            </w:r>
          </w:p>
        </w:tc>
        <w:tc>
          <w:tcPr>
            <w:tcW w:w="362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máquina de vetores de suporte é instável na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t>Fluxo pseudoaleatório compartilhado entre as duas fontes</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7.518 linhas a partir de 7.500 pagamentos; 277 notas cujo tomador é um fornecedor</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as duas fontes simuladas são independentes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Ordem de conjunto e janela de datas dependentes do processo e do relógio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nenhum; o teste de reprodutibilidade existente passava</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os resultados do experimento principal são reproduzíveis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Dois caminhos de código para o mesmo cálculo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duas tabelas discordando na quarta casa decimal</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 ablação reproduz o experimento principal exatamente</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seis modos pertencem à mesma família: configuração silenciosa que produz conclusão substantiva e errada sem se manifestar como erro. Os seis produziriam tabelas plausíveis, e cinco deles foram encontrados por revisão adversarial do código, e não pelas métricas, que em nenhum dos casos exibiram sinal de anomalia. O quinto é o mais instrutivo, porque havia um teste automatizado escrito exatamente para ele e esse teste passava, medindo uma propriedade mais fraca do que a que seu nome anunciava. A contribuição metodológica não se resume à recomendação de verificar vazamento: está em que a verificação precisa ser sistemática e adversarial, porque cada instrumento só enxerga o modo de falha para o qual foi construído, e em que um teste pode atestar menos do que aparenta. O guarda contra vazamento é útil e não teria detectado cinco dos seis.</w:t>
      </w:r>
    </w:p>
    <w:p>
      <w:pPr>
        <w:keepNext w:val="0"/>
        <w:spacing w:line="360" w:lineRule="auto" w:before="0" w:after="0"/>
        <w:ind w:firstLine="709"/>
        <w:jc w:val="both"/>
      </w:pPr>
      <w:r>
        <w:rPr>
          <w:rFonts w:ascii="Arial" w:hAnsi="Arial" w:cs="Arial" w:eastAsia="Arial"/>
          <w:b w:val="0"/>
          <w:i w:val="0"/>
          <w:color w:val="000000"/>
          <w:sz w:val="22"/>
        </w:rPr>
        <w:t>Cabe a ressalva de que o artefato foi reduzido, não eliminado. Com cinco pagamentos por fornecedor, uma linha de treino contribui para a mediana do próprio fornecedor, de modo que seu desvio é encolhido em relação ao de uma linha de teste: na configuração de 7.500 registros, o desvio-padrão é de cerca de 13,8 no treino contra 18,5 no teste. Trata-se do mesmo mecanismo em amplitude muito menor, com as linhas extremas em torno de cinco desvios, uma cauda fina, e não os 83,75% que colapsaram o núcleo. Uma mediana calculada com exclusão da própria observação removeria o resíduo.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Limitações do estudo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limitações são apresentadas nas Tabelas 23, 24 e 25, organizadas por tipo de validade comprometida e classificadas por gravidade. A relação é deliberadamente extensa, porque a delimitação precisa do alcance dos resultados é parte da contribuição de um trabalho cujo achado central é a facilidade com que conclusões plausíveis se formam sobre desenhos defeituosos.</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23. Limitações de validade interna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regra de rotulagem e os atributos preditores compartilham as mesmas grandezas no experimento principal, o que torna o alvo função determinística das entradas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valor e a alíquota do ISS codificam indiretamente a existência de correspondência, o que constitui vazamento secundário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Métricas saturadas colapsam os intervalos de confiança e retiram poder estatístico da comparação entre algoritmos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validação cruzada embaralha registros que possuem dimensão temporal, o que permite treino com informação posterior ao teste</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codificação por valor-sentinela distorce a padronização e responde integralmente pela diferença entre os algoritmos no experimento principal</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duas fontes simuladas compartilhavam o mesmo fluxo pseudoaleatório, o que produziu 277 notas cujo tomador é um fornecedor e 18 junções espúrias, com doze pagamentos recebendo rótulos contraditórios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experimento principal não era reprodutível, por ordem de conjunto dependente do processo e por janela de datas ancorada no relógio; corrigido, e os artefatos foram regenerados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Resolvida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24. Limitações de validade externa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 registro contábil real foi utilizado; a distribuição conjunta das variáveis reflete as decisões do gerador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correspondência é de um para um por construção, o que elimina o cenário de múltiplos pagamentos e múltiplas notas, dominante na prática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janelas de tolerância do cenário fuzzy estão vazias, de modo que a robustez a tolerâncias não foi exercitada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Removido o vazamento, a base do experimento principal não contém sinal aprendível residual para a tarefa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escopo restringe-se a notas de serviço; notas de mercadoria, de importação e documentos não fiscais ficaram de fora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base cobre um ano sem mudanças de regime, o que impede avaliar a degradação do modelo ao longo do tempo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Um único volume de base foi avaliado, sem curva de aprendizado que informe o volume mínimo necessário</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Baixa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25. Limitações de construto e limitações específicas do experimento de comparação</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conciliação foi operacionalizada como regra de limiar, ao passo que na prática contábil envolve julgamento profissional e contexto de negócio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Não houve rotulagem por especialista humano, o que impede medir a concordância entre o modelo e o julgamento contábil</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t>O limite de incidência da CSRF reproduz a redação anterior à Lei nº 13.137/2015, que o revogou; as alíquotas foram conferidas e estão vigentes, mas o gerador descreve um regime que já não é o de direito positivo</w:t>
            </w:r>
            <w:r>
              <w:rPr>
                <w:rFonts w:ascii="Arial" w:hAnsi="Arial" w:cs="Arial" w:eastAsia="Arial"/>
                <w:b w:val="0"/>
                <w:i w:val="0"/>
                <w:color w:val="000000"/>
                <w:sz w:val="22"/>
              </w:rPr>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dificuldade da tarefa é parâmetro escolhido; outro valor moveria as três médias e poderia alterar o ordenamento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Resíduo do artefato de escala persiste no desvio de prazo do fornecedor, em amplitude muito menor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similaridade textual é reajustada a cada chamada, de modo que não é computável para um registro novo isolado em inferência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O guarda contra vazamento enxerga um único modo de falha, e a lista de verificações continua sendo enumerada por descoberta</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Dois atributos do experimento de comparação são exatamente colineares, de modo que a matriz tem catorze colunas e treze direções; o efeito penaliza os dois algoritmos padronizados, nunca a floresta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Baixa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limiar é escolhido maximizando o recall entre milhares de cortes que atingem o piso na validação, o que seleciona pontos cuja precisão cruzou o piso por sorte e faz o piso valer apenas aproximadamente no teste</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Os não-pares são o mesmo pagamento com evidência corrompida, e não um pagamento de outra contraparte, de modo que os algoritmos discriminam evidência corrompida e não contraparte errada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dez bases são dez amostras de um único processo gerador, e não dez conjuntos de dados distintos, de modo que os testes medem estabilidade sob reamostragem e não generalização entre regimes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Contribuições e implicações práticas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principal contribuição teórica é a evidência empírica quantificada de circularidade em rotulagem por regra. O fenômeno do vazamento é conhecido; o que este trabalho acrescenta é a medição de sua magnitude e a demonstração de que ele constitui o modo de falha esperado, e não excepcional, da aplicação de aprendizado supervisionado à conciliação contábil, dado que a esmagadora maioria das organizações dispõe apenas de rótulos gerados por suas próprias regras de negócio. A queda do F1-macro de 1,0000 para 0,7630 e, sem os proxies de ISS, para 0,4976 estabelece referencial numérico para o custo de ignorar essa circularidade.</w:t>
      </w:r>
    </w:p>
    <w:p>
      <w:pPr>
        <w:keepNext w:val="0"/>
        <w:spacing w:line="360" w:lineRule="auto" w:before="0" w:after="0"/>
        <w:ind w:firstLine="709"/>
        <w:jc w:val="both"/>
      </w:pPr>
      <w:r>
        <w:rPr>
          <w:rFonts w:ascii="Arial" w:hAnsi="Arial" w:cs="Arial" w:eastAsia="Arial"/>
          <w:b w:val="0"/>
          <w:i w:val="0"/>
          <w:color w:val="000000"/>
          <w:sz w:val="22"/>
        </w:rPr>
        <w:t>A segunda contribuição é a demonstração experimental de que o ordenamento entre algoritmos foi artefato da representação, o que desloca a pergunta de pesquisa de qual algoritmo é melhor para qual representação torna a tarefa aprendível. A terceira caracteriza a assimetria de custo como propriedade estrutural do domínio e fundamenta a proposição de que, em conciliação, a métrica de avaliação deve derivar do objetivo de controle, e não da convenção estatística. A quarta explicita a lacuna entre conciliação e pareamento de registros: a simplificação de um para um elimina a geração de candidatos, que é o núcleo computacional e conceitual do modelo de Fellegi e Sunter (1969), e é aí que o experimento acadêmico mais se afasta da conciliação praticada em organizações.</w:t>
      </w:r>
    </w:p>
    <w:p>
      <w:pPr>
        <w:keepNext w:val="0"/>
        <w:spacing w:line="360" w:lineRule="auto" w:before="0" w:after="0"/>
        <w:ind w:firstLine="709"/>
        <w:jc w:val="both"/>
      </w:pPr>
      <w:r>
        <w:rPr>
          <w:rFonts w:ascii="Arial" w:hAnsi="Arial" w:cs="Arial" w:eastAsia="Arial"/>
          <w:b w:val="0"/>
          <w:i w:val="0"/>
          <w:color w:val="000000"/>
          <w:sz w:val="22"/>
        </w:rPr>
        <w:t>No plano prático, o repositório entrega pipeline completo e determinístico, com parametrização integralmente externalizada, semente fixa e suíte de testes automatizados, cuja reprodução dos valores originais sob bibliotecas mais recentes constitui evidência da robustez do artefato, em linha com os critérios de pesquisa computacional reprodutível (Peng, 2011). O gerador de dados sintéticos de conciliação fiscal brasileira, com inscrições válidas, códigos de município, itens de lista de serviços e modos de divergência parametrizáveis, é recurso reutilizável para ensino, prototipagem e comparação de métodos em contexto no qual a escassez de bases públicas é obstáculo reconhecido (Patki et al., 2016). O guarda contra vazamento, por sua vez, converte em verificação executável a recomendação de tratar acurácia elevada como alarme, e é diretamente transplantável para qualquer projeto que treine sobre rótulos gerados por regras internas. A arquitetura em camadas, com configuração externalizada e artefatos persistidos por cenário, mitiga o débito técnico característico de sistemas de aprendizado de máquina (Sculley et al., 2015). A lista de verificações derivada do estudo consta do Apêndice A.</w:t>
      </w:r>
    </w:p>
    <w:p>
      <w:pPr>
        <w:keepNext w:val="0"/>
        <w:spacing w:line="360" w:lineRule="auto" w:before="0" w:after="0"/>
        <w:ind w:firstLine="709"/>
        <w:jc w:val="both"/>
      </w:pPr>
      <w:r>
        <w:rPr>
          <w:rFonts w:ascii="Arial" w:hAnsi="Arial" w:cs="Arial" w:eastAsia="Arial"/>
          <w:b w:val="0"/>
          <w:i w:val="0"/>
          <w:color w:val="000000"/>
          <w:sz w:val="22"/>
        </w:rPr>
        <w:t>A implicação mais direta para decisão de investimento em automação é que, quando a regra de conciliação é conhecida e determinística, o aprendizado de máquina não agrega valor sobre a implementação direta da regra: a floresta aleatória apenas reproduziu, com custo computacional e opacidade adicionais, aquilo que uma consulta estruturada executa exatamente. O aprendizado supervisionado só se justifica onde a regra é desconhecida, instável ou intratável, como no ruído textual de razões sociais, no pareamento de múltiplos pagamentos a múltiplas notas e na priorização de exceções por risco.</w:t>
      </w:r>
    </w:p>
    <w:p>
      <w:pPr>
        <w:keepNext w:val="0"/>
        <w:spacing w:line="360" w:lineRule="auto" w:before="0" w:after="0"/>
        <w:ind w:firstLine="709"/>
        <w:jc w:val="both"/>
      </w:pPr>
      <w:r>
        <w:rPr>
          <w:rFonts w:ascii="Arial" w:hAnsi="Arial" w:cs="Arial" w:eastAsia="Arial"/>
          <w:b w:val="0"/>
          <w:i w:val="0"/>
          <w:color w:val="000000"/>
          <w:sz w:val="22"/>
        </w:rPr>
        <w:t>A agenda de pesquisa que resta em aberto é bem delimitada. Cabe estender o desenho ao pareamento de múltiplos pagamentos e múltiplas notas, incorporando a geração de candidatos e adotando o arcabouço probabilístico como linha de base; validar com base real, mediante convênio que permita rotulagem por especialista e medição de concordância com o julgamento contábil; comparar com linha de base não supervisionada, imune por construção ao vazamento aqui documentado; varrer a dificuldade da tarefa para mapear como a diferença entre algoritmos responde a regimes distintos; e ampliar o catálogo de verificações automatizadas de representação, transformando em ferramenta a lição extraída do terceiro modo de falha.</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Conclusão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representação atribuída aos dados e a procedência do rótulo pesaram mais sobre o desempenho da conciliação contábil automatizada do que a escolha do algoritmo. O desempenho perfeito obtido no primeiro experimento não mediu capacidade de aprendizado, e sim a circularidade entre a regra que gerou o rótulo e os atributos entregues ao classificador; a vantagem de onze pontos percentuais de F1-macro da floresta aleatória sobre os modelos de fronteira suave desapareceu integralmente com uma única alteração de codificação, sem mudança de algoritmo, de hiperparâmetro ou de dados. Sob rotulagem independente dos atributos e critério de decisão derivado do objetivo de controle, a floresta aleatória detectou 1,44 ponto percentual mais divergências que a máquina de vetores de suporte e 4,56 pontos percentuais mais que a regressão logística, com significância estatística e ao custo de encaminhar 27,6% do lote à revisão manual; a margem estreita, porém, torna interpretabilidade e custo operacional critérios legítimos de escolha entre os três.</w:t>
      </w:r>
    </w:p>
    <w:p>
      <w:pPr>
        <w:keepNext w:val="0"/>
        <w:spacing w:line="360" w:lineRule="auto" w:before="0" w:after="0"/>
        <w:ind w:firstLine="709"/>
        <w:jc w:val="both"/>
      </w:pPr>
      <w:r>
        <w:rPr>
          <w:rFonts w:ascii="Arial" w:hAnsi="Arial" w:cs="Arial" w:eastAsia="Arial"/>
          <w:b w:val="0"/>
          <w:i w:val="0"/>
          <w:color w:val="000000"/>
          <w:sz w:val="22"/>
        </w:rPr>
        <w:t>Para a gestão financeira, decorre daí que o investimento em aprendizado supervisionado se justifica apenas onde a regra de conciliação é desconhecida, instável ou intratável, uma vez que regras conhecidas e determinísticas são executadas com exatidão e transparência por consulta estruturada, sem o custo computacional e a opacidade de um modelo. Decorre também que a seleção de modelos em conciliação deve recair sobre o recall da classe de exceção sob piso de precisão, e não sobre acurácia ou F1-macro, porque métricas simétricas conduzem a classificadores que erram na direção que silencia divergências e compromete o controle interno. Acurácia elevada, nesse domínio, deve operar como alarme que dispara auditoria da procedência do rótulo, e não como critério de aceitação; e a verificação automatizada, ainda que indispensável, não substitui a revisão adversarial do código, pois cada instrumento só enxerga o modo de falha para o qual foi construído.</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Referências</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Appelbaum, D.; Kogan, A.; Vasarhelyi, M.A. 2017. Big data and analytics in the modern audit engagement: research needs. Auditing: A Journal of Practice &amp; Theory 36(4): 1-27.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Bao, Y.; Ke, B.; Li, B.; Yu, Y.J.; Zhang, J. 2020. Detecting accounting fraud in publicly traded U.S. firms using a machine learning approach. Journal of Accounting Research 58(1): 199-235.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Breiman, L. 2001. Random forests. Machine Learning 45(1): 5-32.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Christen, P. 2012. Data Matching: Concepts and techniques for record linkage, entity resolution and duplicate detection. Springer, Heidelberg, Alemanha.</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Cormier, K.; Gagnier, K.; Padron-Uy, J.; Sareen, D.; Parihar, A.; Khmelevsky, Y.; Hains, G.; Wong, A. 2025. Data extraction, transformation, and loading (ETL) process automation and data warehouse implementation for algorithmic trading machine learning modelling. In: IEEE International Systems Conference (SysCon), 2025, Montreal, QC, Canadá. Anais... p. 1-8. Disponível em: &lt;https://doi.org/10.1109/SysCon64521.2025.11014812&gt;.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Cortes, C.; Vapnik, V. 1995. Support-vector networks. Machine Learning 20(3): 273-297.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Demšar, J. 2006. Statistical comparisons of classifiers over multiple data sets. Journal of Machine Learning Research 7: 1-30.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Elkan, C. 2001. The foundations of cost-sensitive learning. In: International Joint Conference on Artificial Intelligence, 2001, Seattle, WA, EUA. Anais... p. 973-978.</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Fellegi, I.P.; Sunter, A.B. 1969. A theory for record linkage. Journal of the American Statistical Association 64(328): 1183-1210.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Fernández-Delgado, M.; Cernadas, E.; Barro, S.; Amorim, D. 2014. Do we need hundreds of classifiers to solve real world classification problems? Journal of Machine Learning Research 15: 3133-3181.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França, R.P.; Monteiro, A.C.B.; Arthur, R.; Iano, Y. 2021. An overview of deep learning in big data, image, and signal processing in the modern digital age. p. 63-87. In: Piuri, V.; Raj, S.; Genovese, A.; Srivastava, R. Trends in Deep Learning Methodologies. Academic Press. Disponível em: &lt;https://doi.org/10.1016/B978-0-12-822226-3.00003-9&gt;.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Holm, S. 1979. A simple sequentially rejective multiple test procedure. Scandinavian Journal of Statistics 6(2): 65-70.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Kaufman, S.; Rosset, S.; Perlich, C.; Stitelman, O. 2012. Leakage in data mining: formulation, detection, and avoidance. ACM Transactions on Knowledge Discovery from Data 6(4): 1-21.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Mahmud, A.; Fitriani, N. 2025. The role of financial reconciliation in improving the accuracy of monthly and annual financial reports at CV X. International Journal Administration, Business &amp; Organization 6(2): 301-312. Disponível em: &lt;https://doi.org/10.61242/ijabo.25.561&gt;.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Patki, N.; Wedge, R.; Veeramachaneni, K. 2016. The synthetic data vault. In: IEEE International Conference on Data Science and Advanced Analytics, 2016, Montreal, Canadá. Anais... p. 399-410.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Peng, R.D. 2011. Reproducible research in computational science. Science 334(6060): 1226-1227.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Rudin, C. 2019. Stop explaining black box machine learning models for high stakes decisions and use interpretable models instead. Nature Machine Intelligence 1(5): 206-215.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Saito, T.; Rehmsmeier, M. 2015. The precision-recall plot is more informative than the ROC plot when evaluating binary classifiers on imbalanced datasets. PLoS ONE 10(3): e0118432.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Sculley, D.; Holt, G.; Golovin, D.; Davydov, E.; Phillips, T.; Ebner, D.; Chaudhary, V.; Young, M.; Crespo, J.-F.; Dennison, D. 2015. Hidden technical debt in machine learning systems. In: Conference on Neural Information Processing Systems, 2015, Montreal, Canadá. Anais... p. 2503-2511.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Soni, N.; Sharma, E.K.; Singh, N.; Kapoor, A. 2020. Artificial intelligence in business: from research and innovation to market deployment. Procedia Computer Science 167: 2200-2210. Disponível em: &lt;https://doi.org/10.1016/j.procs.2020.03.272&gt;.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Strobl, C.; Boulesteix, A.-L.; Zeileis, A.; Hothorn, T. 2007. Bias in random forest variable importance measures: illustrations, sources and a solution. BMC Bioinformatics 8: 25.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Wilcoxon, F. 1945. Individual comparisons by ranking methods. Biometrics Bulletin 1(6): 80-83.</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Wolpert, D.H. 1996. The lack of a priori distinctions between learning algorithms. Neural Computation 8(7): 1341-1390.</w:t>
      </w:r>
    </w:p>
    <w:p>
      <w:pPr>
        <w:keepNext w:val="0"/>
        <w:spacing w:line="240" w:lineRule="auto" w:before="0" w:after="0"/>
        <w:jc w:val="both"/>
      </w:pP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Apêndice A. Lista de verificação para projetos de conciliação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verificações a seguir derivam diretamente dos achados deste trabalho e são aplicáveis por equipes de engenharia e de auditoria interna antes de aceitar qualquer resultado de um modelo de conciliação.</w:t>
      </w:r>
    </w:p>
    <w:p>
      <w:pPr>
        <w:keepNext w:val="0"/>
        <w:spacing w:line="360" w:lineRule="auto" w:before="0" w:after="0"/>
        <w:ind w:firstLine="709"/>
        <w:jc w:val="both"/>
      </w:pPr>
      <w:r>
        <w:rPr>
          <w:rFonts w:ascii="Arial" w:hAnsi="Arial" w:cs="Arial" w:eastAsia="Arial"/>
          <w:b w:val="0"/>
          <w:i w:val="0"/>
          <w:color w:val="000000"/>
          <w:sz w:val="22"/>
        </w:rPr>
        <w:t>1. Confirmar que nenhum atributo preditor participa da regra que gerou o rótulo, ainda que de forma indireta, por campos que só existem quando existe correspondência.</w:t>
      </w:r>
    </w:p>
    <w:p>
      <w:pPr>
        <w:keepNext w:val="0"/>
        <w:spacing w:line="360" w:lineRule="auto" w:before="0" w:after="0"/>
        <w:ind w:firstLine="709"/>
        <w:jc w:val="both"/>
      </w:pPr>
      <w:r>
        <w:rPr>
          <w:rFonts w:ascii="Arial" w:hAnsi="Arial" w:cs="Arial" w:eastAsia="Arial"/>
          <w:b w:val="0"/>
          <w:i w:val="0"/>
          <w:color w:val="000000"/>
          <w:sz w:val="22"/>
        </w:rPr>
        <w:t>2. Tratar acurácia acima de 0,98 em tarefa de conciliação como hipótese de vazamento até prova em contrário, e auditar a procedência do rótulo antes de celebrar o resultado.</w:t>
      </w:r>
    </w:p>
    <w:p>
      <w:pPr>
        <w:keepNext w:val="0"/>
        <w:spacing w:line="360" w:lineRule="auto" w:before="0" w:after="0"/>
        <w:ind w:firstLine="709"/>
        <w:jc w:val="both"/>
      </w:pPr>
      <w:r>
        <w:rPr>
          <w:rFonts w:ascii="Arial" w:hAnsi="Arial" w:cs="Arial" w:eastAsia="Arial"/>
          <w:b w:val="0"/>
          <w:i w:val="0"/>
          <w:color w:val="000000"/>
          <w:sz w:val="22"/>
        </w:rPr>
        <w:t>3. Executar ablação por remoção progressiva dos atributos suspeitos de circularidade, o que estabelece limite superior para o quanto o modelo realmente aprendeu.</w:t>
      </w:r>
    </w:p>
    <w:p>
      <w:pPr>
        <w:keepNext w:val="0"/>
        <w:spacing w:line="360" w:lineRule="auto" w:before="0" w:after="0"/>
        <w:ind w:firstLine="709"/>
        <w:jc w:val="both"/>
      </w:pPr>
      <w:r>
        <w:rPr>
          <w:rFonts w:ascii="Arial" w:hAnsi="Arial" w:cs="Arial" w:eastAsia="Arial"/>
          <w:b w:val="0"/>
          <w:i w:val="0"/>
          <w:color w:val="000000"/>
          <w:sz w:val="22"/>
        </w:rPr>
        <w:t>4. Substituir valores-sentinela por variável indicadora explícita de ausência, combinada com imputação neutra; neste estudo a alteração elevou a regressão logística de 0,8892 para 1,0000 de F1-macro e igualou os três algoritmos.</w:t>
      </w:r>
    </w:p>
    <w:p>
      <w:pPr>
        <w:keepNext w:val="0"/>
        <w:spacing w:line="360" w:lineRule="auto" w:before="0" w:after="0"/>
        <w:ind w:firstLine="709"/>
        <w:jc w:val="both"/>
      </w:pPr>
      <w:r>
        <w:rPr>
          <w:rFonts w:ascii="Arial" w:hAnsi="Arial" w:cs="Arial" w:eastAsia="Arial"/>
          <w:b w:val="0"/>
          <w:i w:val="0"/>
          <w:color w:val="000000"/>
          <w:sz w:val="22"/>
        </w:rPr>
        <w:t>5. Exigir que nenhuma coluna seja constante na partição de treino e que treino e teste apresentem escalas comparáveis, verificação que captura artefatos invisíveis ao guarda contra vazamento.</w:t>
      </w:r>
    </w:p>
    <w:p>
      <w:pPr>
        <w:keepNext w:val="0"/>
        <w:spacing w:line="360" w:lineRule="auto" w:before="0" w:after="0"/>
        <w:ind w:firstLine="709"/>
        <w:jc w:val="both"/>
      </w:pPr>
      <w:r>
        <w:rPr>
          <w:rFonts w:ascii="Arial" w:hAnsi="Arial" w:cs="Arial" w:eastAsia="Arial"/>
          <w:b w:val="0"/>
          <w:i w:val="0"/>
          <w:color w:val="000000"/>
          <w:sz w:val="22"/>
        </w:rPr>
        <w:t>6. Selecionar modelos pelo recall da classe de exceção sob restrição de precisão mínima, com o limiar calibrado em partição de validação e aplicado sem reajuste ao teste, e reportar a taxa de encaminhamento à revisão manual ao lado da métrica primária.</w:t>
      </w:r>
    </w:p>
    <w:p>
      <w:pPr>
        <w:keepNext w:val="0"/>
        <w:spacing w:line="360" w:lineRule="auto" w:before="0" w:after="0"/>
        <w:ind w:firstLine="709"/>
        <w:jc w:val="both"/>
      </w:pPr>
      <w:r>
        <w:rPr>
          <w:rFonts w:ascii="Arial" w:hAnsi="Arial" w:cs="Arial" w:eastAsia="Arial"/>
          <w:b w:val="0"/>
          <w:i w:val="0"/>
          <w:color w:val="000000"/>
          <w:sz w:val="22"/>
        </w:rPr>
        <w:t>7. Reportar a matriz de confusão completa, e não apenas métricas agregadas; neste estudo foi a matriz que revelou a assimetria entre falsos positivos e falsos negativos, e a decomposição por tipo de divergência que revelou a cegueira dos modelos às exceções reais.</w:t>
      </w:r>
    </w:p>
    <w:p>
      <w:pPr>
        <w:keepNext w:val="0"/>
        <w:spacing w:line="360" w:lineRule="auto" w:before="0" w:after="0"/>
        <w:ind w:firstLine="709"/>
        <w:jc w:val="both"/>
      </w:pPr>
      <w:r>
        <w:rPr>
          <w:rFonts w:ascii="Arial" w:hAnsi="Arial" w:cs="Arial" w:eastAsia="Arial"/>
          <w:b w:val="0"/>
          <w:i w:val="0"/>
          <w:color w:val="000000"/>
          <w:sz w:val="22"/>
        </w:rPr>
        <w:t>8. Validar temporalmente sempre que os dados possuírem dimensão temporal, em vez de embaralhar registros em validação cruzada convencional.</w:t>
      </w:r>
    </w:p>
    <w:p>
      <w:pPr>
        <w:keepNext w:val="0"/>
        <w:spacing w:line="360" w:lineRule="auto" w:before="0" w:after="0"/>
        <w:ind w:firstLine="709"/>
        <w:jc w:val="both"/>
      </w:pPr>
      <w:r>
        <w:rPr>
          <w:rFonts w:ascii="Arial" w:hAnsi="Arial" w:cs="Arial" w:eastAsia="Arial"/>
          <w:b w:val="0"/>
          <w:i w:val="0"/>
          <w:color w:val="000000"/>
          <w:sz w:val="22"/>
        </w:rPr>
        <w:t>9. Submeter o desenho a revisão adversarial de código, e não apenas a verificação automatizada, porque cada instrumento só enxerga o modo de falha para o qual foi construído.</w:t>
      </w:r>
    </w:p>
    <w:p>
      <w:pPr>
        <w:keepNext w:val="0"/>
        <w:spacing w:line="360" w:lineRule="auto" w:before="0" w:after="0"/>
        <w:ind w:firstLine="709"/>
        <w:jc w:val="both"/>
      </w:pPr>
      <w:r>
        <w:rPr>
          <w:rFonts w:ascii="Arial" w:hAnsi="Arial" w:cs="Arial" w:eastAsia="Arial"/>
          <w:b w:val="0"/>
          <w:i w:val="0"/>
          <w:color w:val="000000"/>
          <w:sz w:val="22"/>
        </w:rPr>
        <w:t>10. Verificar reprodutibilidade entre processos distintos, e não dentro de um único: um teste que chama o gerador duas vezes no mesmo interpretador não observa a ordem de iteração de conjuntos nem a semente de dispersão, e passa sob qualquer uma delas.</w:t>
      </w:r>
    </w:p>
    <w:p>
      <w:pPr>
        <w:keepNext w:val="0"/>
        <w:spacing w:line="360" w:lineRule="auto" w:before="0" w:after="0"/>
        <w:ind w:firstLine="709"/>
        <w:jc w:val="both"/>
      </w:pPr>
      <w:r>
        <w:rPr>
          <w:rFonts w:ascii="Arial" w:hAnsi="Arial" w:cs="Arial" w:eastAsia="Arial"/>
          <w:b w:val="0"/>
          <w:i w:val="0"/>
          <w:color w:val="000000"/>
          <w:sz w:val="22"/>
        </w:rPr>
        <w:t>11. Ancorar toda janela temporal em data explícita, e nunca no relógio, porque uma base gerada contra a data corrente muda a cada execução sem que isso apareça em métrica agregada alguma.</w:t>
      </w:r>
    </w:p>
    <w:p>
      <w:pPr>
        <w:keepNext w:val="0"/>
        <w:spacing w:line="360" w:lineRule="auto" w:before="0" w:after="0"/>
        <w:ind w:firstLine="709"/>
        <w:jc w:val="both"/>
      </w:pPr>
      <w:r>
        <w:rPr>
          <w:rFonts w:ascii="Arial" w:hAnsi="Arial" w:cs="Arial" w:eastAsia="Arial"/>
          <w:b w:val="0"/>
          <w:i w:val="0"/>
          <w:color w:val="000000"/>
          <w:sz w:val="22"/>
        </w:rPr>
        <w:t>12. Semear fontes distintas com sementes distintas: duas fontes declaradas independentes mas derivadas da mesma semente compartilham a sequência e produzem coincidências impossíveis entre si.</w:t>
      </w:r>
    </w:p>
    <w:p>
      <w:pPr>
        <w:keepNext w:val="0"/>
        <w:spacing w:line="360" w:lineRule="auto" w:before="0" w:after="0"/>
        <w:ind w:firstLine="709"/>
        <w:jc w:val="both"/>
      </w:pPr>
      <w:r>
        <w:rPr>
          <w:rFonts w:ascii="Arial" w:hAnsi="Arial" w:cs="Arial" w:eastAsia="Arial"/>
          <w:b w:val="0"/>
          <w:i w:val="0"/>
          <w:color w:val="000000"/>
          <w:sz w:val="22"/>
        </w:rPr>
        <w:t>13. Comparar algoritmos também em métrica livre de limiar, porque pontos de operação escolhidos por algoritmo não caem sobre a mesma precisão realizada e, sem isso, um ganho de recall é indistinguível de um limiar mais frouxo.</w:t>
      </w:r>
    </w:p>
    <w:p>
      <w:pPr>
        <w:keepNext w:val="0"/>
        <w:spacing w:line="360" w:lineRule="auto" w:before="0" w:after="0"/>
        <w:ind w:firstLine="709"/>
        <w:jc w:val="both"/>
      </w:pPr>
      <w:r>
        <w:rPr>
          <w:rFonts w:ascii="Arial" w:hAnsi="Arial" w:cs="Arial" w:eastAsia="Arial"/>
          <w:b w:val="0"/>
          <w:i w:val="0"/>
          <w:color w:val="000000"/>
          <w:sz w:val="22"/>
        </w:rPr>
        <w:t>14. Exigir margem acima do piso ao calibrar o limiar de decisão, já que maximizar o recall sobre milhares de cortes seleciona o ponto que cruzou o piso por sorte e o piso não se sustenta fora da amostra.</w:t>
      </w:r>
    </w:p>
    <w:sectPr w:rsidR="00FE14AF" w:rsidRPr="000B508B" w:rsidSect="00346452">
      <w:headerReference w:type="default" r:id="rId11"/>
      <w:footerReference w:type="default" r:id="rId12"/>
      <w:footerReference w:type="first" r:id="rId13"/>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1560" w14:textId="77777777" w:rsidR="00DF23DE" w:rsidRDefault="00DF23DE" w:rsidP="005F5FEB">
      <w:pPr>
        <w:spacing w:line="240" w:lineRule="auto"/>
      </w:pPr>
      <w:r>
        <w:separator/>
      </w:r>
    </w:p>
  </w:endnote>
  <w:endnote w:type="continuationSeparator" w:id="0">
    <w:p w14:paraId="1FBD4A00" w14:textId="77777777" w:rsidR="00DF23DE" w:rsidRDefault="00DF23DE"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D5276" w14:textId="77777777" w:rsidR="00DF23DE" w:rsidRDefault="00DF23DE" w:rsidP="005F5FEB">
      <w:pPr>
        <w:spacing w:line="240" w:lineRule="auto"/>
      </w:pPr>
      <w:bookmarkStart w:id="0" w:name="_Hlk493588901"/>
      <w:bookmarkEnd w:id="0"/>
      <w:r>
        <w:separator/>
      </w:r>
    </w:p>
  </w:footnote>
  <w:footnote w:type="continuationSeparator" w:id="0">
    <w:p w14:paraId="0BB802EE" w14:textId="77777777" w:rsidR="00DF23DE" w:rsidRDefault="00DF23DE"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 de Conclusão de Curso apresentado para obtenção do título de especialista em Engenharia de Software – 2026</w:t>
    </w:r>
    <w:r w:rsidRPr="00D52F94">
      <w:rPr>
        <w:sz w:val="16"/>
        <w:szCs w:val="17"/>
      </w:rPr>
    </w:r>
    <w:r>
      <w:rPr>
        <w:sz w:val="16"/>
        <w:szCs w:val="17"/>
      </w:rPr>
    </w:r>
    <w:r w:rsidRPr="00D52F94">
      <w:rPr>
        <w:sz w:val="16"/>
        <w:szCs w:val="17"/>
      </w:rPr>
    </w:r>
    <w:r>
      <w:rPr>
        <w:sz w:val="16"/>
        <w:szCs w:val="17"/>
      </w:rPr>
    </w:r>
    <w:r w:rsidRPr="00D52F94">
      <w:rPr>
        <w:sz w:val="16"/>
        <w:szCs w:val="17"/>
      </w:rPr>
    </w:r>
    <w:r>
      <w:rPr>
        <w:sz w:val="16"/>
        <w:szCs w:val="17"/>
      </w:rPr>
    </w:r>
    <w:r w:rsidRPr="004D48C1"/>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797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42E986-9877-4A94-AB28-2B1F9D2DE7AA}">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D01EA47A-458A-4665-827A-8E0A537CA4CC}">
  <ds:schemaRefs>
    <ds:schemaRef ds:uri="http://schemas.microsoft.com/sharepoint/v3/contenttype/forms"/>
  </ds:schemaRefs>
</ds:datastoreItem>
</file>

<file path=customXml/itemProps3.xml><?xml version="1.0" encoding="utf-8"?>
<ds:datastoreItem xmlns:ds="http://schemas.openxmlformats.org/officeDocument/2006/customXml" ds:itemID="{302DBF00-44EB-4C16-8647-73FD14C66A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Alline Mariá Schumann</cp:lastModifiedBy>
  <cp:revision>4</cp:revision>
  <cp:lastPrinted>2014-09-18T13:37:00Z</cp:lastPrinted>
  <dcterms:created xsi:type="dcterms:W3CDTF">2025-09-29T14:51:00Z</dcterms:created>
  <dcterms:modified xsi:type="dcterms:W3CDTF">2025-09-29T15:16:00Z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11e1187c-dd87-42fc-91fe-39b96d560bcd</vt:lpwstr>
  </property>
</Properties>
</file>