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shd w:val="clear" w:color="auto" w:fill="FFFABB"/>
          <w:lang w:eastAsia="ru-RU"/>
        </w:rPr>
        <w:t>Методические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lang w:eastAsia="ru-RU"/>
        </w:rPr>
        <w:t> 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shd w:val="clear" w:color="auto" w:fill="FFFABB"/>
          <w:lang w:eastAsia="ru-RU"/>
        </w:rPr>
        <w:t>рекомендации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lang w:eastAsia="ru-RU"/>
        </w:rPr>
        <w:br/>
        <w:t>по 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shd w:val="clear" w:color="auto" w:fill="FFFABB"/>
          <w:lang w:eastAsia="ru-RU"/>
        </w:rPr>
        <w:t>юридико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lang w:eastAsia="ru-RU"/>
        </w:rPr>
        <w:t>-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shd w:val="clear" w:color="auto" w:fill="FFFABB"/>
          <w:lang w:eastAsia="ru-RU"/>
        </w:rPr>
        <w:t>техническому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lang w:eastAsia="ru-RU"/>
        </w:rPr>
        <w:t> 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shd w:val="clear" w:color="auto" w:fill="FFFABB"/>
          <w:lang w:eastAsia="ru-RU"/>
        </w:rPr>
        <w:t>оформлению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lang w:eastAsia="ru-RU"/>
        </w:rPr>
        <w:t> 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highlight w:val="green"/>
          <w:shd w:val="clear" w:color="auto" w:fill="FFFABB"/>
          <w:lang w:eastAsia="ru-RU"/>
        </w:rPr>
        <w:t>законопроектов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br/>
        <w:t>(</w:t>
      </w:r>
      <w:r w:rsidR="00D07B83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редакция 2023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 г.)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Глава 1. Структура законопроекта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1. Наименование законопроекта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1. 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highlight w:val="yellow"/>
          <w:lang w:eastAsia="ru-RU"/>
        </w:rPr>
        <w:t>Наименование законопроекта должно быть лаконичным и точным.</w:t>
      </w:r>
      <w:r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 </w:t>
      </w: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lang w:eastAsia="ru-RU"/>
        </w:rPr>
        <w:t>Наименование законопроекта отражает его содержание и основной предмет правового регулирования.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 Наименование должно быть точным, четким и отражать предмет правового регулирования с тем расчетом, чтобы исполнители могли по наименованию законодательного акта определить его основное содержание, легко запомнить, при необходимости быстро отыскать.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2. 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highlight w:val="yellow"/>
          <w:lang w:eastAsia="ru-RU"/>
        </w:rPr>
        <w:t>Законодательные акты со сложными и неоправданно длинными наименованиями загромождают законодательство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, затрудняют систематизацию и понимание законодательных актов. Особенно они неудобны при ссылках на них в других нормативных правовых актах, актах применения права, документах, статьях и т.д.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В наименованиях законопроектов о внесении изменений в законодательные акты не допускаются уточняющие формулировки, такие как </w:t>
      </w:r>
      <w:r w:rsidRPr="00011492">
        <w:rPr>
          <w:rFonts w:ascii="Times New Roman" w:eastAsia="Times New Roman" w:hAnsi="Times New Roman" w:cs="Times New Roman"/>
          <w:i/>
          <w:color w:val="22272F"/>
          <w:sz w:val="28"/>
          <w:szCs w:val="23"/>
          <w:lang w:eastAsia="ru-RU"/>
        </w:rPr>
        <w:t>"в части...", "в связи..."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 и т.п., в том числе заключенные в скобки. При наличии такой формулировки необходимо исключить ее из наименования законопроекта во время подготовки его к принятию во втором чтении.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3. 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highlight w:val="yellow"/>
          <w:lang w:eastAsia="ru-RU"/>
        </w:rPr>
        <w:t>Требования к пояснительной записке законопроекта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: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Предмет правового регулирования, изложение </w:t>
      </w: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lang w:eastAsia="ru-RU"/>
        </w:rPr>
        <w:t>концепции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 предлагаемого законопроекта, а также его </w:t>
      </w: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lang w:eastAsia="ru-RU"/>
        </w:rPr>
        <w:t>цель и почему ее достижение возможно только образом, предлагаемом в законопроекте, мотивированное обоснование необходимости принятия или одобрения законопроекта с фактическими данными или судебной практикой</w:t>
      </w: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 xml:space="preserve"> должны содержаться в пояснительной записке к законопроекту.</w:t>
      </w:r>
    </w:p>
    <w:p w:rsid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2. Преамбула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highlight w:val="yellow"/>
          <w:lang w:eastAsia="ru-RU"/>
        </w:rPr>
        <w:t>Преамбула (введение) - самостоятельная часть законопроекта, которая определяет его цели и задачи, но не является обязательной.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Преамбула:</w:t>
      </w:r>
    </w:p>
    <w:p w:rsidR="00011492" w:rsidRPr="00011492" w:rsidRDefault="00011492" w:rsidP="0001149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не содержит самостоятельных нормативных предписаний;</w:t>
      </w:r>
    </w:p>
    <w:p w:rsidR="00011492" w:rsidRPr="00011492" w:rsidRDefault="00011492" w:rsidP="0001149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не делится на статьи;</w:t>
      </w:r>
    </w:p>
    <w:p w:rsidR="00011492" w:rsidRPr="00011492" w:rsidRDefault="00011492" w:rsidP="0001149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не содержит ссылок на другие законодательные акты, подлежащие признанию утратившими силу и изменению в связи с изданием законодательного акта;</w:t>
      </w:r>
    </w:p>
    <w:p w:rsidR="00011492" w:rsidRPr="00011492" w:rsidRDefault="00011492" w:rsidP="0001149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не содержит легальных дефиниций;</w:t>
      </w:r>
    </w:p>
    <w:p w:rsidR="00011492" w:rsidRPr="00011492" w:rsidRDefault="00011492" w:rsidP="0001149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не формулирует предмет регулирования законопроекта;</w:t>
      </w:r>
    </w:p>
    <w:p w:rsidR="00011492" w:rsidRPr="00011492" w:rsidRDefault="00011492" w:rsidP="0001149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не нумеруется.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Преамбула предваряет текст законопроекта и является введением в текст законопроекта.</w:t>
      </w:r>
    </w:p>
    <w:p w:rsidR="00011492" w:rsidRPr="00011492" w:rsidRDefault="00011492" w:rsidP="000114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Структурные единицы законопроекта не могут иметь преамбулу.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3. Деление законопроекта на структурные единицы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Деление законопроекта на структурные единицы упрощает пользование им, улучшает его внутреннее построение и систематизацию, облегчает осуществление ссылок, помогает быстро ориентироваться в нормативном материале.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Употребляются следующие структурные единицы законодательных актов по нисходящей: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часть;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раздел;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подраздел;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глава;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параграф;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статья.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8"/>
          <w:highlight w:val="yellow"/>
          <w:lang w:eastAsia="ru-RU"/>
        </w:rPr>
        <w:t>Вводить структурную единицу "раздел" или "подраздел", если в законопроекте нет глав, не следует.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lastRenderedPageBreak/>
        <w:t>Деление законодательного акта на части, разделов на подразделы, глав на параграфы возможно в крупных систематизированных законопроектах (например, проектах кодексов).</w:t>
      </w:r>
    </w:p>
    <w:p w:rsid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4. Часть как структурная единица законопроекта</w:t>
      </w:r>
    </w:p>
    <w:p w:rsidR="00011492" w:rsidRPr="00011492" w:rsidRDefault="00011492" w:rsidP="0001149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Часть законопроекта: обозначается словами: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ЧАСТЬ ПЕРВАЯ;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ЧАСТЬ ВТОРАЯ</w:t>
      </w:r>
    </w:p>
    <w:p w:rsidR="00011492" w:rsidRPr="00011492" w:rsidRDefault="00011492" w:rsidP="0001149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может иметь наименование: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ЧАСТЬ ПЕРВАЯ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ОБЩИЕ ПОЛОЖЕНИЯ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либо обозначаться (в кодексах) следующим образом: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ОБЩАЯ ЧАСТЬ;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ОСОБЕННАЯ ЧАСТЬ</w:t>
      </w:r>
    </w:p>
    <w:p w:rsidR="00011492" w:rsidRPr="00011492" w:rsidRDefault="00011492" w:rsidP="00770E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Обозначение и наименование части законопроекта печатаются прописными буквами по центру страницы одно под другим.</w:t>
      </w:r>
    </w:p>
    <w:p w:rsidR="00011492" w:rsidRPr="00011492" w:rsidRDefault="00011492" w:rsidP="00770E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Наименование части законопроекта печатается полужирным шрифтом.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5. Раздел как структурная единица законопроекта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Раздел: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имеет сквозной порядковый номер, обозначаемый римскими цифрами;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имеет наименование.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Обозначение и наименование раздела печатаются прописными буквами по центру страницы одно под другим.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Наименование раздела печатается полужирным шрифтом.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bCs/>
          <w:color w:val="22272F"/>
          <w:sz w:val="23"/>
          <w:szCs w:val="23"/>
          <w:lang w:eastAsia="ru-RU"/>
        </w:rPr>
        <w:t>Пример: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lastRenderedPageBreak/>
        <w:t>РАЗДЕЛ I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br/>
        <w:t>ПРАВО СОБСТВЕННОСТИ И ДРУГИЕ ВЕЩНЫЕ ПРАВА</w:t>
      </w:r>
    </w:p>
    <w:p w:rsidR="00011492" w:rsidRPr="00011492" w:rsidRDefault="00011492" w:rsidP="00770E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В случае если раздел имеет более длинное наименование или наименование, состоящее из нескольких предложений, то обозначение и наименование раздела оформляются следующим образом: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РАЗДЕЛ I</w:t>
      </w: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br/>
        <w:t>ОСНОВНЫЕ ТРЕБОВАНИЯ К ОРГАНИЗАЦИИ ЖЕЛЕЗНОДОРОЖНОГО ТРАНСПОРТА И ОБЪЕКТАМ ЖЕЛЕЗНОДОРОЖНОГО ТРАНСПОРТА. УПРАВЛЕНИЕ ПЕРЕВОЗОЧНЫМ ПРОЦЕССОМ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6. Подраздел как структурная единица законопроекта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Подраздел: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имеет порядковый номер, обозначаемый римскими цифрами;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имеет наименование.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Обозначение подраздела печатается с прописной буквы и абзацного отступа.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Наименование подраздела печатается с прописной буквы полужирным шрифтом в одну строку с обозначением подраздела, после которого ставится точка.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bCs/>
          <w:color w:val="22272F"/>
          <w:sz w:val="23"/>
          <w:szCs w:val="23"/>
          <w:lang w:eastAsia="ru-RU"/>
        </w:rPr>
        <w:t>Пример: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Подраздел I. Общие положения об обязательствах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В случае если подраздел имеет более длинное наименование или наименование, состоящее из нескольких предложений, то обозначение и наименование подраздела оформляются следующим образом: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Подраздел I. Основные требования к организации железнодорожного транспорта и объектам железнодорожного транспорта. Управление перевозочным процессом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7. Глава как структурная единица законопроекта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Глава:</w:t>
      </w:r>
    </w:p>
    <w:p w:rsidR="00011492" w:rsidRPr="00770EA9" w:rsidRDefault="00011492" w:rsidP="00770E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770EA9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lastRenderedPageBreak/>
        <w:t>имеет сквозной порядковый номер и нумеруется арабскими цифрами;</w:t>
      </w:r>
    </w:p>
    <w:p w:rsidR="00011492" w:rsidRPr="00770EA9" w:rsidRDefault="00011492" w:rsidP="00770E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770EA9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имеет наименование.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Обозначение главы печатается с прописной буквы и абзацного отступа.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Наименование главы печатается с прописной буквы полужирным шрифтом в одну строку с обозначением главы, после которого ставится точка.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bCs/>
          <w:color w:val="22272F"/>
          <w:sz w:val="23"/>
          <w:szCs w:val="23"/>
          <w:lang w:eastAsia="ru-RU"/>
        </w:rPr>
        <w:t>Пример: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Глава 5. Права и обязанности в области пожарной безопасности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В случае если глава имеет более длинное наименование или наименование, состоящее из нескольких предложений, то обозначение и наименование главы оформляются следующим образом: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Глава 5. Основные требования к организации железнодорожного транспорта и объектам железнодорожного транспорта. Управление перевозочным процессом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8. Параграф как структурная единица законопроекта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Параграф: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обозначается знаком §;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имеет порядковый номер, обозначаемый арабскими цифрами;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имеет наименование.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8"/>
          <w:szCs w:val="23"/>
          <w:lang w:eastAsia="ru-RU"/>
        </w:rPr>
        <w:t>Наименование параграфа печатается с прописной буквы полужирным шрифтом в одну строку с обозначением параграфа, после которого ставится точка.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bCs/>
          <w:color w:val="22272F"/>
          <w:sz w:val="23"/>
          <w:szCs w:val="23"/>
          <w:lang w:eastAsia="ru-RU"/>
        </w:rPr>
        <w:t>Пример: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§ 1. Хозяйственные товарищества и общества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В случае если параграф имеет более длинное наименование или наименование, состоящее из нескольких предложений, то обозначение и наименование параграфа оформляются следующим образом: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§ 1. Основные требования к организации железнодорожного транспорта и объектам железнодорожного транспорта. Управление перевозочным процессом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lastRenderedPageBreak/>
        <w:t>9. Статья как структурная единица законопроекта, устанавливающего новое правовое регулирование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  <w:t>Статья законопроекта: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  <w:t>является его основной структурной единицей;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  <w:t>имеет сквозной порядковый номер, обозначаемый арабскими цифрами;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  <w:t>как правило, имеет наименование.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  <w:t>Обозначение статьи печатается с прописной буквы и абзацного отступа.</w:t>
      </w:r>
    </w:p>
    <w:p w:rsidR="00011492" w:rsidRPr="00011492" w:rsidRDefault="00011492" w:rsidP="00770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72F"/>
          <w:sz w:val="36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color w:val="22272F"/>
          <w:sz w:val="28"/>
          <w:szCs w:val="23"/>
          <w:highlight w:val="yellow"/>
          <w:lang w:eastAsia="ru-RU"/>
        </w:rPr>
        <w:t>Наименование статьи печатается с прописной буквы полужирным шрифтом в одну строку с обозначением номера статьи, после которого ставится точка.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b/>
          <w:bCs/>
          <w:color w:val="22272F"/>
          <w:sz w:val="23"/>
          <w:szCs w:val="23"/>
          <w:lang w:eastAsia="ru-RU"/>
        </w:rPr>
        <w:t>Пример: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Статья 33. Сертификация</w:t>
      </w:r>
    </w:p>
    <w:tbl>
      <w:tblPr>
        <w:tblW w:w="10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5769"/>
      </w:tblGrid>
      <w:tr w:rsidR="00011492" w:rsidRPr="00011492" w:rsidTr="00011492">
        <w:tc>
          <w:tcPr>
            <w:tcW w:w="4245" w:type="dxa"/>
            <w:hideMark/>
          </w:tcPr>
          <w:p w:rsidR="00011492" w:rsidRPr="00011492" w:rsidRDefault="00011492" w:rsidP="00011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1. .................................. .</w:t>
            </w:r>
          </w:p>
        </w:tc>
        <w:tc>
          <w:tcPr>
            <w:tcW w:w="5760" w:type="dxa"/>
            <w:hideMark/>
          </w:tcPr>
          <w:p w:rsidR="00011492" w:rsidRPr="00011492" w:rsidRDefault="00011492" w:rsidP="00011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(часть 1)</w:t>
            </w:r>
          </w:p>
        </w:tc>
      </w:tr>
      <w:tr w:rsidR="00011492" w:rsidRPr="00011492" w:rsidTr="00011492">
        <w:tc>
          <w:tcPr>
            <w:tcW w:w="4245" w:type="dxa"/>
            <w:hideMark/>
          </w:tcPr>
          <w:p w:rsidR="00011492" w:rsidRPr="00011492" w:rsidRDefault="00011492" w:rsidP="00011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2. .................................. .</w:t>
            </w:r>
          </w:p>
        </w:tc>
        <w:tc>
          <w:tcPr>
            <w:tcW w:w="5760" w:type="dxa"/>
            <w:hideMark/>
          </w:tcPr>
          <w:p w:rsidR="00011492" w:rsidRPr="00011492" w:rsidRDefault="00011492" w:rsidP="00011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(часть 2)</w:t>
            </w:r>
          </w:p>
        </w:tc>
      </w:tr>
    </w:tbl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или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О внесении изменений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в Федеральный закон "О .........." и признании утратившими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силу отдельных законодательных актов (положений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законодательных актов) Российской Федерации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или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О внесении изменений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в отдельные законодательные акты Российской Федерации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и признании утратившими силу Федерального закона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"О ...................." и отдельных положений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lastRenderedPageBreak/>
        <w:t>законодательных актов Российской Федерации</w:t>
      </w:r>
    </w:p>
    <w:p w:rsidR="00011492" w:rsidRPr="00011492" w:rsidRDefault="00011492" w:rsidP="000114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011492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Глава 5. Перечень законодательных актов, подлежащих признанию утратившими силу</w:t>
      </w:r>
    </w:p>
    <w:p w:rsidR="00011492" w:rsidRPr="00011492" w:rsidRDefault="00011492" w:rsidP="00561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9B125C" w:rsidRDefault="00E83819"/>
    <w:sectPr w:rsidR="009B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75C"/>
    <w:multiLevelType w:val="hybridMultilevel"/>
    <w:tmpl w:val="906E379C"/>
    <w:lvl w:ilvl="0" w:tplc="C72C7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657DD8"/>
    <w:multiLevelType w:val="hybridMultilevel"/>
    <w:tmpl w:val="B9B0292E"/>
    <w:lvl w:ilvl="0" w:tplc="C72C7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366CD"/>
    <w:multiLevelType w:val="hybridMultilevel"/>
    <w:tmpl w:val="B9B0292E"/>
    <w:lvl w:ilvl="0" w:tplc="C72C7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21142">
    <w:abstractNumId w:val="0"/>
  </w:num>
  <w:num w:numId="2" w16cid:durableId="2084836804">
    <w:abstractNumId w:val="2"/>
  </w:num>
  <w:num w:numId="3" w16cid:durableId="178376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06"/>
    <w:rsid w:val="00011492"/>
    <w:rsid w:val="00561A6C"/>
    <w:rsid w:val="00653206"/>
    <w:rsid w:val="00770EA9"/>
    <w:rsid w:val="009D72D7"/>
    <w:rsid w:val="00AA46FA"/>
    <w:rsid w:val="00D0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78AA"/>
  <w15:chartTrackingRefBased/>
  <w15:docId w15:val="{D866F860-8FE0-4490-B017-631BFBC1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0249">
          <w:marLeft w:val="0"/>
          <w:marRight w:val="0"/>
          <w:marTop w:val="0"/>
          <w:marBottom w:val="11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Андреев</cp:lastModifiedBy>
  <cp:revision>2</cp:revision>
  <dcterms:created xsi:type="dcterms:W3CDTF">2023-04-13T11:56:00Z</dcterms:created>
  <dcterms:modified xsi:type="dcterms:W3CDTF">2023-04-13T11:56:00Z</dcterms:modified>
</cp:coreProperties>
</file>