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2</w:t>
      </w:r>
    </w:p>
    <w:p>
      <w:pPr>
        <w:jc w:val="center"/>
      </w:pPr>
      <w:r>
        <w:rPr>
          <w:sz w:val="22"/>
        </w:rPr>
        <w:t>do Umowy o współpracę B2B nr 066/2026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Lifecycle Test</w:t>
      </w:r>
      <w:r>
        <w:t xml:space="preserve"> prowadzacym/ca dzialalnosc gospodarcza pod firma: LC Testing sp. z o.o., z adresem: ul. Lifecycle 1, 00-001 Warszawa, NIP: 6666666666,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066/2026, ze skutkiem od dnia 01.08.2026:</w:t>
      </w:r>
    </w:p>
    <w:p>
      <w:pPr>
        <w:pStyle w:val="ListNumber"/>
      </w:pPr>
      <w:r>
        <w:t>1. Strony zmieniaja stawkę godzinową z: „175” na: „195”.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(Lifecycle Test)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