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ANEKS NR 2</w:t>
      </w:r>
    </w:p>
    <w:p>
      <w:pPr>
        <w:jc w:val="center"/>
      </w:pPr>
      <w:r>
        <w:rPr>
          <w:sz w:val="22"/>
        </w:rPr>
        <w:t>do Umowy o współpracę B2B nr 207/2026</w:t>
      </w:r>
    </w:p>
    <w:p>
      <w:pPr>
        <w:jc w:val="center"/>
      </w:pPr>
      <w:r>
        <w:rPr>
          <w:sz w:val="20"/>
        </w:rPr>
        <w:t>z dnia 21.03.2026</w:t>
      </w:r>
    </w:p>
    <w:p/>
    <w:p>
      <w:r>
        <w:t>zawarty pomiędzy:</w:t>
      </w:r>
    </w:p>
    <w:p>
      <w:r>
        <w:rPr>
          <w:b/>
        </w:rPr>
        <w:t>B2BNET S.A.</w:t>
      </w:r>
      <w:r>
        <w:t xml:space="preserve"> z siedzibą w Warszawie, Al. Jerozolimskie 180, 02-486 Warszawa, wpisaną do rejestru przedsiębiorców KRS pod numerem 0000387063, NIP: 5711707392, reprezentowana przez Pana Artura Twardowskiego — Prezesa Zarzadu, zwana dalej „Zamawiajacym”</w:t>
      </w:r>
    </w:p>
    <w:p>
      <w:r>
        <w:t>a</w:t>
      </w:r>
    </w:p>
    <w:p>
      <w:r>
        <w:rPr>
          <w:b/>
        </w:rPr>
        <w:t>Lifecycle Test</w:t>
      </w:r>
      <w:r>
        <w:t xml:space="preserve"> prowadzacym/ca dzialalnosc gospodarcza pod firma: LC Testing sp. z o.o., z adresem: ul. Lifecycle 1, 00-001 Warszawa, NIP: 6666666666, zwanym dalej „Partnerem”</w:t>
      </w:r>
    </w:p>
    <w:p/>
    <w:p>
      <w:r>
        <w:rPr>
          <w:b/>
        </w:rPr>
        <w:t>§ 1</w:t>
      </w:r>
    </w:p>
    <w:p>
      <w:r>
        <w:t>Strony postanawiają wprowadzić następujące zmiany do Umowy o współpracę B2B nr 207/2026, ze skutkiem od dnia 01.08.2026:</w:t>
      </w:r>
    </w:p>
    <w:p>
      <w:pPr>
        <w:pStyle w:val="ListNumber"/>
      </w:pPr>
      <w:r>
        <w:t>1. Strony zmieniaja stawkę godzinową z: „175” na: „195”.</w:t>
      </w:r>
    </w:p>
    <w:p/>
    <w:p>
      <w:r>
        <w:rPr>
          <w:b/>
        </w:rPr>
        <w:t>§ 2</w:t>
      </w:r>
    </w:p>
    <w:p>
      <w:r>
        <w:t>Pozostałe postanowienia Umowy nie ulegają zmianie i pozostają w mocy.</w:t>
      </w:r>
    </w:p>
    <w:p/>
    <w:p>
      <w:r>
        <w:rPr>
          <w:b/>
        </w:rPr>
        <w:t>§ 3</w:t>
      </w:r>
    </w:p>
    <w:p>
      <w:r>
        <w:t>Aneks sporządzono w dwóch jednobrzmiących egzemplarzach, po jednym dla każdej ze Stron.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________________________</w:t>
            </w:r>
          </w:p>
        </w:tc>
        <w:tc>
          <w:tcPr>
            <w:tcW w:type="dxa" w:w="4703"/>
          </w:tcPr>
          <w:p>
            <w:r>
              <w:t>________________________</w:t>
            </w:r>
          </w:p>
        </w:tc>
      </w:tr>
      <w:tr>
        <w:tc>
          <w:tcPr>
            <w:tcW w:type="dxa" w:w="4703"/>
          </w:tcPr>
          <w:p>
            <w:r>
              <w:t>Zamawiający (B2B.net S.A.)</w:t>
            </w:r>
          </w:p>
        </w:tc>
        <w:tc>
          <w:tcPr>
            <w:tcW w:type="dxa" w:w="4703"/>
          </w:tcPr>
          <w:p>
            <w:r>
              <w:t>Partner (Lifecycle Test)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