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sz w:val="22"/>
          <w:szCs w:val="22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 xml:space="preserve">NAME </w:t>
      </w:r>
      <w:r>
        <w:rPr>
          <w:rFonts w:cs="Calibri" w:ascii="Liberation Serif" w:hAnsi="Liberation Serif"/>
          <w:highlight w:val="white"/>
        </w:rPr>
        <w:t>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Срока и на Территории Принципал не вправе самостоятельно использовать Произведения, Исполнения, Фонограммы способами, указанными в настоящем Договоре в п. 2.1, а также заключать договоры 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eastAsia="Calibri"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 </w:t>
      </w:r>
      <w:r>
        <w:rPr>
          <w:rFonts w:cs="Calibri" w:ascii="Liberation Serif" w:hAnsi="Liberation Serif"/>
        </w:rPr>
        <w:t>в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right="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  <w:gridCol w:w="5051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REGISTRATION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bookmarkStart w:id="0" w:name="_GoBack"/>
            <w:bookmarkEnd w:id="0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 }}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«{{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}}»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}г</w:t>
      </w:r>
      <w:r>
        <w:rPr>
          <w:rFonts w:cs="Calibri-Bold" w:ascii="Liberation Serif" w:hAnsi="Liberation Serif"/>
          <w:b/>
          <w:bCs/>
          <w:sz w:val="22"/>
          <w:szCs w:val="22"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83"/>
        <w:gridCol w:w="1300"/>
        <w:gridCol w:w="59"/>
        <w:gridCol w:w="1016"/>
        <w:gridCol w:w="959"/>
        <w:gridCol w:w="1658"/>
        <w:gridCol w:w="1642"/>
        <w:gridCol w:w="2608"/>
      </w:tblGrid>
      <w:tr>
        <w:trPr/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melody_author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text_author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8"/>
                <w:szCs w:val="18"/>
                <w:lang w:val="en-US"/>
              </w:rPr>
              <w:t>{{  FULL_NAME }}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8"/>
                <w:szCs w:val="18"/>
              </w:rPr>
              <w:t>100/100%</w:t>
            </w:r>
          </w:p>
        </w:tc>
      </w:tr>
      <w:tr>
        <w:trPr/>
        <w:tc>
          <w:tcPr>
            <w:tcW w:w="982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spacing w:lineRule="auto" w:line="276" w:before="0" w:after="200"/>
        <w:jc w:val="center"/>
        <w:rPr>
          <w:rFonts w:ascii="Liberation Serif" w:hAnsi="Liberation Serif" w:cs="Calibri"/>
          <w:b/>
          <w:b/>
          <w:bCs/>
          <w:sz w:val="22"/>
          <w:szCs w:val="22"/>
          <w:highlight w:val="white"/>
          <w:lang w:val="en-US"/>
        </w:rPr>
      </w:pP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5"/>
      </w:tblGrid>
      <w:tr>
        <w:trPr>
          <w:trHeight w:val="523" w:hRule="atLeas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sz w:val="22"/>
                <w:szCs w:val="22"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  <w:rFonts w:ascii="Liberation Serif" w:hAnsi="Liberation Serif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  <w:b w:val="false"/>
      <w:color w:val="auto"/>
    </w:rPr>
  </w:style>
  <w:style w:type="character" w:styleId="ListLabel5">
    <w:name w:val="ListLabel 5"/>
    <w:qFormat/>
    <w:rPr>
      <w:b w:val="false"/>
      <w:color w:val="auto"/>
    </w:rPr>
  </w:style>
  <w:style w:type="character" w:styleId="ListLabel6">
    <w:name w:val="ListLabel 6"/>
    <w:qFormat/>
    <w:rPr>
      <w:b w:val="false"/>
      <w:color w:val="auto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Times New Roman"/>
      <w:color w:val="auto"/>
    </w:rPr>
  </w:style>
  <w:style w:type="character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>
    <w:name w:val="ListLabel 21"/>
    <w:qFormat/>
    <w:rPr>
      <w:color w:val="auto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Times New Roman"/>
      <w:b w:val="false"/>
      <w:color w:val="auto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NumberingSymbols">
    <w:name w:val="Numbering Symbols"/>
    <w:qFormat/>
    <w:rPr>
      <w:rFonts w:ascii="Liberation Serif" w:hAnsi="Liberation Serif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Application>LibreOffice/6.0.7.3$Linux_X86_64 LibreOffice_project/00m0$Build-3</Application>
  <Pages>6</Pages>
  <Words>2391</Words>
  <Characters>15639</Characters>
  <CharactersWithSpaces>18151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2020-11-17T22:33:19Z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