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"/>
        <w:gridCol w:w="1243"/>
        <w:gridCol w:w="1"/>
        <w:gridCol w:w="1539"/>
        <w:gridCol w:w="1"/>
        <w:gridCol w:w="1557"/>
        <w:gridCol w:w="1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-Bold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character" w:styleId="ListLabel90">
    <w:name w:val="ListLabel 90"/>
    <w:qFormat/>
    <w:rPr>
      <w:rFonts w:ascii="Liberation Serif" w:hAnsi="Liberation Serif"/>
      <w:color w:val="auto"/>
    </w:rPr>
  </w:style>
  <w:style w:type="character" w:styleId="ListLabel91">
    <w:name w:val="ListLabel 91"/>
    <w:qFormat/>
    <w:rPr>
      <w:rFonts w:ascii="Liberation Serif" w:hAnsi="Liberation Serif"/>
      <w:color w:val="auto"/>
    </w:rPr>
  </w:style>
  <w:style w:type="character" w:styleId="ListLabel92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>
    <w:name w:val="ListLabel 94"/>
    <w:qFormat/>
    <w:rPr>
      <w:b/>
      <w:sz w:val="18"/>
      <w:szCs w:val="18"/>
    </w:rPr>
  </w:style>
  <w:style w:type="character" w:styleId="ListLabel95">
    <w:name w:val="ListLabel 95"/>
    <w:qFormat/>
    <w:rPr>
      <w:sz w:val="18"/>
      <w:szCs w:val="18"/>
    </w:rPr>
  </w:style>
  <w:style w:type="character" w:styleId="ListLabel96">
    <w:name w:val="ListLabel 96"/>
    <w:qFormat/>
    <w:rPr>
      <w:sz w:val="18"/>
      <w:szCs w:val="18"/>
    </w:rPr>
  </w:style>
  <w:style w:type="character" w:styleId="ListLabel97">
    <w:name w:val="ListLabel 97"/>
    <w:qFormat/>
    <w:rPr>
      <w:sz w:val="18"/>
      <w:szCs w:val="18"/>
    </w:rPr>
  </w:style>
  <w:style w:type="character" w:styleId="ListLabel98">
    <w:name w:val="ListLabel 98"/>
    <w:qFormat/>
    <w:rPr>
      <w:sz w:val="18"/>
      <w:szCs w:val="18"/>
    </w:rPr>
  </w:style>
  <w:style w:type="character" w:styleId="ListLabel99">
    <w:name w:val="ListLabel 99"/>
    <w:qFormat/>
    <w:rPr>
      <w:sz w:val="18"/>
      <w:szCs w:val="18"/>
    </w:rPr>
  </w:style>
  <w:style w:type="character" w:styleId="ListLabel100">
    <w:name w:val="ListLabel 100"/>
    <w:qFormat/>
    <w:rPr>
      <w:sz w:val="18"/>
      <w:szCs w:val="18"/>
    </w:rPr>
  </w:style>
  <w:style w:type="character" w:styleId="ListLabel101">
    <w:name w:val="ListLabel 101"/>
    <w:qFormat/>
    <w:rPr>
      <w:sz w:val="18"/>
      <w:szCs w:val="18"/>
    </w:rPr>
  </w:style>
  <w:style w:type="character" w:styleId="ListLabel102">
    <w:name w:val="ListLabel 102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Application>LibreOffice/6.0.7.3$Linux_X86_64 LibreOffice_project/00m0$Build-3</Application>
  <Pages>6</Pages>
  <Words>2389</Words>
  <Characters>15644</Characters>
  <CharactersWithSpaces>18145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2021-02-22T00:41:48Z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