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PVM SĄSKAITA FAKTŪRA</w:t>
      </w:r>
    </w:p>
    <w:p>
      <w:r>
        <w:t xml:space="preserve">Serija TP Nr. 2026-0456</w:t>
      </w:r>
    </w:p>
    <w:p>
      <w:r>
        <w:t xml:space="preserve">Sąskaitos data: 2026-09-05</w:t>
      </w:r>
    </w:p>
    <w:p>
      <w:r>
        <w:t xml:space="preserve">Apmokėti iki: 2026-09-20</w:t>
      </w:r>
    </w:p>
    <w:p>
      <w:r>
        <w:rPr>
          <w:b/>
        </w:rPr>
        <w:t xml:space="preserve">Pardavėjas</w:t>
      </w:r>
    </w:p>
    <w:p>
      <w:r>
        <w:t xml:space="preserve">UAB Tinklo paslaugos</w:t>
      </w:r>
    </w:p>
    <w:p>
      <w:r>
        <w:t xml:space="preserve">Įmonės kodas: 303333333</w:t>
      </w:r>
    </w:p>
    <w:p>
      <w:r>
        <w:t xml:space="preserve">PVM mokėtojo kodas: LT333333314</w:t>
      </w:r>
    </w:p>
    <w:p>
      <w:r>
        <w:t xml:space="preserve">Adresas: Laisvės al. 10, LT-44240 Kaunas</w:t>
      </w:r>
    </w:p>
    <w:p>
      <w:r>
        <w:t xml:space="preserve">A/s: LT207300010112345678</w:t>
      </w:r>
    </w:p>
    <w:p>
      <w:r>
        <w:rPr>
          <w:b/>
        </w:rPr>
        <w:t xml:space="preserve">Pirkėjas</w:t>
      </w:r>
    </w:p>
    <w:p>
      <w:r>
        <w:t xml:space="preserve">UAB Pavyzdinė prekyba</w:t>
      </w:r>
    </w:p>
    <w:p>
      <w:r>
        <w:t xml:space="preserve">Įmonės kodas: 305555555</w:t>
      </w:r>
    </w:p>
    <w:p>
      <w:r>
        <w:t xml:space="preserve">PVM mokėtojo kodas: LT100015555519</w:t>
      </w:r>
    </w:p>
    <w:p>
      <w:r>
        <w:t xml:space="preserve">Adresas: Gedimino pr. 1, LT-01103 Vilnius</w:t>
      </w:r>
    </w:p>
    <w:tbl>
      <w:tblPr>
        <w:tblBorders>
          <w:top w:val="single" w:sz="4"/>
          <w:bottom w:val="single" w:sz="4"/>
          <w:insideH w:val="single" w:sz="4"/>
          <w:insideV w:val="single" w:sz="4"/>
        </w:tblBorders>
      </w:tblPr>
      <w:tr>
        <w:tc>
          <w:tcPr>
            <w:tcW w:w="1100" w:type="dxa"/>
          </w:tcPr>
          <w:p>
            <w:r>
              <w:t xml:space="preserve">Nr.</w:t>
            </w:r>
          </w:p>
        </w:tc>
        <w:tc>
          <w:tcPr>
            <w:tcW w:w="3600" w:type="dxa"/>
          </w:tcPr>
          <w:p>
            <w:r>
              <w:t xml:space="preserve">Pavadinimas</w:t>
            </w:r>
          </w:p>
        </w:tc>
        <w:tc>
          <w:tcPr>
            <w:tcW w:w="1100" w:type="dxa"/>
          </w:tcPr>
          <w:p>
            <w:r>
              <w:t xml:space="preserve">Kiekis</w:t>
            </w:r>
          </w:p>
        </w:tc>
        <w:tc>
          <w:tcPr>
            <w:tcW w:w="1100" w:type="dxa"/>
          </w:tcPr>
          <w:p>
            <w:r>
              <w:t xml:space="preserve">Mato vnt.</w:t>
            </w:r>
          </w:p>
        </w:tc>
        <w:tc>
          <w:tcPr>
            <w:tcW w:w="1100" w:type="dxa"/>
          </w:tcPr>
          <w:p>
            <w:r>
              <w:t xml:space="preserve">Kaina</w:t>
            </w:r>
          </w:p>
        </w:tc>
        <w:tc>
          <w:tcPr>
            <w:tcW w:w="1100" w:type="dxa"/>
          </w:tcPr>
          <w:p>
            <w:r>
              <w:t xml:space="preserve">PVM %</w:t>
            </w:r>
          </w:p>
        </w:tc>
        <w:tc>
          <w:tcPr>
            <w:tcW w:w="1100" w:type="dxa"/>
          </w:tcPr>
          <w:p>
            <w:r>
              <w:t xml:space="preserve">Suma be PVM</w:t>
            </w:r>
          </w:p>
        </w:tc>
      </w:tr>
      <w:tr>
        <w:tc>
          <w:tcPr>
            <w:tcW w:w="1100" w:type="dxa"/>
          </w:tcPr>
          <w:p>
            <w:r>
              <w:t xml:space="preserve">1</w:t>
            </w:r>
          </w:p>
        </w:tc>
        <w:tc>
          <w:tcPr>
            <w:tcW w:w="3600" w:type="dxa"/>
          </w:tcPr>
          <w:p>
            <w:r>
              <w:t xml:space="preserve">Interneto ryšys, 2026 m. rugsėjo mėn.</w:t>
            </w:r>
          </w:p>
        </w:tc>
        <w:tc>
          <w:tcPr>
            <w:tcW w:w="1100" w:type="dxa"/>
          </w:tcPr>
          <w:p>
            <w:r>
              <w:t xml:space="preserve">1</w:t>
            </w:r>
          </w:p>
        </w:tc>
        <w:tc>
          <w:tcPr>
            <w:tcW w:w="1100" w:type="dxa"/>
          </w:tcPr>
          <w:p>
            <w:r>
              <w:t xml:space="preserve">mėn.</w:t>
            </w:r>
          </w:p>
        </w:tc>
        <w:tc>
          <w:tcPr>
            <w:tcW w:w="1100" w:type="dxa"/>
          </w:tcPr>
          <w:p>
            <w:r>
              <w:t xml:space="preserve">30,00</w:t>
            </w:r>
          </w:p>
        </w:tc>
        <w:tc>
          <w:tcPr>
            <w:tcW w:w="1100" w:type="dxa"/>
          </w:tcPr>
          <w:p>
            <w:r>
              <w:t xml:space="preserve">21 %</w:t>
            </w:r>
          </w:p>
        </w:tc>
        <w:tc>
          <w:tcPr>
            <w:tcW w:w="1100" w:type="dxa"/>
          </w:tcPr>
          <w:p>
            <w:r>
              <w:t xml:space="preserve">30,00</w:t>
            </w:r>
          </w:p>
        </w:tc>
      </w:tr>
      <w:tr>
        <w:tc>
          <w:tcPr>
            <w:tcW w:w="1100" w:type="dxa"/>
          </w:tcPr>
          <w:p>
            <w:r>
              <w:t xml:space="preserve">2</w:t>
            </w:r>
          </w:p>
        </w:tc>
        <w:tc>
          <w:tcPr>
            <w:tcW w:w="3600" w:type="dxa"/>
          </w:tcPr>
          <w:p>
            <w:r>
              <w:t xml:space="preserve">Metinė apskaitos programos licencija (12 mėn.)</w:t>
            </w:r>
          </w:p>
        </w:tc>
        <w:tc>
          <w:tcPr>
            <w:tcW w:w="1100" w:type="dxa"/>
          </w:tcPr>
          <w:p>
            <w:r>
              <w:t xml:space="preserve">1</w:t>
            </w:r>
          </w:p>
        </w:tc>
        <w:tc>
          <w:tcPr>
            <w:tcW w:w="1100" w:type="dxa"/>
          </w:tcPr>
          <w:p>
            <w:r>
              <w:t xml:space="preserve">vnt.</w:t>
            </w:r>
          </w:p>
        </w:tc>
        <w:tc>
          <w:tcPr>
            <w:tcW w:w="1100" w:type="dxa"/>
          </w:tcPr>
          <w:p>
            <w:r>
              <w:t xml:space="preserve">600,00</w:t>
            </w:r>
          </w:p>
        </w:tc>
        <w:tc>
          <w:tcPr>
            <w:tcW w:w="1100" w:type="dxa"/>
          </w:tcPr>
          <w:p>
            <w:r>
              <w:t xml:space="preserve">21 %</w:t>
            </w:r>
          </w:p>
        </w:tc>
        <w:tc>
          <w:tcPr>
            <w:tcW w:w="1100" w:type="dxa"/>
          </w:tcPr>
          <w:p>
            <w:r>
              <w:t xml:space="preserve">600,00</w:t>
            </w:r>
          </w:p>
        </w:tc>
      </w:tr>
    </w:tbl>
    <w:p>
      <w:r>
        <w:t xml:space="preserve">Suma be PVM: 630,00</w:t>
      </w:r>
    </w:p>
    <w:p>
      <w:r>
        <w:t xml:space="preserve">PVM 21 %: 132,30</w:t>
      </w:r>
    </w:p>
    <w:p>
      <w:r>
        <w:t xml:space="preserve">Iš viso su PVM: 762,30 EUR</w:t>
      </w:r>
    </w:p>
    <w:p>
      <w:r>
        <w:t xml:space="preserve">Mokėjimo paskirtis: Sąskaita TP 2026-0456</w:t>
      </w:r>
    </w:p>
    <w:sectPr>
      <w:pgSz w:w="11906" w:h="16838"/>
      <w:pgMar w:top="1000" w:right="1000" w:bottom="1000" w:left="1000"/>
    </w:sectPr>
  </w:body>
</w:document>
</file>