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моделью Лотки-Вольтерры.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6 и y_0 = 12.</w:t>
      </w:r>
      <w:r>
        <w:t xml:space="preserve"> </w:t>
      </w:r>
      <w:r>
        <w:t xml:space="preserve">1. Ниже приведен код программы: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3442447" cy="7660981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766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3865068" cy="2789304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Графики изменения численности популяции хищников и численности популяции жертв с течением времени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3826648" cy="5309667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530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numPr>
          <w:ilvl w:val="0"/>
          <w:numId w:val="1003"/>
        </w:numPr>
        <w:pStyle w:val="Compact"/>
      </w:pPr>
      <w:r>
        <w:t xml:space="preserve">Стационарное состоянии системы: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2051636" cy="453357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Стационарное состояние системы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взаимодействия двух видов типа «хищник — жертва», построив для нее графики и найдя стационарное состояние системы.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Карымшаков Артур Алишерович</dc:creator>
  <dc:language>ru-RU</dc:language>
  <cp:keywords/>
  <dcterms:created xsi:type="dcterms:W3CDTF">2021-03-27T20:27:49Z</dcterms:created>
  <dcterms:modified xsi:type="dcterms:W3CDTF">2021-03-27T20:27:49Z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