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Мальтуса и моделью логистической кривой на примере рекламной компании.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rPr>
            <m:sty m:val="p"/>
          </m:rPr>
          <m:t>+</m:t>
        </m:r>
        <m:r>
          <m:t>0.000074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0.000074</m:t>
        </m:r>
        <m:r>
          <m:rPr>
            <m:sty m:val="p"/>
          </m:rPr>
          <m:t>+</m:t>
        </m:r>
        <m:r>
          <m:t>0.74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Для этого случая определить,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0.74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1060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Ниже приведен код для решения задачи (часть 1): 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4018749" cy="5747657"/>
            <wp:effectExtent b="0" l="0" r="0" t="0"/>
            <wp:docPr descr="Код программы для решения задачи (часть 1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574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 (часть 1)</w:t>
      </w:r>
    </w:p>
    <w:p>
      <w:pPr>
        <w:pStyle w:val="BodyText"/>
      </w:pPr>
      <w:r>
        <w:t xml:space="preserve">Ниже приведен код для решения задачи (часть 2): (рис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4487475" cy="6016598"/>
            <wp:effectExtent b="0" l="0" r="0" t="0"/>
            <wp:docPr descr="Код программы для решения задачи (часть 2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5" cy="601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для решения задачи (часть 2)</w:t>
      </w:r>
    </w:p>
    <w:p>
      <w:pPr>
        <w:numPr>
          <w:ilvl w:val="0"/>
          <w:numId w:val="1002"/>
        </w:numPr>
        <w:pStyle w:val="Compact"/>
      </w:pPr>
      <w:r>
        <w:t xml:space="preserve">График распространения рекламы для первого уравнения: (рис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4356847" cy="2658675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График распространения рекламы для второго уравнения: (рис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4402951" cy="2650991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распространения рекламы для второго случая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График распространения рекламы для третьего уравнения: (рис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4264638" cy="2796988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распространения рекламы для второго случая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Мальтуса и моделью логистической кривой на примере эффективности рекламы, построил соответствующие графики.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Карымшаков Артур Алишерович</dc:creator>
  <dc:language>ru-RU</dc:language>
  <cp:keywords/>
  <dcterms:created xsi:type="dcterms:W3CDTF">2021-03-27T18:48:04Z</dcterms:created>
  <dcterms:modified xsi:type="dcterms:W3CDTF">2021-03-27T18:48:04Z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эффективности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