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1.5.4 (Apache licensed) using REFERENCE JAXB in Eclipse Adoptium Java 21.0.6 on Linux -->
    <w:p>
      <w:pPr>
        <w:pStyle w:val="TitleStyle"/>
      </w:pPr>
      <w:r>
        <w:t>Organizacja i tryb prowadzenia państwowego zasobu geodezyjnego i kartograficznego.</w:t>
      </w:r>
    </w:p>
    <w:p>
      <w:pPr>
        <w:pStyle w:val="NormalStyle"/>
      </w:pPr>
      <w:r>
        <w:t>Dz.U.2021.820 z dnia 2021.04.30</w:t>
      </w:r>
    </w:p>
    <w:p>
      <w:pPr>
        <w:pStyle w:val="NormalStyle"/>
      </w:pPr>
      <w:r>
        <w:t xml:space="preserve">Status: Akt obowiązujący </w:t>
      </w:r>
    </w:p>
    <w:p>
      <w:pPr>
        <w:pStyle w:val="NormalStyle"/>
      </w:pPr>
      <w:r>
        <w:t xml:space="preserve">Wersja od: 16 lipca 2023r. </w:t>
      </w:r>
    </w:p>
    <w:p>
      <w:pPr>
        <w:spacing w:before="70" w:after="0"/>
        <w:ind w:left="0"/>
        <w:jc w:val="center"/>
        <w:textAlignment w:val="auto"/>
      </w:pPr>
      <w:r>
        <w:rPr>
          <w:rFonts w:ascii="Times New Roman"/>
          <w:b/>
          <w:i w:val="false"/>
          <w:color w:val="000000"/>
          <w:sz w:val="28"/>
          <w:lang w:val="pl-PL"/>
        </w:rPr>
        <w:t>ROZPORZĄDZENIE</w:t>
      </w:r>
    </w:p>
    <w:p>
      <w:pPr>
        <w:spacing w:after="0"/>
        <w:ind w:left="0"/>
        <w:jc w:val="center"/>
        <w:textAlignment w:val="auto"/>
      </w:pPr>
      <w:r>
        <w:rPr>
          <w:rFonts w:ascii="Times New Roman"/>
          <w:b/>
          <w:i w:val="false"/>
          <w:color w:val="000000"/>
          <w:sz w:val="28"/>
          <w:lang w:val="pl-PL"/>
        </w:rPr>
        <w:t xml:space="preserve">MINISTRA ROZWOJU, PRACY I TECHNOLOGII </w:t>
      </w:r>
      <w:r>
        <w:rPr>
          <w:rFonts w:ascii="Times New Roman"/>
          <w:b/>
          <w:i w:val="false"/>
          <w:color w:val="000000"/>
          <w:sz w:val="28"/>
          <w:lang w:val="pl-PL"/>
        </w:rPr>
        <w:t xml:space="preserve"> </w:t>
      </w:r>
    </w:p>
    <w:p>
      <w:pPr>
        <w:spacing w:before="80" w:after="0"/>
        <w:ind w:left="0"/>
        <w:jc w:val="center"/>
        <w:textAlignment w:val="auto"/>
      </w:pPr>
      <w:r>
        <w:rPr>
          <w:rFonts w:ascii="Times New Roman"/>
          <w:b/>
          <w:i w:val="false"/>
          <w:color w:val="000000"/>
          <w:sz w:val="28"/>
          <w:lang w:val="pl-PL"/>
        </w:rPr>
        <w:t>z dnia 2 kwietnia 2021 r.</w:t>
      </w:r>
    </w:p>
    <w:p>
      <w:pPr>
        <w:spacing w:before="80" w:after="0"/>
        <w:ind w:left="0"/>
        <w:jc w:val="center"/>
        <w:textAlignment w:val="auto"/>
      </w:pPr>
      <w:r>
        <w:rPr>
          <w:rFonts w:ascii="Times New Roman"/>
          <w:b/>
          <w:i w:val="false"/>
          <w:color w:val="000000"/>
          <w:sz w:val="28"/>
          <w:lang w:val="pl-PL"/>
        </w:rPr>
        <w:t>w sprawie organizacji i trybu prowadzenia państwowego zasobu geodezyjnego i kartograficznego</w:t>
      </w:r>
    </w:p>
    <w:p>
      <w:pPr>
        <w:spacing w:after="0"/>
        <w:ind w:left="0"/>
        <w:jc w:val="left"/>
        <w:textAlignment w:val="auto"/>
      </w:pPr>
      <w:r>
        <w:rPr>
          <w:rFonts w:ascii="Times New Roman"/>
          <w:b w:val="false"/>
          <w:i w:val="false"/>
          <w:color w:val="000000"/>
          <w:sz w:val="28"/>
          <w:lang w:val="pl-PL"/>
        </w:rPr>
        <w:t xml:space="preserve">Na podstawie </w:t>
      </w:r>
      <w:r>
        <w:rPr>
          <w:rFonts w:ascii="Times New Roman"/>
          <w:b w:val="false"/>
          <w:i w:val="false"/>
          <w:color w:val="1b1b1b"/>
          <w:sz w:val="28"/>
          <w:lang w:val="pl-PL"/>
        </w:rPr>
        <w:t>art. 40 ust. 8</w:t>
      </w:r>
      <w:r>
        <w:rPr>
          <w:rFonts w:ascii="Times New Roman"/>
          <w:b w:val="false"/>
          <w:i w:val="false"/>
          <w:color w:val="000000"/>
          <w:sz w:val="28"/>
          <w:lang w:val="pl-PL"/>
        </w:rPr>
        <w:t xml:space="preserve"> ustawy z dnia 17 maja 1989 r. - Prawo geodezyjne i kartograficzne (Dz. U. z 2020 r. poz. 2052) zarządza się, co następuje:</w:t>
      </w:r>
    </w:p>
    <w:p>
      <w:pPr>
        <w:spacing w:after="0"/>
        <w:ind w:left="0"/>
        <w:jc w:val="left"/>
        <w:textAlignment w:val="auto"/>
      </w:pPr>
    </w:p>
    <w:p>
      <w:pPr>
        <w:spacing w:before="104" w:after="0"/>
        <w:ind w:left="0"/>
        <w:jc w:val="center"/>
        <w:textAlignment w:val="auto"/>
      </w:pPr>
      <w:r>
        <w:rPr>
          <w:rFonts w:ascii="Times New Roman"/>
          <w:b/>
          <w:i w:val="false"/>
          <w:color w:val="000000"/>
          <w:sz w:val="28"/>
          <w:lang w:val="pl-PL"/>
        </w:rPr>
        <w:t>Rozdział  1</w:t>
      </w:r>
    </w:p>
    <w:p>
      <w:pPr>
        <w:spacing w:before="25" w:after="0"/>
        <w:ind w:left="0"/>
        <w:jc w:val="center"/>
        <w:textAlignment w:val="auto"/>
      </w:pPr>
      <w:r>
        <w:rPr>
          <w:rFonts w:ascii="Times New Roman"/>
          <w:b/>
          <w:i w:val="false"/>
          <w:color w:val="000000"/>
          <w:sz w:val="28"/>
          <w:lang w:val="pl-PL"/>
        </w:rPr>
        <w:t>Przepisy ogólne</w:t>
      </w:r>
    </w:p>
    <w:p>
      <w:pPr>
        <w:spacing w:before="26" w:after="0"/>
        <w:ind w:left="0"/>
        <w:jc w:val="left"/>
        <w:textAlignment w:val="auto"/>
      </w:pPr>
      <w:r>
        <w:rPr>
          <w:rFonts w:ascii="Times New Roman"/>
          <w:b/>
          <w:i w:val="false"/>
          <w:color w:val="000000"/>
          <w:sz w:val="28"/>
          <w:lang w:val="pl-PL"/>
        </w:rPr>
        <w:t>§  1.</w:t>
      </w:r>
      <w:r>
        <w:rPr>
          <w:rFonts w:ascii="Times New Roman"/>
          <w:b w:val="false"/>
          <w:i w:val="false"/>
          <w:color w:val="000000"/>
          <w:sz w:val="28"/>
          <w:lang w:val="pl-PL"/>
        </w:rPr>
        <w:t> Rozporządzenie określa organizację i tryb prowadzenia państwowego zasobu geodezyjnego i kartograficznego, zwanego dalej "zasobem", w tym:</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rodzaje materiałów i zbiorów danych gromadzonych odpowiednio w centralnym zasobie geodezyjnym i kartograficznym, wojewódzkim zasobie geodezyjnym i kartograficznym oraz powiatowym zasobie geodezyjnym i kartograficznym;</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sposób i tryb pozyskiwania, ewidencjonowania, przechowywania i zabezpieczania materiałów i zbiorów danych;</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sposób i tryb udostępniania materiałów i zbiorów danych;</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wzory klauzul urzędowych, o których mowa w </w:t>
      </w:r>
      <w:r>
        <w:rPr>
          <w:rFonts w:ascii="Times New Roman"/>
          <w:b w:val="false"/>
          <w:i w:val="false"/>
          <w:color w:val="1b1b1b"/>
          <w:sz w:val="28"/>
          <w:lang w:val="pl-PL"/>
        </w:rPr>
        <w:t>art. 40 ust. 3g</w:t>
      </w:r>
      <w:r>
        <w:rPr>
          <w:rFonts w:ascii="Times New Roman"/>
          <w:b w:val="false"/>
          <w:i w:val="false"/>
          <w:color w:val="000000"/>
          <w:sz w:val="28"/>
          <w:lang w:val="pl-PL"/>
        </w:rPr>
        <w:t xml:space="preserve"> ustawy z dnia 17 maja 1989 r. - Prawo geodezyjne i kartograficzne, zwanej dalej "ustawą";</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tryb wymiany danych między centralnym zasobem geodezyjnym i kartograficznym, wojewódzkim zasobem geodezyjnym i kartograficznym i powiatowym zasobem geodezyjnym i kartograficznym oraz między bazami danych zasobu a wykonawcami prac geodezyjnych lub prac kartograficznych;</w:t>
      </w:r>
    </w:p>
    <w:p>
      <w:pPr>
        <w:spacing w:before="26" w:after="0"/>
        <w:ind w:left="373"/>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tryb wyłączania materiałów i zbiorów danych z zasobu oraz sposób ich przekazywania do właściwych archiwów państwowych.</w:t>
      </w:r>
    </w:p>
    <w:p>
      <w:pPr>
        <w:spacing w:before="26" w:after="240"/>
        <w:ind w:left="0"/>
        <w:jc w:val="left"/>
        <w:textAlignment w:val="auto"/>
      </w:pPr>
      <w:r>
        <w:rPr>
          <w:rFonts w:ascii="Times New Roman"/>
          <w:b/>
          <w:i w:val="false"/>
          <w:color w:val="000000"/>
          <w:sz w:val="28"/>
          <w:lang w:val="pl-PL"/>
        </w:rPr>
        <w:t>§  2.</w:t>
      </w:r>
      <w:r>
        <w:rPr>
          <w:rFonts w:ascii="Times New Roman"/>
          <w:b w:val="false"/>
          <w:i w:val="false"/>
          <w:color w:val="000000"/>
          <w:sz w:val="28"/>
          <w:lang w:val="pl-PL"/>
        </w:rPr>
        <w:t xml:space="preserve"> Wzory klauzul urzędowych, o których mowa w </w:t>
      </w:r>
      <w:r>
        <w:rPr>
          <w:rFonts w:ascii="Times New Roman"/>
          <w:b w:val="false"/>
          <w:i w:val="false"/>
          <w:color w:val="1b1b1b"/>
          <w:sz w:val="28"/>
          <w:lang w:val="pl-PL"/>
        </w:rPr>
        <w:t>art. 40 ust. 3g</w:t>
      </w:r>
      <w:r>
        <w:rPr>
          <w:rFonts w:ascii="Times New Roman"/>
          <w:b w:val="false"/>
          <w:i w:val="false"/>
          <w:color w:val="000000"/>
          <w:sz w:val="28"/>
          <w:lang w:val="pl-PL"/>
        </w:rPr>
        <w:t xml:space="preserve"> ustawy, określa załącznik do rozporządzenia.</w:t>
      </w:r>
    </w:p>
    <w:p>
      <w:pPr>
        <w:spacing w:after="0"/>
        <w:ind w:left="0"/>
        <w:jc w:val="left"/>
        <w:textAlignment w:val="auto"/>
      </w:pPr>
    </w:p>
    <w:p>
      <w:pPr>
        <w:spacing w:before="104" w:after="0"/>
        <w:ind w:left="0"/>
        <w:jc w:val="center"/>
        <w:textAlignment w:val="auto"/>
      </w:pPr>
      <w:r>
        <w:rPr>
          <w:rFonts w:ascii="Times New Roman"/>
          <w:b/>
          <w:i w:val="false"/>
          <w:color w:val="000000"/>
          <w:sz w:val="28"/>
          <w:lang w:val="pl-PL"/>
        </w:rPr>
        <w:t>Rozdział  2</w:t>
      </w:r>
    </w:p>
    <w:p>
      <w:pPr>
        <w:spacing w:before="25" w:after="0"/>
        <w:ind w:left="0"/>
        <w:jc w:val="center"/>
        <w:textAlignment w:val="auto"/>
      </w:pPr>
      <w:r>
        <w:rPr>
          <w:rFonts w:ascii="Times New Roman"/>
          <w:b/>
          <w:i w:val="false"/>
          <w:color w:val="000000"/>
          <w:sz w:val="28"/>
          <w:lang w:val="pl-PL"/>
        </w:rPr>
        <w:t>Rodzaje materiałów i zbiorów danych gromadzonych odpowiednio w centralnym zasobie geodezyjnym i kartograficznym, wojewódzkim zasobie geodezyjnym i kartograficznym oraz powiatowym zasobie geodezyjnym i kartograficznym</w:t>
      </w:r>
    </w:p>
    <w:p>
      <w:pPr>
        <w:spacing w:before="26" w:after="240"/>
        <w:ind w:left="0"/>
        <w:jc w:val="left"/>
        <w:textAlignment w:val="auto"/>
      </w:pPr>
      <w:r>
        <w:rPr>
          <w:rFonts w:ascii="Times New Roman"/>
          <w:b/>
          <w:i w:val="false"/>
          <w:color w:val="000000"/>
          <w:sz w:val="28"/>
          <w:lang w:val="pl-PL"/>
        </w:rPr>
        <w:t>§  3.</w:t>
      </w:r>
      <w:r>
        <w:rPr>
          <w:rFonts w:ascii="Times New Roman"/>
          <w:b w:val="false"/>
          <w:i w:val="false"/>
          <w:color w:val="000000"/>
          <w:sz w:val="28"/>
          <w:lang w:val="pl-PL"/>
        </w:rPr>
        <w:t> W centralnym zasobie geodezyjnym i kartograficznym są gromadzone zbiory danych, dla których prowadzenia właściwym jest Główny Geodeta Kraju, utworzone na podstawie tych zbiorów danych opracowania kartograficzne, rejestry, wykazy i zestawienia oraz dokumentacja zawierająca wyniki prac geodezyjnych lub prac kartograficznych lub dokumenty utworzone w wyniku realizacji tych prac.</w:t>
      </w:r>
    </w:p>
    <w:p>
      <w:pPr>
        <w:spacing w:before="26" w:after="240"/>
        <w:ind w:left="0"/>
        <w:jc w:val="left"/>
        <w:textAlignment w:val="auto"/>
      </w:pPr>
      <w:r>
        <w:rPr>
          <w:rFonts w:ascii="Times New Roman"/>
          <w:b/>
          <w:i w:val="false"/>
          <w:color w:val="000000"/>
          <w:sz w:val="28"/>
          <w:lang w:val="pl-PL"/>
        </w:rPr>
        <w:t>§  4.</w:t>
      </w:r>
      <w:r>
        <w:rPr>
          <w:rFonts w:ascii="Times New Roman"/>
          <w:b w:val="false"/>
          <w:i w:val="false"/>
          <w:color w:val="000000"/>
          <w:sz w:val="28"/>
          <w:lang w:val="pl-PL"/>
        </w:rPr>
        <w:t> W wojewódzkim zasobie geodezyjnym i kartograficznym są gromadzone zbiory danych, dla których prowadzenia właściwym jest marszałek województwa, utworzone na podstawie tych zbiorów danych opracowania kartograficzne, rejestry, wykazy i zestawienia oraz dokumentacja zawierająca wyniki prac geodezyjnych lub prac kartograficznych lub dokumenty utworzone w wyniku realizacji tych prac.</w:t>
      </w:r>
    </w:p>
    <w:p>
      <w:pPr>
        <w:spacing w:before="26" w:after="240"/>
        <w:ind w:left="0"/>
        <w:jc w:val="left"/>
        <w:textAlignment w:val="auto"/>
      </w:pPr>
      <w:r>
        <w:rPr>
          <w:rFonts w:ascii="Times New Roman"/>
          <w:b/>
          <w:i w:val="false"/>
          <w:color w:val="000000"/>
          <w:sz w:val="28"/>
          <w:lang w:val="pl-PL"/>
        </w:rPr>
        <w:t>§  5.</w:t>
      </w:r>
      <w:r>
        <w:rPr>
          <w:rFonts w:ascii="Times New Roman"/>
          <w:b w:val="false"/>
          <w:i w:val="false"/>
          <w:color w:val="000000"/>
          <w:sz w:val="28"/>
          <w:lang w:val="pl-PL"/>
        </w:rPr>
        <w:t> W powiatowym zasobie geodezyjnym i kartograficznym są gromadzone zbiory danych, dla których prowadzenia właściwym jest starosta, utworzone na podstawie tych zbiorów danych opracowania kartograficzne, rejestry, wykazy i zestawienia oraz dokumentacja zawierająca wyniki prac geodezyjnych lub dokumenty utworzone w wyniku realizacji tych prac.</w:t>
      </w:r>
    </w:p>
    <w:p>
      <w:pPr>
        <w:spacing w:after="0"/>
        <w:ind w:left="0"/>
        <w:jc w:val="left"/>
        <w:textAlignment w:val="auto"/>
      </w:pPr>
    </w:p>
    <w:p>
      <w:pPr>
        <w:spacing w:before="104" w:after="0"/>
        <w:ind w:left="0"/>
        <w:jc w:val="center"/>
        <w:textAlignment w:val="auto"/>
      </w:pPr>
      <w:r>
        <w:rPr>
          <w:rFonts w:ascii="Times New Roman"/>
          <w:b/>
          <w:i w:val="false"/>
          <w:color w:val="000000"/>
          <w:sz w:val="28"/>
          <w:lang w:val="pl-PL"/>
        </w:rPr>
        <w:t>Rozdział  3</w:t>
      </w:r>
    </w:p>
    <w:p>
      <w:pPr>
        <w:spacing w:before="25" w:after="0"/>
        <w:ind w:left="0"/>
        <w:jc w:val="center"/>
        <w:textAlignment w:val="auto"/>
      </w:pPr>
      <w:r>
        <w:rPr>
          <w:rFonts w:ascii="Times New Roman"/>
          <w:b/>
          <w:i w:val="false"/>
          <w:color w:val="000000"/>
          <w:sz w:val="28"/>
          <w:lang w:val="pl-PL"/>
        </w:rPr>
        <w:t>Sposób i tryb pozyskiwania, ewidencjonowania, przechowywania i zabezpieczania materiałów i zbiorów danych</w:t>
      </w:r>
    </w:p>
    <w:p>
      <w:pPr>
        <w:spacing w:before="26" w:after="0"/>
        <w:ind w:left="0"/>
        <w:jc w:val="left"/>
        <w:textAlignment w:val="auto"/>
      </w:pPr>
      <w:r>
        <w:rPr>
          <w:rFonts w:ascii="Times New Roman"/>
          <w:b/>
          <w:i w:val="false"/>
          <w:color w:val="000000"/>
          <w:sz w:val="28"/>
          <w:lang w:val="pl-PL"/>
        </w:rPr>
        <w:t>§  6.</w:t>
      </w:r>
      <w:r>
        <w:rPr>
          <w:rFonts w:ascii="Times New Roman"/>
          <w:b w:val="false"/>
          <w:i w:val="false"/>
          <w:color w:val="000000"/>
          <w:sz w:val="28"/>
          <w:lang w:val="pl-PL"/>
        </w:rPr>
        <w:t> Materiały i zbiory danych, o których mowa w § 3-5, zwane dalej "materiałami zasobu", pozyskuje się do zasobu w wyniku:</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realizacji prac geodezyjnych lub prac kartograficznych;</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działań organu prowadzącego zasób.</w:t>
      </w:r>
    </w:p>
    <w:p>
      <w:pPr>
        <w:spacing w:before="26" w:after="240"/>
        <w:ind w:left="0"/>
        <w:jc w:val="left"/>
        <w:textAlignment w:val="auto"/>
      </w:pPr>
      <w:r>
        <w:rPr>
          <w:rFonts w:ascii="Times New Roman"/>
          <w:b/>
          <w:i w:val="false"/>
          <w:color w:val="000000"/>
          <w:sz w:val="28"/>
          <w:lang w:val="pl-PL"/>
        </w:rPr>
        <w:t>§  7.</w:t>
      </w:r>
      <w:r>
        <w:rPr>
          <w:rFonts w:ascii="Times New Roman"/>
          <w:b w:val="false"/>
          <w:i w:val="false"/>
          <w:color w:val="000000"/>
          <w:sz w:val="28"/>
          <w:lang w:val="pl-PL"/>
        </w:rPr>
        <w:t> Materiały przyjęte do zasobu w postaci nieelektronicznej przetwarza się niezwłocznie do dokumentu elektronicznego zapisanego w formacie PDF.</w:t>
      </w:r>
    </w:p>
    <w:p>
      <w:pPr>
        <w:spacing w:before="26" w:after="0"/>
        <w:ind w:left="0"/>
        <w:jc w:val="left"/>
        <w:textAlignment w:val="auto"/>
      </w:pPr>
      <w:r>
        <w:rPr>
          <w:rFonts w:ascii="Times New Roman"/>
          <w:b/>
          <w:i w:val="false"/>
          <w:color w:val="000000"/>
          <w:sz w:val="28"/>
          <w:lang w:val="pl-PL"/>
        </w:rPr>
        <w:t>§  8.</w:t>
      </w:r>
    </w:p>
    <w:p>
      <w:pPr>
        <w:spacing w:before="26"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Organ prowadzący zasób prowadzi w postaci elektronicznej w systemie teleinformatycznym:</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rejestr prac geodezyjnych i kartograficznych, obejmujący:</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prace geodezyjne zgłoszone zgodnie z </w:t>
      </w:r>
      <w:r>
        <w:rPr>
          <w:rFonts w:ascii="Times New Roman"/>
          <w:b w:val="false"/>
          <w:i w:val="false"/>
          <w:color w:val="1b1b1b"/>
          <w:sz w:val="28"/>
          <w:lang w:val="pl-PL"/>
        </w:rPr>
        <w:t>art. 12</w:t>
      </w:r>
      <w:r>
        <w:rPr>
          <w:rFonts w:ascii="Times New Roman"/>
          <w:b w:val="false"/>
          <w:i w:val="false"/>
          <w:color w:val="000000"/>
          <w:sz w:val="28"/>
          <w:lang w:val="pl-PL"/>
        </w:rPr>
        <w:t xml:space="preserve"> ustawy oraz</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prace geodezyjne lub prace kartograficzne realizowane na podstawie umowy, o której mowa w </w:t>
      </w:r>
      <w:r>
        <w:rPr>
          <w:rFonts w:ascii="Times New Roman"/>
          <w:b w:val="false"/>
          <w:i w:val="false"/>
          <w:color w:val="1b1b1b"/>
          <w:sz w:val="28"/>
          <w:lang w:val="pl-PL"/>
        </w:rPr>
        <w:t>art. 40a ust. 2 pkt 3</w:t>
      </w:r>
      <w:r>
        <w:rPr>
          <w:rFonts w:ascii="Times New Roman"/>
          <w:b w:val="false"/>
          <w:i w:val="false"/>
          <w:color w:val="000000"/>
          <w:sz w:val="28"/>
          <w:lang w:val="pl-PL"/>
        </w:rPr>
        <w:t xml:space="preserve"> ustawy, zwanej dalej "umową";</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ewidencję materiałów zasobu;</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rejestr wniosków o udostępnienie materiałów zasobu.</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Rejestr prac geodezyjnych i kartograficznych zawiera dane określające:</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identyfikator zgłoszenia prac geodezyjnych albo oznaczenie umowy;</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imię i nazwisko lub nazwę wykonawcy, o którym mowa w </w:t>
      </w:r>
      <w:r>
        <w:rPr>
          <w:rFonts w:ascii="Times New Roman"/>
          <w:b w:val="false"/>
          <w:i w:val="false"/>
          <w:color w:val="1b1b1b"/>
          <w:sz w:val="28"/>
          <w:lang w:val="pl-PL"/>
        </w:rPr>
        <w:t>art. 11 ust. 1</w:t>
      </w:r>
      <w:r>
        <w:rPr>
          <w:rFonts w:ascii="Times New Roman"/>
          <w:b w:val="false"/>
          <w:i w:val="false"/>
          <w:color w:val="000000"/>
          <w:sz w:val="28"/>
          <w:lang w:val="pl-PL"/>
        </w:rPr>
        <w:t xml:space="preserve"> ustawy, zwanego dalej "wykonawcą";</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identyfikator wykonawcy wskazany w zgłoszeniu prac geodezyjnych albo w umowie;</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imię i nazwisko oraz numer uprawnień zawodowych kierownika prac geodezyjnych;</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cel zgłoszonych prac geodezyjnych albo przedmiot umowy;</w:t>
      </w:r>
    </w:p>
    <w:p>
      <w:pPr>
        <w:spacing w:before="26" w:after="0"/>
        <w:ind w:left="373"/>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położenie przestrzenne obszaru objętego zgłoszonymi pracami geodezyjnymi lub umową;</w:t>
      </w:r>
    </w:p>
    <w:p>
      <w:pPr>
        <w:spacing w:before="26" w:after="0"/>
        <w:ind w:left="373"/>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xml:space="preserve"> datę rozpoczęcia zgłoszonych prac geodezyjnych lub prac objętych umową;</w:t>
      </w:r>
    </w:p>
    <w:p>
      <w:pPr>
        <w:spacing w:before="26" w:after="0"/>
        <w:ind w:left="373"/>
        <w:jc w:val="left"/>
        <w:textAlignment w:val="auto"/>
      </w:pPr>
      <w:r>
        <w:rPr>
          <w:rFonts w:ascii="Times New Roman"/>
          <w:b w:val="false"/>
          <w:i w:val="false"/>
          <w:color w:val="000000"/>
          <w:sz w:val="28"/>
          <w:lang w:val="pl-PL"/>
        </w:rPr>
        <w:t>8)</w:t>
      </w:r>
      <w:r>
        <w:rPr>
          <w:rFonts w:ascii="Times New Roman"/>
          <w:b w:val="false"/>
          <w:i w:val="false"/>
          <w:color w:val="000000"/>
          <w:sz w:val="28"/>
          <w:lang w:val="pl-PL"/>
        </w:rPr>
        <w:t xml:space="preserve"> przewidywany termin przekazania wyników zgłoszonych prac geodezyjnych lub prac objętych umową do właściwego organu prowadzącego zasób;</w:t>
      </w:r>
    </w:p>
    <w:p>
      <w:pPr>
        <w:spacing w:before="26" w:after="0"/>
        <w:ind w:left="373"/>
        <w:jc w:val="left"/>
        <w:textAlignment w:val="auto"/>
      </w:pPr>
      <w:r>
        <w:rPr>
          <w:rFonts w:ascii="Times New Roman"/>
          <w:b w:val="false"/>
          <w:i w:val="false"/>
          <w:color w:val="000000"/>
          <w:sz w:val="28"/>
          <w:lang w:val="pl-PL"/>
        </w:rPr>
        <w:t>9)</w:t>
      </w:r>
      <w:r>
        <w:rPr>
          <w:rFonts w:ascii="Times New Roman"/>
          <w:b w:val="false"/>
          <w:i w:val="false"/>
          <w:color w:val="000000"/>
          <w:sz w:val="28"/>
          <w:lang w:val="pl-PL"/>
        </w:rPr>
        <w:t xml:space="preserve"> w przypadku zgłoszonych prac geodezyjnych:</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powierzchnię obszaru objętego zgłoszonymi pracami geodezyjnymi,</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datę wpływu zgłoszenia prac geodezyjnych,</w:t>
      </w:r>
    </w:p>
    <w:p>
      <w:pPr>
        <w:spacing w:after="0"/>
        <w:ind w:left="746"/>
        <w:jc w:val="left"/>
        <w:textAlignment w:val="auto"/>
      </w:pPr>
      <w:r>
        <w:rPr>
          <w:rFonts w:ascii="Times New Roman"/>
          <w:b w:val="false"/>
          <w:i w:val="false"/>
          <w:color w:val="000000"/>
          <w:sz w:val="28"/>
          <w:lang w:val="pl-PL"/>
        </w:rPr>
        <w:t>c)</w:t>
      </w:r>
      <w:r>
        <w:rPr>
          <w:rFonts w:ascii="Times New Roman"/>
          <w:b w:val="false"/>
          <w:i w:val="false"/>
          <w:color w:val="000000"/>
          <w:sz w:val="28"/>
          <w:lang w:val="pl-PL"/>
        </w:rPr>
        <w:t xml:space="preserve"> wysokość opłaty za udostępnione materiały zasobu,</w:t>
      </w:r>
    </w:p>
    <w:p>
      <w:pPr>
        <w:spacing w:after="0"/>
        <w:ind w:left="746"/>
        <w:jc w:val="left"/>
        <w:textAlignment w:val="auto"/>
      </w:pPr>
      <w:r>
        <w:rPr>
          <w:rFonts w:ascii="Times New Roman"/>
          <w:b w:val="false"/>
          <w:i w:val="false"/>
          <w:color w:val="000000"/>
          <w:sz w:val="28"/>
          <w:lang w:val="pl-PL"/>
        </w:rPr>
        <w:t>d)</w:t>
      </w:r>
      <w:r>
        <w:rPr>
          <w:rFonts w:ascii="Times New Roman"/>
          <w:b w:val="false"/>
          <w:i w:val="false"/>
          <w:color w:val="000000"/>
          <w:sz w:val="28"/>
          <w:lang w:val="pl-PL"/>
        </w:rPr>
        <w:t xml:space="preserve"> datę otrzymania opłaty, o której mowa w lit. c,</w:t>
      </w:r>
    </w:p>
    <w:p>
      <w:pPr>
        <w:spacing w:after="0"/>
        <w:ind w:left="746"/>
        <w:jc w:val="left"/>
        <w:textAlignment w:val="auto"/>
      </w:pPr>
      <w:r>
        <w:rPr>
          <w:rFonts w:ascii="Times New Roman"/>
          <w:b w:val="false"/>
          <w:i w:val="false"/>
          <w:color w:val="000000"/>
          <w:sz w:val="28"/>
          <w:lang w:val="pl-PL"/>
        </w:rPr>
        <w:t>e)</w:t>
      </w:r>
      <w:r>
        <w:rPr>
          <w:rFonts w:ascii="Times New Roman"/>
          <w:b w:val="false"/>
          <w:i w:val="false"/>
          <w:color w:val="000000"/>
          <w:sz w:val="28"/>
          <w:lang w:val="pl-PL"/>
        </w:rPr>
        <w:t xml:space="preserve"> identyfikatory materiałów zasobu udostępnionych podmiotowi, który zgłosił prace geodezyjne,</w:t>
      </w:r>
    </w:p>
    <w:p>
      <w:pPr>
        <w:spacing w:after="0"/>
        <w:ind w:left="746"/>
        <w:jc w:val="left"/>
        <w:textAlignment w:val="auto"/>
      </w:pPr>
      <w:r>
        <w:rPr>
          <w:rFonts w:ascii="Times New Roman"/>
          <w:b w:val="false"/>
          <w:i w:val="false"/>
          <w:color w:val="000000"/>
          <w:sz w:val="28"/>
          <w:lang w:val="pl-PL"/>
        </w:rPr>
        <w:t>f)</w:t>
      </w:r>
      <w:r>
        <w:rPr>
          <w:rFonts w:ascii="Times New Roman"/>
          <w:b w:val="false"/>
          <w:i w:val="false"/>
          <w:color w:val="000000"/>
          <w:sz w:val="28"/>
          <w:lang w:val="pl-PL"/>
        </w:rPr>
        <w:t xml:space="preserve"> daty wpływu zawiadomień o przekazaniu wyników zgłoszonych prac geodezyjnych do właściwego organu prowadzącego zasób,</w:t>
      </w:r>
    </w:p>
    <w:p>
      <w:pPr>
        <w:spacing w:after="0"/>
        <w:ind w:left="746"/>
        <w:jc w:val="left"/>
        <w:textAlignment w:val="auto"/>
      </w:pPr>
      <w:r>
        <w:rPr>
          <w:rFonts w:ascii="Times New Roman"/>
          <w:b w:val="false"/>
          <w:i w:val="false"/>
          <w:color w:val="000000"/>
          <w:sz w:val="28"/>
          <w:lang w:val="pl-PL"/>
        </w:rPr>
        <w:t>g)</w:t>
      </w:r>
      <w:r>
        <w:rPr>
          <w:rFonts w:ascii="Times New Roman"/>
          <w:b w:val="false"/>
          <w:i w:val="false"/>
          <w:color w:val="000000"/>
          <w:sz w:val="28"/>
          <w:lang w:val="pl-PL"/>
        </w:rPr>
        <w:t xml:space="preserve"> daty sporządzenia protokołów weryfikacji wyników zgłoszonych prac geodezyjnych,</w:t>
      </w:r>
    </w:p>
    <w:p>
      <w:pPr>
        <w:spacing w:after="0"/>
        <w:ind w:left="746"/>
        <w:jc w:val="left"/>
        <w:textAlignment w:val="auto"/>
      </w:pPr>
      <w:r>
        <w:rPr>
          <w:rFonts w:ascii="Times New Roman"/>
          <w:b w:val="false"/>
          <w:i w:val="false"/>
          <w:color w:val="000000"/>
          <w:sz w:val="28"/>
          <w:lang w:val="pl-PL"/>
        </w:rPr>
        <w:t>h)</w:t>
      </w:r>
      <w:r>
        <w:rPr>
          <w:rFonts w:ascii="Times New Roman"/>
          <w:b w:val="false"/>
          <w:i w:val="false"/>
          <w:color w:val="000000"/>
          <w:sz w:val="28"/>
          <w:lang w:val="pl-PL"/>
        </w:rPr>
        <w:t xml:space="preserve"> daty doręczenia wykonawcy prac geodezyjnych protokołów weryfikacji,</w:t>
      </w:r>
    </w:p>
    <w:p>
      <w:pPr>
        <w:spacing w:after="0"/>
        <w:ind w:left="746"/>
        <w:jc w:val="left"/>
        <w:textAlignment w:val="auto"/>
      </w:pPr>
      <w:r>
        <w:rPr>
          <w:rFonts w:ascii="Times New Roman"/>
          <w:b w:val="false"/>
          <w:i w:val="false"/>
          <w:color w:val="000000"/>
          <w:sz w:val="28"/>
          <w:lang w:val="pl-PL"/>
        </w:rPr>
        <w:t>i)</w:t>
      </w:r>
      <w:r>
        <w:rPr>
          <w:rFonts w:ascii="Times New Roman"/>
          <w:b w:val="false"/>
          <w:i w:val="false"/>
          <w:color w:val="000000"/>
          <w:sz w:val="28"/>
          <w:lang w:val="pl-PL"/>
        </w:rPr>
        <w:t xml:space="preserve"> informacje dotyczące uzupełniania zgłoszonych wcześniej prac geodezyjnych obejmujące:</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datę wpływu uzupełnienia,</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zakres uzupełnienia,</w:t>
      </w:r>
    </w:p>
    <w:p>
      <w:pPr>
        <w:spacing w:after="0"/>
        <w:ind w:left="746"/>
        <w:jc w:val="left"/>
        <w:textAlignment w:val="auto"/>
      </w:pPr>
      <w:r>
        <w:rPr>
          <w:rFonts w:ascii="Times New Roman"/>
          <w:b w:val="false"/>
          <w:i w:val="false"/>
          <w:color w:val="000000"/>
          <w:sz w:val="28"/>
          <w:lang w:val="pl-PL"/>
        </w:rPr>
        <w:t>–</w:t>
      </w:r>
      <w:r>
        <w:rPr>
          <w:rFonts w:ascii="Times New Roman"/>
          <w:b w:val="false"/>
          <w:i w:val="false"/>
          <w:color w:val="000000"/>
          <w:sz w:val="28"/>
          <w:lang w:val="pl-PL"/>
        </w:rPr>
        <w:t xml:space="preserve"> datę otrzymania opłaty, o której mowa w ust. 1b załącznika do ustawy, jeżeli jest wymagana;</w:t>
      </w:r>
    </w:p>
    <w:p>
      <w:pPr>
        <w:spacing w:before="26" w:after="0"/>
        <w:ind w:left="373"/>
        <w:jc w:val="left"/>
        <w:textAlignment w:val="auto"/>
      </w:pPr>
      <w:r>
        <w:rPr>
          <w:rFonts w:ascii="Times New Roman"/>
          <w:b w:val="false"/>
          <w:i w:val="false"/>
          <w:color w:val="000000"/>
          <w:sz w:val="28"/>
          <w:lang w:val="pl-PL"/>
        </w:rPr>
        <w:t>10)</w:t>
      </w:r>
      <w:r>
        <w:rPr>
          <w:rFonts w:ascii="Times New Roman"/>
          <w:b w:val="false"/>
          <w:i w:val="false"/>
          <w:color w:val="000000"/>
          <w:sz w:val="28"/>
          <w:lang w:val="pl-PL"/>
        </w:rPr>
        <w:t xml:space="preserve"> w przypadku prac objętych umową, datę sporządzenia dokumentu potwierdzającego odbiór przedmiotu umowy;</w:t>
      </w:r>
    </w:p>
    <w:p>
      <w:pPr>
        <w:spacing w:before="26" w:after="0"/>
        <w:ind w:left="373"/>
        <w:jc w:val="left"/>
        <w:textAlignment w:val="auto"/>
      </w:pPr>
      <w:r>
        <w:rPr>
          <w:rFonts w:ascii="Times New Roman"/>
          <w:b w:val="false"/>
          <w:i w:val="false"/>
          <w:color w:val="000000"/>
          <w:sz w:val="28"/>
          <w:lang w:val="pl-PL"/>
        </w:rPr>
        <w:t>11)</w:t>
      </w:r>
      <w:r>
        <w:rPr>
          <w:rFonts w:ascii="Times New Roman"/>
          <w:b w:val="false"/>
          <w:i w:val="false"/>
          <w:color w:val="000000"/>
          <w:sz w:val="28"/>
          <w:lang w:val="pl-PL"/>
        </w:rPr>
        <w:t xml:space="preserve"> inne informacje dotyczące obsługi zgłoszenia prac geodezyjnych lub umowy.</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Ewidencja materiałów zasobu zawiera:</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nazwę materiału zasobu;</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identyfikator ewidencyjny materiału zasobu;</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datę przyjęcia materiału do zasobu;</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identyfikator zgłoszenia prac geodezyjnych albo oznaczenie umowy;</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położenie przestrzenne obszaru, którego dotyczy materiał zasobu;</w:t>
      </w:r>
    </w:p>
    <w:p>
      <w:pPr>
        <w:spacing w:before="26" w:after="0"/>
        <w:ind w:left="373"/>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określenie formatu danych materiału zasobu;</w:t>
      </w:r>
    </w:p>
    <w:p>
      <w:pPr>
        <w:spacing w:before="26" w:after="0"/>
        <w:ind w:left="373"/>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xml:space="preserve"> informację o twórcy materiału zasobu, zgodnie z przepisami wydanymi na podstawie </w:t>
      </w:r>
      <w:r>
        <w:rPr>
          <w:rFonts w:ascii="Times New Roman"/>
          <w:b w:val="false"/>
          <w:i w:val="false"/>
          <w:color w:val="1b1b1b"/>
          <w:sz w:val="28"/>
          <w:lang w:val="pl-PL"/>
        </w:rPr>
        <w:t>art. 5 ust. 2a</w:t>
      </w:r>
      <w:r>
        <w:rPr>
          <w:rFonts w:ascii="Times New Roman"/>
          <w:b w:val="false"/>
          <w:i w:val="false"/>
          <w:color w:val="000000"/>
          <w:sz w:val="28"/>
          <w:lang w:val="pl-PL"/>
        </w:rPr>
        <w:t xml:space="preserve"> ustawy z dnia 14 lipca 1983 r. o narodowym zasobie archiwalnym i archiwach (Dz. U. z 2020 r. poz. 164);</w:t>
      </w:r>
    </w:p>
    <w:p>
      <w:pPr>
        <w:spacing w:before="26" w:after="0"/>
        <w:ind w:left="373"/>
        <w:jc w:val="left"/>
        <w:textAlignment w:val="auto"/>
      </w:pPr>
      <w:r>
        <w:rPr>
          <w:rFonts w:ascii="Times New Roman"/>
          <w:b w:val="false"/>
          <w:i w:val="false"/>
          <w:color w:val="000000"/>
          <w:sz w:val="28"/>
          <w:lang w:val="pl-PL"/>
        </w:rPr>
        <w:t>8)</w:t>
      </w:r>
      <w:r>
        <w:rPr>
          <w:rFonts w:ascii="Times New Roman"/>
          <w:b w:val="false"/>
          <w:i w:val="false"/>
          <w:color w:val="000000"/>
          <w:sz w:val="28"/>
          <w:lang w:val="pl-PL"/>
        </w:rPr>
        <w:t xml:space="preserve"> informację o dostępie do materiału zasobu;</w:t>
      </w:r>
    </w:p>
    <w:p>
      <w:pPr>
        <w:spacing w:before="26" w:after="0"/>
        <w:ind w:left="373"/>
        <w:jc w:val="left"/>
        <w:textAlignment w:val="auto"/>
      </w:pPr>
      <w:r>
        <w:rPr>
          <w:rFonts w:ascii="Times New Roman"/>
          <w:b w:val="false"/>
          <w:i w:val="false"/>
          <w:color w:val="000000"/>
          <w:sz w:val="28"/>
          <w:lang w:val="pl-PL"/>
        </w:rPr>
        <w:t>9)</w:t>
      </w:r>
      <w:r>
        <w:rPr>
          <w:rFonts w:ascii="Times New Roman"/>
          <w:b w:val="false"/>
          <w:i w:val="false"/>
          <w:color w:val="000000"/>
          <w:sz w:val="28"/>
          <w:lang w:val="pl-PL"/>
        </w:rPr>
        <w:t xml:space="preserve"> w przypadku wyłączenia materiału zasobu z zasobu:</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informację o kategorii archiwalnej materiału zasobu,</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sygnaturę i datę protokołu wyłączenia materiału zasobu z zasobu,</w:t>
      </w:r>
    </w:p>
    <w:p>
      <w:pPr>
        <w:spacing w:after="0"/>
        <w:ind w:left="746"/>
        <w:jc w:val="left"/>
        <w:textAlignment w:val="auto"/>
      </w:pPr>
      <w:r>
        <w:rPr>
          <w:rFonts w:ascii="Times New Roman"/>
          <w:b w:val="false"/>
          <w:i w:val="false"/>
          <w:color w:val="000000"/>
          <w:sz w:val="28"/>
          <w:lang w:val="pl-PL"/>
        </w:rPr>
        <w:t>c)</w:t>
      </w:r>
      <w:r>
        <w:rPr>
          <w:rFonts w:ascii="Times New Roman"/>
          <w:b w:val="false"/>
          <w:i w:val="false"/>
          <w:color w:val="000000"/>
          <w:sz w:val="28"/>
          <w:lang w:val="pl-PL"/>
        </w:rPr>
        <w:t xml:space="preserve"> datę wyłączenia materiału zasobu z zasobu,</w:t>
      </w:r>
    </w:p>
    <w:p>
      <w:pPr>
        <w:spacing w:after="0"/>
        <w:ind w:left="746"/>
        <w:jc w:val="left"/>
        <w:textAlignment w:val="auto"/>
      </w:pPr>
      <w:r>
        <w:rPr>
          <w:rFonts w:ascii="Times New Roman"/>
          <w:b w:val="false"/>
          <w:i w:val="false"/>
          <w:color w:val="000000"/>
          <w:sz w:val="28"/>
          <w:lang w:val="pl-PL"/>
        </w:rPr>
        <w:t>d)</w:t>
      </w:r>
      <w:r>
        <w:rPr>
          <w:rFonts w:ascii="Times New Roman"/>
          <w:b w:val="false"/>
          <w:i w:val="false"/>
          <w:color w:val="000000"/>
          <w:sz w:val="28"/>
          <w:lang w:val="pl-PL"/>
        </w:rPr>
        <w:t xml:space="preserve"> datę przekazania materiału zasobu do archiwum państwowego lub datę brakowania;</w:t>
      </w:r>
    </w:p>
    <w:p>
      <w:pPr>
        <w:spacing w:before="26" w:after="0"/>
        <w:ind w:left="373"/>
        <w:jc w:val="left"/>
        <w:textAlignment w:val="auto"/>
      </w:pPr>
      <w:r>
        <w:rPr>
          <w:rFonts w:ascii="Times New Roman"/>
          <w:b w:val="false"/>
          <w:i w:val="false"/>
          <w:color w:val="000000"/>
          <w:sz w:val="28"/>
          <w:lang w:val="pl-PL"/>
        </w:rPr>
        <w:t>10)</w:t>
      </w:r>
      <w:r>
        <w:rPr>
          <w:rFonts w:ascii="Times New Roman"/>
          <w:b w:val="false"/>
          <w:i w:val="false"/>
          <w:color w:val="000000"/>
          <w:sz w:val="28"/>
          <w:lang w:val="pl-PL"/>
        </w:rPr>
        <w:t xml:space="preserve"> inne informacje dotyczące materiału zasobu.</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Rejestr wniosków o udostępnienie materiałów zasobu obejmuje:</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oznaczenie kancelaryjne wniosku;</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datę wpływu wniosku do właściwego organu prowadzącego zasób;</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imię i nazwisko lub nazwę wnioskodawcy;</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adres wnioskodawcy;</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opis przedmiotu wniosku;</w:t>
      </w:r>
    </w:p>
    <w:p>
      <w:pPr>
        <w:spacing w:before="26" w:after="0"/>
        <w:ind w:left="373"/>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datę udostępnienia materiałów zasobu;</w:t>
      </w:r>
    </w:p>
    <w:p>
      <w:pPr>
        <w:spacing w:before="26" w:after="0"/>
        <w:ind w:left="373"/>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xml:space="preserve"> wysokość opłaty za udostępnienie materiału zasobu;</w:t>
      </w:r>
    </w:p>
    <w:p>
      <w:pPr>
        <w:spacing w:before="26" w:after="0"/>
        <w:ind w:left="373"/>
        <w:jc w:val="left"/>
        <w:textAlignment w:val="auto"/>
      </w:pPr>
      <w:r>
        <w:rPr>
          <w:rFonts w:ascii="Times New Roman"/>
          <w:b w:val="false"/>
          <w:i w:val="false"/>
          <w:color w:val="000000"/>
          <w:sz w:val="28"/>
          <w:lang w:val="pl-PL"/>
        </w:rPr>
        <w:t>8)</w:t>
      </w:r>
      <w:r>
        <w:rPr>
          <w:rFonts w:ascii="Times New Roman"/>
          <w:b w:val="false"/>
          <w:i w:val="false"/>
          <w:color w:val="000000"/>
          <w:sz w:val="28"/>
          <w:lang w:val="pl-PL"/>
        </w:rPr>
        <w:t xml:space="preserve"> datę otrzymania opłaty, o której mowa w pkt 7;</w:t>
      </w:r>
    </w:p>
    <w:p>
      <w:pPr>
        <w:spacing w:before="26" w:after="0"/>
        <w:ind w:left="373"/>
        <w:jc w:val="left"/>
        <w:textAlignment w:val="auto"/>
      </w:pPr>
      <w:r>
        <w:rPr>
          <w:rFonts w:ascii="Times New Roman"/>
          <w:b w:val="false"/>
          <w:i w:val="false"/>
          <w:color w:val="000000"/>
          <w:sz w:val="28"/>
          <w:lang w:val="pl-PL"/>
        </w:rPr>
        <w:t>9)</w:t>
      </w:r>
      <w:r>
        <w:rPr>
          <w:rFonts w:ascii="Times New Roman"/>
          <w:b w:val="false"/>
          <w:i w:val="false"/>
          <w:color w:val="000000"/>
          <w:sz w:val="28"/>
          <w:lang w:val="pl-PL"/>
        </w:rPr>
        <w:t xml:space="preserve"> inne informacje dotyczące obsługi wniosku.</w:t>
      </w:r>
    </w:p>
    <w:p>
      <w:pPr>
        <w:spacing w:before="26" w:after="0"/>
        <w:ind w:left="0"/>
        <w:jc w:val="left"/>
        <w:textAlignment w:val="auto"/>
      </w:pPr>
      <w:r>
        <w:rPr>
          <w:rFonts w:ascii="Times New Roman"/>
          <w:b/>
          <w:i w:val="false"/>
          <w:color w:val="000000"/>
          <w:sz w:val="28"/>
          <w:lang w:val="pl-PL"/>
        </w:rPr>
        <w:t>§  9.</w:t>
      </w:r>
    </w:p>
    <w:p>
      <w:pPr>
        <w:spacing w:before="26"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Dla zbiorów danych, prowadzonych przez właściwy organ prowadzący zasób, stosuje się identyfikatory ewidencyjne materiału zasobu nadane zgodnie z </w:t>
      </w:r>
      <w:r>
        <w:rPr>
          <w:rFonts w:ascii="Times New Roman"/>
          <w:b w:val="false"/>
          <w:i w:val="false"/>
          <w:color w:val="1b1b1b"/>
          <w:sz w:val="28"/>
          <w:lang w:val="pl-PL"/>
        </w:rPr>
        <w:t>art. 13 ust. 2</w:t>
      </w:r>
      <w:r>
        <w:rPr>
          <w:rFonts w:ascii="Times New Roman"/>
          <w:b w:val="false"/>
          <w:i w:val="false"/>
          <w:color w:val="000000"/>
          <w:sz w:val="28"/>
          <w:lang w:val="pl-PL"/>
        </w:rPr>
        <w:t xml:space="preserve"> ustawy z dnia 4 marca 2010 r. o infrastrukturze informacji przestrzennej (Dz. U. z 2021 r. poz. 214).</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Materiałom przyjmowanym do zasobu nadaje się identyfikator ewidencyjny materiału zasobu, a następnie opatruje się te materiały klauzulą urzędową.</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Identyfikator ewidencyjny materiału zasobu składa się z 4 członów oddzielonych kropkami, z których:</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pierwszy jest literą:</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C - w przypadku centralnego zasobu geodezyjnego i kartograficznego,</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W - w przypadku wojewódzkiego zasobu geodezyjnego i kartograficznego,</w:t>
      </w:r>
    </w:p>
    <w:p>
      <w:pPr>
        <w:spacing w:after="0"/>
        <w:ind w:left="746"/>
        <w:jc w:val="left"/>
        <w:textAlignment w:val="auto"/>
      </w:pPr>
      <w:r>
        <w:rPr>
          <w:rFonts w:ascii="Times New Roman"/>
          <w:b w:val="false"/>
          <w:i w:val="false"/>
          <w:color w:val="000000"/>
          <w:sz w:val="28"/>
          <w:lang w:val="pl-PL"/>
        </w:rPr>
        <w:t>c)</w:t>
      </w:r>
      <w:r>
        <w:rPr>
          <w:rFonts w:ascii="Times New Roman"/>
          <w:b w:val="false"/>
          <w:i w:val="false"/>
          <w:color w:val="000000"/>
          <w:sz w:val="28"/>
          <w:lang w:val="pl-PL"/>
        </w:rPr>
        <w:t xml:space="preserve"> P - w przypadku powiatowego zasobu geodezyjnego i kartograficznego;</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drugi jest:</w:t>
      </w:r>
    </w:p>
    <w:p>
      <w:pPr>
        <w:spacing w:after="0"/>
        <w:ind w:left="746"/>
        <w:jc w:val="left"/>
        <w:textAlignment w:val="auto"/>
      </w:pPr>
      <w:r>
        <w:rPr>
          <w:rFonts w:ascii="Times New Roman"/>
          <w:b w:val="false"/>
          <w:i w:val="false"/>
          <w:color w:val="000000"/>
          <w:sz w:val="28"/>
          <w:lang w:val="pl-PL"/>
        </w:rPr>
        <w:t>a)</w:t>
      </w:r>
      <w:r>
        <w:rPr>
          <w:rFonts w:ascii="Times New Roman"/>
          <w:b w:val="false"/>
          <w:i w:val="false"/>
          <w:color w:val="000000"/>
          <w:sz w:val="28"/>
          <w:lang w:val="pl-PL"/>
        </w:rPr>
        <w:t xml:space="preserve"> skrótem PL - w przypadku centralnego zasobu geodezyjnego i kartograficznego,</w:t>
      </w:r>
    </w:p>
    <w:p>
      <w:pPr>
        <w:spacing w:after="0"/>
        <w:ind w:left="746"/>
        <w:jc w:val="left"/>
        <w:textAlignment w:val="auto"/>
      </w:pPr>
      <w:r>
        <w:rPr>
          <w:rFonts w:ascii="Times New Roman"/>
          <w:b w:val="false"/>
          <w:i w:val="false"/>
          <w:color w:val="000000"/>
          <w:sz w:val="28"/>
          <w:lang w:val="pl-PL"/>
        </w:rPr>
        <w:t>b)</w:t>
      </w:r>
      <w:r>
        <w:rPr>
          <w:rFonts w:ascii="Times New Roman"/>
          <w:b w:val="false"/>
          <w:i w:val="false"/>
          <w:color w:val="000000"/>
          <w:sz w:val="28"/>
          <w:lang w:val="pl-PL"/>
        </w:rPr>
        <w:t xml:space="preserve"> identyfikatorem TERYT jednostki podziału terytorialnego kraju (województwa, powiatu lub gminy), właściwym dla organu prowadzącego ewidencję materiałów zasobu - w przypadku wojewódzkiego zasobu geodezyjnego i kartograficznego i powiatowego zasobu geodezyjnego i kartograficznego;</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trzeci jest czterocyfrową liczbą oznaczającą rok przyjęcia materiału do zasobu;</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czwarty jest kolejną liczbą naturalną w danym roku kalendarzowym.</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Klauzula urzędowa, którą opatruje się materiały w postaci elektronicznej i nieelektronicznej przyjęte do centralnego zasobu geodezyjnego i kartograficznego i wojewódzkiego zasobu geodezyjnego i kartograficznego oraz materiały w postaci nieelektronicznej przyjęte do powiatowego zasobu geodezyjnego i kartograficznego, zawiera:</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nazwę organu prowadzącego zasób;</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identyfikator ewidencyjny materiału zasobu;</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datę przyjęcia materiału do zasobu;</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imię i nazwisko osoby reprezentującej organ prowadzący zasób, a w przypadku materiałów przyjmowanych do zasobu w postaci nieelektronicznej również podpis tej osoby.</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Wzór klauzuli, o której mowa w ust. 4, określa ust. 1 załącznika do rozporządzenia.</w:t>
      </w:r>
    </w:p>
    <w:p>
      <w:pPr>
        <w:spacing w:before="26" w:after="0"/>
        <w:ind w:left="0"/>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Klauzulą urzędową, którą opatruje się materiały w postaci dokumentów elektronicznych przyjęte do powiatowego zasobu geodezyjnego i kartograficznego, jest kwalifikowany podpis elektroniczny osoby reprezentującej organ prowadzący zasób albo kwalifikowana pieczęć elektroniczna tego organu.</w:t>
      </w:r>
    </w:p>
    <w:p>
      <w:pPr>
        <w:spacing w:before="26" w:after="0"/>
        <w:ind w:left="0"/>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W przypadku użycia podpisu lub pieczęci, o których mowa w ust. 6, dopuszcza się dodatkowo zastosowanie na materiale zasobu ich wizualizacji graficznej, zawierającej wybrane informacje, o których mowa w ust. 4, a także inne oznaczenia ułatwiające korzystanie z materiału zasobu.</w:t>
      </w:r>
    </w:p>
    <w:p>
      <w:pPr>
        <w:spacing w:before="26" w:after="0"/>
        <w:ind w:left="0"/>
        <w:jc w:val="left"/>
        <w:textAlignment w:val="auto"/>
      </w:pPr>
      <w:r>
        <w:rPr>
          <w:rFonts w:ascii="Times New Roman"/>
          <w:b/>
          <w:i w:val="false"/>
          <w:color w:val="000000"/>
          <w:sz w:val="28"/>
          <w:lang w:val="pl-PL"/>
        </w:rPr>
        <w:t>§  10.</w:t>
      </w:r>
    </w:p>
    <w:p>
      <w:pPr>
        <w:spacing w:before="26"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Dokumenty i materiały przeznaczone dla podmiotu, na rzecz którego wykonawca prac geodezyjnych wykonał prace geodezyjne, zwane dalej "dokumentami dla zamawiającego", sporządzone w postaci elektronicznej opatruje się klauzulą urzędową zawierającą:</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następującą treść: "Poświadcza się, że niniejszy dokument został opracowany w wyniku prac, których rezultaty zawiera operat techniczny wpisany do ewidencji materiałów państwowego zasobu geodezyjnego i kartograficznego.";</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nazwę organu prowadzącego zasób;</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identyfikator ewidencyjny operatu technicznego;</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datę przyjęcia operatu technicznego do zasobu;</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imię i nazwisko osoby reprezentującej organ prowadzący zasób;</w:t>
      </w:r>
    </w:p>
    <w:p>
      <w:pPr>
        <w:spacing w:before="26" w:after="0"/>
        <w:ind w:left="373"/>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xml:space="preserve"> sumę kontrolną dokumentu elektronicznego według algorytmu SHA-2 (SHA-256).</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Dokumenty dla zamawiającego sporządzone w postaci nieelektronicznej opatruje się klauzulą urzędową zawierającą informacje, o których mowa w ust. 1 pkt 1-5, oraz podpis osoby, o której mowa w ust. 1 pkt 5.</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Wzory klauzul, o których mowa w ust. 1 i 2, określa ust. 3 załącznika do rozporządzenia.</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Klauzulę urzędową na dokumentach dla zamawiającego sporządzonych w formacie PDF może stanowić kwalifikowany podpis elektroniczny osoby reprezentującej organ prowadzący zasób, jeżeli na dokumentach umieszczono wizualizację graficzną tego podpisu zawierającą informacje, o których mowa w ust. 1 pkt 1-5.</w:t>
      </w:r>
    </w:p>
    <w:p>
      <w:pPr>
        <w:spacing w:before="26" w:after="0"/>
        <w:ind w:left="0"/>
        <w:jc w:val="left"/>
        <w:textAlignment w:val="auto"/>
      </w:pPr>
      <w:r>
        <w:rPr>
          <w:rFonts w:ascii="Times New Roman"/>
          <w:b/>
          <w:i w:val="false"/>
          <w:color w:val="000000"/>
          <w:sz w:val="28"/>
          <w:lang w:val="pl-PL"/>
        </w:rPr>
        <w:t>§  11.</w:t>
      </w:r>
      <w:r>
        <w:rPr>
          <w:rFonts w:ascii="Times New Roman"/>
          <w:b w:val="false"/>
          <w:i w:val="false"/>
          <w:color w:val="000000"/>
          <w:sz w:val="28"/>
          <w:lang w:val="pl-PL"/>
        </w:rPr>
        <w:t xml:space="preserve"> Organ prowadzący zasób:</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przechowuje materiały zasobu w sposób chroniący je przed zniszczeniem, w szczególności przed pożarem, powodzią lub kradzieżą oraz dostępem do nich osób nieuprawnionych;</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wykonuje na nośnikach zewnętrznych, nie rzadziej niż raz na kwartał, kopie bezpieczeństwa materiałów zasobu w postaci elektronicznej;</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przechowuje co najmniej dwie ostatnie kopie bezpieczeństwa, o których mowa w pkt 2, w pomieszczeniach zlokalizowanych poza budynkiem, w którym są przechowywane materiały zasobu, z zachowaniem procedur zapewniających bezpieczeństwo przechowywania danych.</w:t>
      </w:r>
    </w:p>
    <w:p>
      <w:pPr>
        <w:spacing w:after="0"/>
        <w:ind w:left="0"/>
        <w:jc w:val="left"/>
        <w:textAlignment w:val="auto"/>
      </w:pPr>
    </w:p>
    <w:p>
      <w:pPr>
        <w:spacing w:before="104" w:after="0"/>
        <w:ind w:left="0"/>
        <w:jc w:val="center"/>
        <w:textAlignment w:val="auto"/>
      </w:pPr>
      <w:r>
        <w:rPr>
          <w:rFonts w:ascii="Times New Roman"/>
          <w:b/>
          <w:i w:val="false"/>
          <w:color w:val="000000"/>
          <w:sz w:val="28"/>
          <w:lang w:val="pl-PL"/>
        </w:rPr>
        <w:t>Rozdział  4</w:t>
      </w:r>
    </w:p>
    <w:p>
      <w:pPr>
        <w:spacing w:before="25" w:after="0"/>
        <w:ind w:left="0"/>
        <w:jc w:val="center"/>
        <w:textAlignment w:val="auto"/>
      </w:pPr>
      <w:r>
        <w:rPr>
          <w:rFonts w:ascii="Times New Roman"/>
          <w:b/>
          <w:i w:val="false"/>
          <w:color w:val="000000"/>
          <w:sz w:val="28"/>
          <w:lang w:val="pl-PL"/>
        </w:rPr>
        <w:t>Sposób i tryb udostępniania i wymiany materiałów zasobu</w:t>
      </w:r>
    </w:p>
    <w:p>
      <w:pPr>
        <w:spacing w:before="26" w:after="0"/>
        <w:ind w:left="0"/>
        <w:jc w:val="left"/>
        <w:textAlignment w:val="auto"/>
      </w:pPr>
      <w:r>
        <w:rPr>
          <w:rFonts w:ascii="Times New Roman"/>
          <w:b/>
          <w:i w:val="false"/>
          <w:color w:val="000000"/>
          <w:sz w:val="28"/>
          <w:lang w:val="pl-PL"/>
        </w:rPr>
        <w:t>§  12.</w:t>
      </w:r>
    </w:p>
    <w:p>
      <w:pPr>
        <w:spacing w:before="26"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Organ prowadzący zasób udostępnia kopie materiałów zasobu w postaci elektronicznej, w szczególności z wykorzystaniem usług sieciowych tego organu lub jego portalu internetowego.</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Udostępnienie materiałów zasobu odbywa się na podstawie wniosku albo zgłoszenia prac geodezyjnych lub jego uzupełnienia.</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Przepisu ust. 2 nie stosuje się do udostępnienia materiałów zasobu, o których mowa w art. 40a ust. 2 pkt 1 ustawy, oraz w przypadku prac geodezyjnych lub prac kartograficznych realizowanych na podstawie umowy.</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W przypadku, o którym mowa w ust. 2, możliwe jest również udostępnienie kopii materiałów zasobu z wykorzystaniem nośników danych elektronicznych lub w postaci drukowanej.</w:t>
      </w:r>
    </w:p>
    <w:p>
      <w:pPr>
        <w:spacing w:before="26" w:after="0"/>
        <w:ind w:left="0"/>
        <w:jc w:val="left"/>
        <w:textAlignment w:val="auto"/>
      </w:pPr>
      <w:r>
        <w:rPr>
          <w:rFonts w:ascii="Times New Roman"/>
          <w:b w:val="false"/>
          <w:i w:val="false"/>
          <w:color w:val="000000"/>
          <w:sz w:val="28"/>
          <w:lang w:val="pl-PL"/>
        </w:rPr>
        <w:t xml:space="preserve">5. </w:t>
      </w:r>
      <w:r>
        <w:rPr>
          <w:rFonts w:ascii="Times New Roman"/>
          <w:b w:val="false"/>
          <w:i w:val="false"/>
          <w:color w:val="000000"/>
          <w:sz w:val="28"/>
          <w:lang w:val="pl-PL"/>
        </w:rPr>
        <w:t xml:space="preserve"> </w:t>
      </w:r>
      <w:r>
        <w:rPr>
          <w:rFonts w:ascii="Times New Roman"/>
          <w:b w:val="false"/>
          <w:i w:val="false"/>
          <w:color w:val="000000"/>
          <w:sz w:val="28"/>
          <w:lang w:val="pl-PL"/>
        </w:rPr>
        <w:t>  W przypadku otrzymania przez organ prowadzący zasób wniosku albo zgłoszenia prac geodezyjnych lub jego uzupełnienia dotyczących udostępnienia materiałów zasobu w postaci:</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elektronicznej - materiały zasobu nieposiadające postaci elektronicznej są niezwłocznie przetwarzane do postaci dokumentów elektronicznych w celu realizacji wniosku albo zgłoszenia prac geodezyjnych lub jego uzupełnienia;</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nieelektronicznej - materiały zasobu udostępnia się w postaci kopii, a oryginały mogą zostać udostępnione do wglądu w miejscu ich przechowywania w obecności pracownika wyznaczonego przez organ prowadzący zasób.</w:t>
      </w:r>
    </w:p>
    <w:p>
      <w:pPr>
        <w:spacing w:before="26" w:after="0"/>
        <w:ind w:left="0"/>
        <w:jc w:val="left"/>
        <w:textAlignment w:val="auto"/>
      </w:pPr>
      <w:r>
        <w:rPr>
          <w:rFonts w:ascii="Times New Roman"/>
          <w:b w:val="false"/>
          <w:i w:val="false"/>
          <w:color w:val="000000"/>
          <w:sz w:val="28"/>
          <w:lang w:val="pl-PL"/>
        </w:rPr>
        <w:t>6.</w:t>
      </w:r>
      <w:r>
        <w:rPr>
          <w:rFonts w:ascii="Times New Roman"/>
          <w:b w:val="false"/>
          <w:i w:val="false"/>
          <w:color w:val="000000"/>
          <w:sz w:val="28"/>
          <w:lang w:val="pl-PL"/>
        </w:rPr>
        <w:t> Wymiana danych między organami Służby Geodezyjnej i Kartograficznej odbywa się w postaci elektronicznej na pisemną prośbę zainteresowanego organu, po wskazaniu zakresu niezbędnych danych.</w:t>
      </w:r>
    </w:p>
    <w:p>
      <w:pPr>
        <w:spacing w:before="26" w:after="0"/>
        <w:ind w:left="0"/>
        <w:jc w:val="left"/>
        <w:textAlignment w:val="auto"/>
      </w:pPr>
      <w:r>
        <w:rPr>
          <w:rFonts w:ascii="Times New Roman"/>
          <w:b w:val="false"/>
          <w:i w:val="false"/>
          <w:color w:val="000000"/>
          <w:sz w:val="28"/>
          <w:lang w:val="pl-PL"/>
        </w:rPr>
        <w:t>7.</w:t>
      </w:r>
      <w:r>
        <w:rPr>
          <w:rFonts w:ascii="Times New Roman"/>
          <w:b w:val="false"/>
          <w:i w:val="false"/>
          <w:color w:val="000000"/>
          <w:sz w:val="28"/>
          <w:lang w:val="pl-PL"/>
        </w:rPr>
        <w:t> Przepisu ust. 6 nie stosuje się w przypadku danych, o których mowa w art. 40a ust. 2 pkt 1 ustawy.</w:t>
      </w:r>
    </w:p>
    <w:p>
      <w:pPr>
        <w:spacing w:before="26" w:after="0"/>
        <w:ind w:left="0"/>
        <w:jc w:val="left"/>
        <w:textAlignment w:val="auto"/>
      </w:pPr>
      <w:r>
        <w:rPr>
          <w:rFonts w:ascii="Times New Roman"/>
          <w:b/>
          <w:i w:val="false"/>
          <w:color w:val="000000"/>
          <w:sz w:val="28"/>
          <w:lang w:val="pl-PL"/>
        </w:rPr>
        <w:t>§  13.</w:t>
      </w:r>
    </w:p>
    <w:p>
      <w:pPr>
        <w:spacing w:before="26"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Kopie materiałów zasobu udostępniane zgodnie z § 12 ust. 2, w formie dokumentów elektronicznych, opatruje się klauzulą urzędową zawierającą:</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nazwę organu udostępniającego materiał zasobu;</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identyfikator ewidencyjny materiału zasobu;</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nazwę materiału zasobu;</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datę wykonania kopii materiału zasobu;</w:t>
      </w:r>
    </w:p>
    <w:p>
      <w:pPr>
        <w:spacing w:before="26" w:after="0"/>
        <w:ind w:left="373"/>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xml:space="preserve"> sumę kontrolną udostępnianego dokumentu elektronicznego według algorytmu SHA-2 (SHA-256).</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Kopie materiałów zasobu udostępniane w postaci nieelektronicznej opatruje się klauzulą urzędową zawierającą informacje, o których mowa w ust. 1 pkt 1-4, oraz imię, nazwisko i podpis osoby reprezentującej organ prowadzący zasób.</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Wzory klauzul, o których mowa w ust. 1 i 2, określa ust. 2 załącznika do rozporządzenia.</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Klauzulę urzędową na kopiach materiałów zasobu udostępnianych w formacie PDF może stanowić kwalifikowany podpis elektroniczny osoby reprezentującej organ prowadzący zasób albo kwalifikowana pieczęć elektroniczna tego organu, jeżeli na kopiach materiałów zasobu umieszczono wizualizację graficzną tego podpisu lub pieczęci zawierającą informacje, o których mowa w ust. 1 pkt 1-4.</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W przypadku udostępniania materiałów zasobu w związku ze zgłoszeniem prac geodezyjnych kwalifikowany podpis elektroniczny osoby reprezentującej organ prowadzący zasób albo kwalifikowana pieczęć elektroniczna tego organu, potwierdzające przyjęcie operatu technicznego do zasobu, są równoważne z klauzulą urzędową, o której mowa w ust. 1.</w:t>
      </w:r>
    </w:p>
    <w:p>
      <w:pPr>
        <w:spacing w:after="0"/>
        <w:ind w:left="0"/>
        <w:jc w:val="left"/>
        <w:textAlignment w:val="auto"/>
      </w:pPr>
    </w:p>
    <w:p>
      <w:pPr>
        <w:spacing w:before="104" w:after="0"/>
        <w:ind w:left="0"/>
        <w:jc w:val="center"/>
        <w:textAlignment w:val="auto"/>
      </w:pPr>
      <w:r>
        <w:rPr>
          <w:rFonts w:ascii="Times New Roman"/>
          <w:b/>
          <w:i w:val="false"/>
          <w:color w:val="000000"/>
          <w:sz w:val="28"/>
          <w:lang w:val="pl-PL"/>
        </w:rPr>
        <w:t>Rozdział  5</w:t>
      </w:r>
    </w:p>
    <w:p>
      <w:pPr>
        <w:spacing w:before="25" w:after="0"/>
        <w:ind w:left="0"/>
        <w:jc w:val="center"/>
        <w:textAlignment w:val="auto"/>
      </w:pPr>
      <w:r>
        <w:rPr>
          <w:rFonts w:ascii="Times New Roman"/>
          <w:b/>
          <w:i w:val="false"/>
          <w:color w:val="000000"/>
          <w:sz w:val="28"/>
          <w:lang w:val="pl-PL"/>
        </w:rPr>
        <w:t>Tryb wyłączania materiałów i zbiorów danych z zasobu oraz sposób ich przekazywania do właściwych archiwów państwowych</w:t>
      </w:r>
    </w:p>
    <w:p>
      <w:pPr>
        <w:spacing w:before="26" w:after="0"/>
        <w:ind w:left="0"/>
        <w:jc w:val="left"/>
        <w:textAlignment w:val="auto"/>
      </w:pPr>
      <w:r>
        <w:rPr>
          <w:rFonts w:ascii="Times New Roman"/>
          <w:b/>
          <w:i w:val="false"/>
          <w:color w:val="000000"/>
          <w:sz w:val="28"/>
          <w:lang w:val="pl-PL"/>
        </w:rPr>
        <w:t>§  14.</w:t>
      </w:r>
    </w:p>
    <w:p>
      <w:pPr>
        <w:spacing w:before="26"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Organ prowadzący zasób w celu wyłączania materiałów zasobu z przyczyn określonych w art. 40 ust. 4 ustawy powołuje komisję w składzie co najmniej trzyosobowym spośród pracowników wykonujących zadania tego organu w zakresie geodezji i kartografii, która nie rzadziej niż raz w roku przeprowadza ocenę przydatności materiałów zasobu.</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Wyniki oceny przydatności materiałów zasobu komisja utrwala w formie protokołu, który zawiera:</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skład komisji;</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wykaz materiałów zasobu, które w ocenie komisji utraciły przydatność użytkową;</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miejsce i datę sporządzenia protokołu;</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podpisy członków komisji.</w:t>
      </w:r>
    </w:p>
    <w:p>
      <w:pPr>
        <w:spacing w:before="26" w:after="0"/>
        <w:ind w:left="0"/>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Wykaz, o którym mowa w ust. 2 pkt 2, zawiera:</w:t>
      </w:r>
    </w:p>
    <w:p>
      <w:pPr>
        <w:spacing w:before="26" w:after="0"/>
        <w:ind w:left="373"/>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xml:space="preserve"> identyfikator ewidencyjny materiału zasobu;</w:t>
      </w:r>
    </w:p>
    <w:p>
      <w:pPr>
        <w:spacing w:before="26" w:after="0"/>
        <w:ind w:left="373"/>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xml:space="preserve"> nazwę lub opis materiału zasobu;</w:t>
      </w:r>
    </w:p>
    <w:p>
      <w:pPr>
        <w:spacing w:before="26" w:after="0"/>
        <w:ind w:left="373"/>
        <w:jc w:val="left"/>
        <w:textAlignment w:val="auto"/>
      </w:pPr>
      <w:r>
        <w:rPr>
          <w:rFonts w:ascii="Times New Roman"/>
          <w:b w:val="false"/>
          <w:i w:val="false"/>
          <w:color w:val="000000"/>
          <w:sz w:val="28"/>
          <w:lang w:val="pl-PL"/>
        </w:rPr>
        <w:t>3)</w:t>
      </w:r>
      <w:r>
        <w:rPr>
          <w:rFonts w:ascii="Times New Roman"/>
          <w:b w:val="false"/>
          <w:i w:val="false"/>
          <w:color w:val="000000"/>
          <w:sz w:val="28"/>
          <w:lang w:val="pl-PL"/>
        </w:rPr>
        <w:t xml:space="preserve"> oznaczenie kategorii archiwalnej materiału zasobu;</w:t>
      </w:r>
    </w:p>
    <w:p>
      <w:pPr>
        <w:spacing w:before="26" w:after="0"/>
        <w:ind w:left="373"/>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xml:space="preserve"> uzasadnienie utraty przydatności użytkowej materiału zasobu.</w:t>
      </w:r>
    </w:p>
    <w:p>
      <w:pPr>
        <w:spacing w:before="26" w:after="0"/>
        <w:ind w:left="0"/>
        <w:jc w:val="left"/>
        <w:textAlignment w:val="auto"/>
      </w:pPr>
      <w:r>
        <w:rPr>
          <w:rFonts w:ascii="Times New Roman"/>
          <w:b w:val="false"/>
          <w:i w:val="false"/>
          <w:color w:val="000000"/>
          <w:sz w:val="28"/>
          <w:lang w:val="pl-PL"/>
        </w:rPr>
        <w:t>4.</w:t>
      </w:r>
      <w:r>
        <w:rPr>
          <w:rFonts w:ascii="Times New Roman"/>
          <w:b w:val="false"/>
          <w:i w:val="false"/>
          <w:color w:val="000000"/>
          <w:sz w:val="28"/>
          <w:lang w:val="pl-PL"/>
        </w:rPr>
        <w:t> Podstawą do wyłączenia materiałów zasobu z zasobu jest akceptacja protokołu, o którym mowa w ust. 2, przez osobę reprezentującą organ prowadzący zasób.</w:t>
      </w:r>
    </w:p>
    <w:p>
      <w:pPr>
        <w:spacing w:before="26" w:after="0"/>
        <w:ind w:left="0"/>
        <w:jc w:val="left"/>
        <w:textAlignment w:val="auto"/>
      </w:pPr>
      <w:r>
        <w:rPr>
          <w:rFonts w:ascii="Times New Roman"/>
          <w:b w:val="false"/>
          <w:i w:val="false"/>
          <w:color w:val="000000"/>
          <w:sz w:val="28"/>
          <w:lang w:val="pl-PL"/>
        </w:rPr>
        <w:t>5.</w:t>
      </w:r>
      <w:r>
        <w:rPr>
          <w:rFonts w:ascii="Times New Roman"/>
          <w:b w:val="false"/>
          <w:i w:val="false"/>
          <w:color w:val="000000"/>
          <w:sz w:val="28"/>
          <w:lang w:val="pl-PL"/>
        </w:rPr>
        <w:t> Materiał wyłączony z zasobu osoba reprezentująca organ prowadzący zasób opatruje adnotacją o jego wyłączeniu z zasobu oraz datą wyłączenia.</w:t>
      </w:r>
    </w:p>
    <w:p>
      <w:pPr>
        <w:spacing w:before="26" w:after="240"/>
        <w:ind w:left="0"/>
        <w:jc w:val="left"/>
        <w:textAlignment w:val="auto"/>
      </w:pPr>
      <w:r>
        <w:rPr>
          <w:rFonts w:ascii="Times New Roman"/>
          <w:b/>
          <w:i w:val="false"/>
          <w:color w:val="000000"/>
          <w:sz w:val="28"/>
          <w:lang w:val="pl-PL"/>
        </w:rPr>
        <w:t>§  15.</w:t>
      </w:r>
      <w:r>
        <w:rPr>
          <w:rFonts w:ascii="Times New Roman"/>
          <w:b w:val="false"/>
          <w:i w:val="false"/>
          <w:color w:val="000000"/>
          <w:sz w:val="28"/>
          <w:lang w:val="pl-PL"/>
        </w:rPr>
        <w:t> Przekazanie do właściwego archiwum państwowego materiałów wyłączonych z zasobu odbywa się zgodnie z przepisami wydanymi na podstawie art. 40 ust. 5 pkt 2 ustawy.</w:t>
      </w:r>
    </w:p>
    <w:p>
      <w:pPr>
        <w:spacing w:before="26" w:after="240"/>
        <w:ind w:left="0"/>
        <w:jc w:val="left"/>
        <w:textAlignment w:val="auto"/>
      </w:pPr>
      <w:r>
        <w:rPr>
          <w:rFonts w:ascii="Times New Roman"/>
          <w:b/>
          <w:i w:val="false"/>
          <w:color w:val="000000"/>
          <w:sz w:val="28"/>
          <w:lang w:val="pl-PL"/>
        </w:rPr>
        <w:t>§  16.</w:t>
      </w:r>
      <w:r>
        <w:rPr>
          <w:rFonts w:ascii="Times New Roman"/>
          <w:b w:val="false"/>
          <w:i w:val="false"/>
          <w:color w:val="000000"/>
          <w:sz w:val="28"/>
          <w:lang w:val="pl-PL"/>
        </w:rPr>
        <w:t> Kopie materiałów zasobu, które zostały wyłączone z zasobu i stanowią dokumentację niearchiwalną, która może podlegać brakowaniu, mogą zostać przekazane nieodpłatnie podmiotom realizującym zadania publiczne lub podmiotom pożytku publicznego albo innym podmiotom prowadzącym działalność kulturalną lub edukacyjną.</w:t>
      </w:r>
    </w:p>
    <w:p>
      <w:pPr>
        <w:spacing w:after="0"/>
        <w:ind w:left="0"/>
        <w:jc w:val="left"/>
        <w:textAlignment w:val="auto"/>
      </w:pPr>
    </w:p>
    <w:p>
      <w:pPr>
        <w:spacing w:before="104" w:after="0"/>
        <w:ind w:left="0"/>
        <w:jc w:val="center"/>
        <w:textAlignment w:val="auto"/>
      </w:pPr>
      <w:r>
        <w:rPr>
          <w:rFonts w:ascii="Times New Roman"/>
          <w:b/>
          <w:i w:val="false"/>
          <w:color w:val="000000"/>
          <w:sz w:val="28"/>
          <w:lang w:val="pl-PL"/>
        </w:rPr>
        <w:t>Rozdział  6</w:t>
      </w:r>
    </w:p>
    <w:p>
      <w:pPr>
        <w:spacing w:before="25" w:after="0"/>
        <w:ind w:left="0"/>
        <w:jc w:val="center"/>
        <w:textAlignment w:val="auto"/>
      </w:pPr>
      <w:r>
        <w:rPr>
          <w:rFonts w:ascii="Times New Roman"/>
          <w:b/>
          <w:i w:val="false"/>
          <w:color w:val="000000"/>
          <w:sz w:val="28"/>
          <w:lang w:val="pl-PL"/>
        </w:rPr>
        <w:t>Przepisy przejściowe i końcowe</w:t>
      </w:r>
    </w:p>
    <w:p>
      <w:pPr>
        <w:spacing w:before="26" w:after="0"/>
        <w:ind w:left="0"/>
        <w:jc w:val="left"/>
        <w:textAlignment w:val="auto"/>
      </w:pPr>
      <w:r>
        <w:rPr>
          <w:rFonts w:ascii="Times New Roman"/>
          <w:b/>
          <w:i w:val="false"/>
          <w:color w:val="000000"/>
          <w:sz w:val="28"/>
          <w:lang w:val="pl-PL"/>
        </w:rPr>
        <w:t>§  17.</w:t>
      </w:r>
    </w:p>
    <w:p>
      <w:pPr>
        <w:spacing w:before="26" w:after="0"/>
        <w:ind w:left="0"/>
        <w:jc w:val="left"/>
        <w:textAlignment w:val="auto"/>
      </w:pPr>
      <w:r>
        <w:rPr>
          <w:rFonts w:ascii="Times New Roman"/>
          <w:b w:val="false"/>
          <w:i w:val="false"/>
          <w:color w:val="000000"/>
          <w:sz w:val="28"/>
          <w:lang w:val="pl-PL"/>
        </w:rPr>
        <w:t>1.</w:t>
      </w:r>
      <w:r>
        <w:rPr>
          <w:rFonts w:ascii="Times New Roman"/>
          <w:b w:val="false"/>
          <w:i w:val="false"/>
          <w:color w:val="000000"/>
          <w:sz w:val="28"/>
          <w:lang w:val="pl-PL"/>
        </w:rPr>
        <w:t> Materiały zasobu przyjęte do państwowego zasobu geodezyjnego i kartograficznego przed dniem wejścia w życie rozporządzenia stają się materiałami zasobu w rozumieniu niniejszego rozporządzenia.</w:t>
      </w:r>
    </w:p>
    <w:p>
      <w:pPr>
        <w:spacing w:before="26" w:after="0"/>
        <w:ind w:left="0"/>
        <w:jc w:val="left"/>
        <w:textAlignment w:val="auto"/>
      </w:pPr>
      <w:r>
        <w:rPr>
          <w:rFonts w:ascii="Times New Roman"/>
          <w:b w:val="false"/>
          <w:i w:val="false"/>
          <w:color w:val="000000"/>
          <w:sz w:val="28"/>
          <w:lang w:val="pl-PL"/>
        </w:rPr>
        <w:t>2.</w:t>
      </w:r>
      <w:r>
        <w:rPr>
          <w:rFonts w:ascii="Times New Roman"/>
          <w:b w:val="false"/>
          <w:i w:val="false"/>
          <w:color w:val="000000"/>
          <w:sz w:val="28"/>
          <w:lang w:val="pl-PL"/>
        </w:rPr>
        <w:t> Rejestr zgłoszeń prac geodezyjnych i kartograficznych, ewidencja materiałów zasobu oraz rejestr wniosków o udostępnienie materiałów zasobu prowadzone dotychczas stają się z dniem wejścia w życie niniejszego rozporządzenia odpowiednio rejestrem prac geodezyjnych i kartograficznych, ewidencją materiałów zasobu oraz rejestrem wniosków o udostępnienie materiałów zasobu, o których mowa w § 8.</w:t>
      </w:r>
    </w:p>
    <w:p>
      <w:pPr>
        <w:spacing w:before="26" w:after="240"/>
        <w:ind w:left="0"/>
        <w:jc w:val="left"/>
        <w:textAlignment w:val="auto"/>
      </w:pPr>
      <w:r>
        <w:rPr>
          <w:rFonts w:ascii="Times New Roman"/>
          <w:b/>
          <w:i w:val="false"/>
          <w:color w:val="000000"/>
          <w:sz w:val="28"/>
          <w:lang w:val="pl-PL"/>
        </w:rPr>
        <w:t>§  18.</w:t>
      </w:r>
      <w:r>
        <w:rPr>
          <w:rFonts w:ascii="Times New Roman"/>
          <w:b w:val="false"/>
          <w:i w:val="false"/>
          <w:color w:val="000000"/>
          <w:sz w:val="28"/>
          <w:lang w:val="pl-PL"/>
        </w:rPr>
        <w:t> Dokumenty wchodzące w skład operatu technicznego, którym przed dniem wejścia w życie rozporządzenia zostały nadane numery identyfikacyjne, mogą pozostać w postaci dotychczasowej lub zostać połączone do jednego dokumentu elektronicznego w formacie PDF z zachowaniem identyfikatora ewidencyjnego materiału zasobu nadanego operatowi technicznemu.</w:t>
      </w:r>
    </w:p>
    <w:p>
      <w:pPr>
        <w:spacing w:before="26" w:after="240"/>
        <w:ind w:left="0"/>
        <w:jc w:val="left"/>
        <w:textAlignment w:val="auto"/>
      </w:pPr>
      <w:r>
        <w:rPr>
          <w:rFonts w:ascii="Times New Roman"/>
          <w:b/>
          <w:i w:val="false"/>
          <w:color w:val="000000"/>
          <w:sz w:val="28"/>
          <w:lang w:val="pl-PL"/>
        </w:rPr>
        <w:t>§  19.</w:t>
      </w:r>
      <w:r>
        <w:rPr>
          <w:rFonts w:ascii="Times New Roman"/>
          <w:b w:val="false"/>
          <w:i w:val="false"/>
          <w:color w:val="000000"/>
          <w:sz w:val="28"/>
          <w:lang w:val="pl-PL"/>
        </w:rPr>
        <w:t> Materiały zasobu w postaci nieelektronicznej przyjęte do państwowego zasobu geodezyjnego i kartograficznego przed wejściem w życie rozporządzenia przetwarza się sukcesywnie do postaci dokumentów elektronicznych nie dłużej niż do dnia 31 grudnia 2022 r.</w:t>
      </w:r>
    </w:p>
    <w:p>
      <w:pPr>
        <w:spacing w:before="26" w:after="240"/>
        <w:ind w:left="0"/>
        <w:jc w:val="left"/>
        <w:textAlignment w:val="auto"/>
      </w:pPr>
      <w:r>
        <w:rPr>
          <w:rFonts w:ascii="Times New Roman"/>
          <w:b/>
          <w:i w:val="false"/>
          <w:color w:val="000000"/>
          <w:sz w:val="28"/>
          <w:lang w:val="pl-PL"/>
        </w:rPr>
        <w:t>§  20.</w:t>
      </w:r>
      <w:r>
        <w:rPr>
          <w:rFonts w:ascii="Times New Roman"/>
          <w:b w:val="false"/>
          <w:i w:val="false"/>
          <w:color w:val="000000"/>
          <w:sz w:val="28"/>
          <w:lang w:val="pl-PL"/>
        </w:rPr>
        <w:t xml:space="preserve"> Rozporządzenie wchodzi w życie po upływie 30 dni od dnia ogłoszenia. </w:t>
      </w:r>
      <w:r>
        <w:rPr>
          <w:rFonts w:ascii="Times New Roman"/>
          <w:b w:val="false"/>
          <w:i w:val="false"/>
          <w:color w:val="000000"/>
          <w:sz w:val="28"/>
          <w:lang w:val="pl-PL"/>
        </w:rPr>
        <w:t xml:space="preserve"> </w:t>
      </w:r>
    </w:p>
    <w:p>
      <w:pPr>
        <w:spacing w:after="0"/>
        <w:ind w:left="0"/>
        <w:jc w:val="left"/>
        <w:textAlignment w:val="auto"/>
      </w:pPr>
    </w:p>
    <w:p>
      <w:pPr>
        <w:spacing w:before="104" w:after="0"/>
        <w:ind w:left="0"/>
        <w:jc w:val="center"/>
        <w:textAlignment w:val="auto"/>
      </w:pPr>
      <w:r>
        <w:rPr>
          <w:rFonts w:ascii="Times New Roman"/>
          <w:b/>
          <w:i w:val="false"/>
          <w:color w:val="000000"/>
          <w:sz w:val="28"/>
          <w:lang w:val="pl-PL"/>
        </w:rPr>
        <w:t>ZAŁĄCZNIK</w:t>
      </w:r>
    </w:p>
    <w:p>
      <w:pPr>
        <w:spacing w:before="25" w:after="0"/>
        <w:ind w:left="0"/>
        <w:jc w:val="center"/>
        <w:textAlignment w:val="auto"/>
      </w:pPr>
      <w:r>
        <w:rPr>
          <w:rFonts w:ascii="Times New Roman"/>
          <w:b/>
          <w:i w:val="false"/>
          <w:color w:val="000000"/>
          <w:sz w:val="28"/>
          <w:lang w:val="pl-PL"/>
        </w:rPr>
        <w:t>WZORY KLAUZUL URZĘDOWYCH</w:t>
      </w:r>
    </w:p>
    <w:p>
      <w:pPr>
        <w:spacing w:after="0"/>
        <w:ind w:left="0"/>
        <w:jc w:val="left"/>
        <w:textAlignment w:val="auto"/>
      </w:pPr>
      <w:r>
        <w:rPr>
          <w:rFonts w:ascii="Times New Roman"/>
          <w:b w:val="false"/>
          <w:i w:val="false"/>
          <w:color w:val="000000"/>
          <w:sz w:val="28"/>
          <w:lang w:val="pl-PL"/>
        </w:rPr>
        <w:t xml:space="preserve"> </w:t>
      </w:r>
      <w:r>
        <w:rPr>
          <w:rFonts w:ascii="Times New Roman"/>
          <w:b w:val="false"/>
          <w:i w:val="false"/>
          <w:color w:val="1b1b1b"/>
          <w:sz w:val="28"/>
          <w:lang w:val="pl-PL"/>
        </w:rPr>
        <w:t>wzór</w:t>
      </w:r>
      <w:r>
        <w:rPr>
          <w:rFonts w:ascii="Times New Roman"/>
          <w:b w:val="false"/>
          <w:i w:val="false"/>
          <w:color w:val="000000"/>
          <w:sz w:val="28"/>
          <w:lang w:val="pl-PL"/>
        </w:rPr>
        <w:t xml:space="preserve"> </w:t>
      </w:r>
    </w:p>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file>

<file path=word/settings.xml><?xml version="1.0" encoding="utf-8"?>
<w:settings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imes New Roman" w:hAnsi="Times New Roman" w:eastAsia="Times New Roman" w:cs="Times New Roman" w:asciiTheme="minorHAnsi" w:hAnsiTheme="minorHAnsi" w:eastAsiaTheme="minorHAnsi" w:cstheme="minorBidi"/>
        <w:sz w:val="28"/>
        <w:szCs w:val="22"/>
        <w:lang w:val="pl-PL"/>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rPr>
      <w:rFonts w:ascii="Times New Roman" w:hAnsi="Times New Roman" w:eastAsia="Times New Roman" w:cs="Times New Roman"/>
      <w:sz w:val="28"/>
      <w:lang w:val="pl-PL"/>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eaderStyle">
    <w:name w:val="HeaderStyle"/>
    <w:pPr>
      <w:spacing w:line="240" w:lineRule="auto"/>
      <w:jc w:val="center"/>
    </w:pPr>
    <w:rPr>
      <w:rFonts w:ascii="Times New Roman" w:hAnsi="Times New Roman" w:eastAsia="Times New Roman" w:cs="Times New Roman"/>
      <w:b/>
      <w:color w:val="000000" w:themeColor="text1"/>
      <w:sz w:val="28"/>
    </w:rPr>
  </w:style>
  <w:style w:type="paragraph" w:styleId="TitleStyle">
    <w:name w:val="TitleStyle"/>
    <w:pPr>
      <w:spacing w:line="240" w:lineRule="auto"/>
      <w:jc w:val="left"/>
    </w:pPr>
    <w:rPr>
      <w:rFonts w:ascii="Times New Roman" w:hAnsi="Times New Roman" w:eastAsia="Times New Roman" w:cs="Times New Roman"/>
      <w:b/>
      <w:color w:val="000000" w:themeColor="text1"/>
      <w:sz w:val="28"/>
    </w:rPr>
  </w:style>
  <w:style w:type="paragraph" w:styleId="TitleCenterStyle">
    <w:name w:val="TitleCenterStyle"/>
    <w:pPr>
      <w:spacing w:line="240" w:lineRule="auto"/>
      <w:jc w:val="center"/>
    </w:pPr>
    <w:rPr>
      <w:rFonts w:ascii="Times New Roman" w:hAnsi="Times New Roman" w:eastAsia="Times New Roman" w:cs="Times New Roman"/>
      <w:b/>
      <w:color w:val="000000" w:themeColor="text1"/>
      <w:sz w:val="28"/>
    </w:rPr>
  </w:style>
  <w:style w:type="paragraph" w:styleId="NormalStyle">
    <w:name w:val="NormalStyle"/>
    <w:pPr>
      <w:spacing w:after="0" w:line="240" w:lineRule="auto"/>
      <w:jc w:val="left"/>
    </w:pPr>
    <w:rPr>
      <w:rFonts w:ascii="Times New Roman" w:hAnsi="Times New Roman" w:eastAsia="Times New Roman" w:cs="Times New Roman"/>
      <w:color w:val="000000" w:themeColor="text1"/>
      <w:sz w:val="28"/>
    </w:rPr>
  </w:style>
  <w:style w:type="paragraph" w:styleId="NormalSpacingStyle">
    <w:name w:val="NormalSpacingStyle"/>
    <w:pPr>
      <w:spacing w:line="240" w:lineRule="auto"/>
      <w:jc w:val="left"/>
    </w:pPr>
    <w:rPr>
      <w:rFonts w:ascii="Times New Roman" w:hAnsi="Times New Roman" w:eastAsia="Times New Roman" w:cs="Times New Roman"/>
      <w:color w:val="000000" w:themeColor="text1"/>
      <w:sz w:val="28"/>
    </w:rPr>
  </w:style>
  <w:style w:type="paragraph" w:styleId="BoldStyle">
    <w:name w:val="BoldStyle"/>
    <w:pPr>
      <w:spacing w:after="0" w:line="240" w:lineRule="auto"/>
      <w:jc w:val="left"/>
    </w:pPr>
    <w:rPr>
      <w:rFonts w:ascii="Times New Roman" w:hAnsi="Times New Roman" w:eastAsia="Times New Roman" w:cs="Times New Roman"/>
      <w:b/>
      <w:color w:val="000000" w:themeColor="text1"/>
      <w:sz w:val="2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