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ustom.xml" Type="http://schemas.openxmlformats.org/officeDocument/2006/relationships/custom-properties"/><Relationship Id="rId4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130" w:before="130" w:lineRule="auto" w:line="240"/>
        <w:jc w:val="center"/>
      </w:pPr>
      <w:pPr>
        <w:suppressAutoHyphens/>
      </w:pPr>
      <w:r>
        <w:rPr>
          <w:rFonts w:ascii="Helvetica" w:hAnsi="Helvetica" w:cs="Helvetica" w:eastAsia="Helvetica"/>
          <w:sz w:val="24"/>
          <w:b w:val="on"/>
          <w:i w:val="off"/>
          <w:caps w:val="on"/>
          <w:u w:val="none"/>
        </w:rPr>
        <w:t>Ustawa o ochronie gruntów rolnych i leśnych</w:t>
      </w:r>
    </w:p>
    <w:p>
      <w:pPr>
        <w:spacing w:after="130" w:before="130" w:lineRule="auto" w:line="240"/>
        <w:jc w:val="center"/>
      </w:pPr>
      <w:pPr>
        <w:suppressAutoHyphens/>
      </w:pPr>
      <w:r>
        <w:rPr>
          <w:rFonts w:ascii="Helvetica" w:hAnsi="Helvetica" w:cs="Helvetica" w:eastAsia="Helvetica"/>
          <w:sz w:val="18"/>
          <w:b w:val="on"/>
          <w:i w:val="off"/>
          <w:caps w:val="off"/>
          <w:u w:val="none"/>
        </w:rPr>
        <w:t>z dnia 3 lutego 1995 r. (Dz.U. Nr 16, poz. 78)</w:t>
      </w:r>
    </w:p>
    <w:p>
      <w:pPr>
        <w:spacing w:after="130" w:before="130" w:lineRule="auto" w:line="240"/>
        <w:jc w:val="center"/>
      </w:pPr>
      <w:pPr>
        <w:suppressAutoHyphens/>
      </w:pPr>
      <w:r>
        <w:rPr>
          <w:rFonts w:ascii="Helvetica" w:hAnsi="Helvetica" w:cs="Helvetica" w:eastAsia="Helvetica"/>
          <w:sz w:val="18"/>
          <w:b w:val="on"/>
          <w:i w:val="off"/>
          <w:caps w:val="off"/>
          <w:u w:val="none"/>
        </w:rPr>
        <w:t>tj. z dnia 2 kwietnia 2004 r. (Dz.U. Nr 121, poz. 1266)</w:t>
      </w:r>
    </w:p>
    <w:p>
      <w:pPr>
        <w:spacing w:after="130" w:before="130" w:lineRule="auto" w:line="240"/>
        <w:jc w:val="center"/>
      </w:pPr>
      <w:pPr>
        <w:suppressAutoHyphens/>
      </w:pPr>
      <w:r>
        <w:rPr>
          <w:rFonts w:ascii="Helvetica" w:hAnsi="Helvetica" w:cs="Helvetica" w:eastAsia="Helvetica"/>
          <w:sz w:val="18"/>
          <w:b w:val="on"/>
          <w:i w:val="off"/>
          <w:caps w:val="off"/>
          <w:u w:val="none"/>
        </w:rPr>
        <w:t>tj. z dnia 18 lipca 2013 r. (Dz.U. z 2013 r. poz. 1205)</w:t>
      </w:r>
    </w:p>
    <w:p>
      <w:pPr>
        <w:spacing w:after="130" w:before="130" w:lineRule="auto" w:line="240"/>
        <w:jc w:val="center"/>
      </w:pPr>
      <w:pPr>
        <w:suppressAutoHyphens/>
      </w:pPr>
      <w:r>
        <w:rPr>
          <w:rFonts w:ascii="Helvetica" w:hAnsi="Helvetica" w:cs="Helvetica" w:eastAsia="Helvetica"/>
          <w:sz w:val="18"/>
          <w:b w:val="on"/>
          <w:i w:val="off"/>
          <w:caps w:val="off"/>
          <w:u w:val="none"/>
        </w:rPr>
        <w:t>tj. z dnia 9 czerwca 2015 r. (Dz.U. z 2015 r. poz. 909)</w:t>
      </w:r>
    </w:p>
    <w:p>
      <w:pPr>
        <w:spacing w:after="130" w:before="130" w:lineRule="auto" w:line="240"/>
        <w:jc w:val="center"/>
      </w:pPr>
      <w:pPr>
        <w:suppressAutoHyphens/>
      </w:pPr>
      <w:r>
        <w:rPr>
          <w:rFonts w:ascii="Helvetica" w:hAnsi="Helvetica" w:cs="Helvetica" w:eastAsia="Helvetica"/>
          <w:sz w:val="18"/>
          <w:b w:val="on"/>
          <w:i w:val="off"/>
          <w:caps w:val="off"/>
          <w:u w:val="none"/>
        </w:rPr>
        <w:t>tj. z dnia 26 maja 2017 r. (Dz.U. z 2017 r. poz. 1161)</w:t>
      </w:r>
    </w:p>
    <w:p>
      <w:pPr>
        <w:spacing w:after="130" w:before="130" w:lineRule="auto" w:line="240"/>
        <w:jc w:val="center"/>
      </w:pPr>
      <w:pPr>
        <w:suppressAutoHyphens/>
      </w:pPr>
      <w:r>
        <w:rPr>
          <w:rFonts w:ascii="Helvetica" w:hAnsi="Helvetica" w:cs="Helvetica" w:eastAsia="Helvetica"/>
          <w:sz w:val="18"/>
          <w:b w:val="on"/>
          <w:i w:val="off"/>
          <w:caps w:val="off"/>
          <w:u w:val="none"/>
        </w:rPr>
        <w:t>tj. z dnia 2 lipca 2021 r. (Dz.U. z 2021 r. poz. 1326)</w:t>
      </w:r>
    </w:p>
    <w:p>
      <w:pPr>
        <w:spacing w:after="130" w:before="130" w:lineRule="auto" w:line="240"/>
        <w:jc w:val="center"/>
      </w:pPr>
      <w:pPr>
        <w:suppressAutoHyphens/>
      </w:pPr>
      <w:r>
        <w:rPr>
          <w:rFonts w:ascii="Helvetica" w:hAnsi="Helvetica" w:cs="Helvetica" w:eastAsia="Helvetica"/>
          <w:sz w:val="18"/>
          <w:b w:val="on"/>
          <w:i w:val="off"/>
          <w:caps w:val="off"/>
          <w:u w:val="none"/>
        </w:rPr>
        <w:t>tj. z dnia 28 października 2022 r. (Dz.U. z 2022 r. poz. 2409)</w:t>
      </w:r>
    </w:p>
    <w:p>
      <w:pPr>
        <w:spacing w:after="130" w:before="130" w:lineRule="auto" w:line="240"/>
        <w:jc w:val="center"/>
      </w:pPr>
      <w:pPr>
        <w:suppressAutoHyphens/>
      </w:pPr>
      <w:r>
        <w:rPr>
          <w:rFonts w:ascii="Helvetica" w:hAnsi="Helvetica" w:cs="Helvetica" w:eastAsia="Helvetica"/>
          <w:sz w:val="18"/>
          <w:b w:val="on"/>
          <w:i w:val="off"/>
          <w:caps w:val="off"/>
          <w:u w:val="none"/>
        </w:rPr>
        <w:t>tj. z dnia 16 stycznia 2024 r. (Dz.U. z 2024 r. poz. 82)</w:t>
      </w:r>
    </w:p>
    <w:p>
      <w:pPr>
        <w:spacing w:after="130" w:before="130" w:lineRule="auto" w:line="240"/>
        <w:jc w:val="center"/>
      </w:pPr>
      <w:pPr>
        <w:suppressAutoHyphens/>
      </w:pPr>
      <w:r>
        <w:rPr>
          <w:rFonts w:ascii="Helvetica" w:hAnsi="Helvetica" w:cs="Helvetica" w:eastAsia="Helvetica"/>
          <w:sz w:val="18"/>
          <w:b w:val="on"/>
          <w:i w:val="off"/>
          <w:caps w:val="on"/>
          <w:u w:val="none"/>
        </w:rPr>
        <w:t>Rozdział 1. Przepisy ogólne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n"/>
          <w:i w:val="off"/>
          <w:caps w:val="off"/>
          <w:u w:val="none"/>
        </w:rPr>
        <w:t>Art. 1 [Zakres regulacji]</w:t>
      </w: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 xml:space="preserve"> Ustawa reguluje zasady ochrony gruntów rolnych i leśnych oraz rekultywacji i poprawiania wartości użytkowej gruntów.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n"/>
          <w:i w:val="off"/>
          <w:caps w:val="off"/>
          <w:u w:val="none"/>
        </w:rPr>
        <w:t>Art. 2 [Definicje]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1. Gruntami rolnymi, w rozumieniu ustawy, są grunty:</w:t>
      </w:r>
    </w:p>
    <w:p>
      <w:pPr>
        <w:spacing w:after="130" w:before="130" w:lineRule="auto" w:line="240"/>
        <w:ind w:left="22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1) określone w ewidencji gruntów jako użytki rolne;</w:t>
      </w:r>
    </w:p>
    <w:p>
      <w:pPr>
        <w:spacing w:after="130" w:before="130" w:lineRule="auto" w:line="240"/>
        <w:ind w:left="22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2) pod stawami rybnymi i innymi zbiornikami wodnymi, służącymi wyłącznie dla potrzeb rolnictwa;</w:t>
      </w:r>
    </w:p>
    <w:p>
      <w:pPr>
        <w:spacing w:after="130" w:before="130" w:lineRule="auto" w:line="240"/>
        <w:ind w:left="22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3) pod wchodzącymi w skład gospodarstw rolnych budynkami mieszkalnymi oraz innymi budynkami i urządzeniami służącymi wyłącznie produkcji rolniczej oraz przetwórstwu rolno-spożywczemu;</w:t>
      </w:r>
    </w:p>
    <w:p>
      <w:pPr>
        <w:spacing w:after="130" w:before="130" w:lineRule="auto" w:line="240"/>
        <w:ind w:left="22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3a) pod budynkami, budowlami i urządzeniami wchodzące w skład biogazowni rolniczej spełniającej warunki określone w art. 4 ust. 1 ustawy z dnia 13 lipca 2023 r. o ułatwieniach w przygotowaniu i realizacji inwestycji w zakresie biogazowni rolniczych, a także ich funkcjonowaniu (Dz.U. poz. 1597), a także grunty położone między tymi budynkami, budowlami i urządzeniami lub w bezpośrednim ich sąsiedztwie, tworzące zorganizowaną całość gospodarczą, w tym zajęte pod dojazdy, place składowe, postojowe i manewrowe, śmietniki, miejsca magazynowania odpadów i ogrodzenia, o ile ich łączna powierzchnia nie jest większa niż 1 ha i wchodzą one w skład gospodarstwa rolnego;</w:t>
      </w:r>
    </w:p>
    <w:p>
      <w:pPr>
        <w:spacing w:after="130" w:before="130" w:lineRule="auto" w:line="240"/>
        <w:ind w:left="22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4) pod budynkami i urządzeniami służącymi bezpośrednio do produkcji rolniczej uznanej za dział specjalny, stosownie do przepisów o podatku dochodowym od osób fizycznych i podatku dochodowym od osób prawnych;</w:t>
      </w:r>
    </w:p>
    <w:p>
      <w:pPr>
        <w:spacing w:after="130" w:before="130" w:lineRule="auto" w:line="240"/>
        <w:ind w:left="22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5) parków wiejskich oraz pod zadrzewieniami i zakrzewieniami śródpolnymi, w tym również pod pasami przeciwwietrznymi i urządzeniami przeciwerozyjnymi;</w:t>
      </w:r>
    </w:p>
    <w:p>
      <w:pPr>
        <w:spacing w:after="130" w:before="130" w:lineRule="auto" w:line="240"/>
        <w:ind w:left="22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6) rodzinnych ogrodów działkowych i ogrodów botanicznych;</w:t>
      </w:r>
    </w:p>
    <w:p>
      <w:pPr>
        <w:spacing w:after="130" w:before="130" w:lineRule="auto" w:line="240"/>
        <w:ind w:left="22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7) pod urządzeniami: melioracji wodnych, przeciwpowodziowych i przeciwpożarowych, zaopatrzenia rolnictwa w wodę, kanalizacji oraz utylizacji ścieków i odpadów dla potrzeb rolnictwa i mieszkańców wsi;</w:t>
      </w:r>
    </w:p>
    <w:p>
      <w:pPr>
        <w:spacing w:after="130" w:before="130" w:lineRule="auto" w:line="240"/>
        <w:ind w:left="22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8) zrekultywowane dla potrzeb rolnictwa;</w:t>
      </w:r>
    </w:p>
    <w:p>
      <w:pPr>
        <w:spacing w:after="130" w:before="130" w:lineRule="auto" w:line="240"/>
        <w:ind w:left="22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9) torfowisk i oczek wodnych;</w:t>
      </w:r>
    </w:p>
    <w:p>
      <w:pPr>
        <w:spacing w:after="130" w:before="130" w:lineRule="auto" w:line="240"/>
        <w:ind w:left="22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10) pod drogami dojazdowymi do gruntów rolnych.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2. Gruntami leśnymi, w rozumieniu ustawy, są grunty:</w:t>
      </w:r>
    </w:p>
    <w:p>
      <w:pPr>
        <w:spacing w:after="130" w:before="130" w:lineRule="auto" w:line="240"/>
        <w:ind w:left="22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1) określone jako lasy w przepisach o lasach;</w:t>
      </w:r>
    </w:p>
    <w:p>
      <w:pPr>
        <w:spacing w:after="130" w:before="130" w:lineRule="auto" w:line="240"/>
        <w:ind w:left="22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2) zrekultywowane dla potrzeb gospodarki leśnej;</w:t>
      </w:r>
    </w:p>
    <w:p>
      <w:pPr>
        <w:spacing w:after="130" w:before="130" w:lineRule="auto" w:line="240"/>
        <w:ind w:left="22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3) pod drogami dojazdowymi do gruntów leśnych.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3. Nie uważa się za grunty rolne gruntów znajdujących się pod parkami i ogrodami wpisanymi do rejestru zabytków.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n"/>
          <w:i w:val="off"/>
          <w:caps w:val="off"/>
          <w:u w:val="none"/>
        </w:rPr>
        <w:t>Art. 3 [Pojęcia]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1. Ochrona gruntów rolnych polega na:</w:t>
      </w:r>
    </w:p>
    <w:p>
      <w:pPr>
        <w:spacing w:after="130" w:before="130" w:lineRule="auto" w:line="240"/>
        <w:ind w:left="22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1) ograniczaniu przeznaczania ich na cele nierolnicze lub nieleśne;</w:t>
      </w:r>
    </w:p>
    <w:p>
      <w:pPr>
        <w:spacing w:after="130" w:before="130" w:lineRule="auto" w:line="240"/>
        <w:ind w:left="22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2) zapobieganiu procesom degradacji i dewastacji gruntów rolnych oraz szkodom w produkcji rolniczej, powstającym wskutek działalności nierolniczej i ruchów masowych ziemi;</w:t>
      </w:r>
    </w:p>
    <w:p>
      <w:pPr>
        <w:spacing w:after="130" w:before="130" w:lineRule="auto" w:line="240"/>
        <w:ind w:left="22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3) rekultywacji i zagospodarowaniu gruntów na cele rolnicze;</w:t>
      </w:r>
    </w:p>
    <w:p>
      <w:pPr>
        <w:spacing w:after="130" w:before="130" w:lineRule="auto" w:line="240"/>
        <w:ind w:left="22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4) zachowaniu torfowisk i oczek wodnych jako naturalnych zbiorników wodnych;</w:t>
      </w:r>
    </w:p>
    <w:p>
      <w:pPr>
        <w:spacing w:after="130" w:before="130" w:lineRule="auto" w:line="240"/>
        <w:ind w:left="22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5) ograniczaniu zmian naturalnego ukształtowania powierzchni ziemi.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2. Ochrona gruntów leśnych polega na:</w:t>
      </w:r>
    </w:p>
    <w:p>
      <w:pPr>
        <w:spacing w:after="130" w:before="130" w:lineRule="auto" w:line="240"/>
        <w:ind w:left="22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1) ograniczaniu przeznaczania ich na cele nieleśne lub nierolnicze;</w:t>
      </w:r>
    </w:p>
    <w:p>
      <w:pPr>
        <w:spacing w:after="130" w:before="130" w:lineRule="auto" w:line="240"/>
        <w:ind w:left="22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2) zapobieganiu procesom degradacji i dewastacji gruntów leśnych oraz szkodom w drzewostanach i produkcji leśnej, powstającym wskutek działalności nieleśnej i ruchów masowych ziemi;</w:t>
      </w:r>
    </w:p>
    <w:p>
      <w:pPr>
        <w:spacing w:after="130" w:before="130" w:lineRule="auto" w:line="240"/>
        <w:ind w:left="22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3) przywracaniu wartości użytkowej gruntom, które utraciły charakter gruntów leśnych wskutek działalności nieleśnej;</w:t>
      </w:r>
    </w:p>
    <w:p>
      <w:pPr>
        <w:spacing w:after="130" w:before="130" w:lineRule="auto" w:line="240"/>
        <w:ind w:left="22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4) poprawianiu ich wartości użytkowej oraz zapobieganiu obniżania ich produkcyjności;</w:t>
      </w:r>
    </w:p>
    <w:p>
      <w:pPr>
        <w:spacing w:after="130" w:before="130" w:lineRule="auto" w:line="240"/>
        <w:ind w:left="22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5) ograniczaniu zmian naturalnego ukształtowania powierzchni ziemi.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n"/>
          <w:i w:val="off"/>
          <w:caps w:val="off"/>
          <w:u w:val="none"/>
        </w:rPr>
        <w:t>Art. 4 [Słowniczek]</w:t>
      </w: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 xml:space="preserve"> Ilekroć w ustawie jest mowa o:</w:t>
      </w:r>
    </w:p>
    <w:p>
      <w:pPr>
        <w:spacing w:after="130" w:before="130" w:lineRule="auto" w:line="240"/>
        <w:ind w:left="22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1) gruntach bez bliższego określenia - rozumie się przez to grunty rolne i leśne;</w:t>
      </w:r>
    </w:p>
    <w:p>
      <w:pPr>
        <w:spacing w:after="130" w:before="130" w:lineRule="auto" w:line="240"/>
        <w:ind w:left="22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2) budynkach i urządzeniach służących wyłącznie produkcji rolniczej oraz przetwórstwu rolno-spożywczemu - rozumie się przez to budynki i urządzenia służące przechowywaniu środków produkcji, prowadzeniu produkcji rolniczej, przetwarzaniu i magazynowaniu wyprodukowanych w gospodarstwie produktów rolniczych;</w:t>
      </w:r>
    </w:p>
    <w:p>
      <w:pPr>
        <w:spacing w:after="130" w:before="130" w:lineRule="auto" w:line="240"/>
        <w:ind w:left="22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3) osobach - rozumie się przez to osobę fizyczną lub prawną albo jednostkę organizacyjną nieposiadającą osobowości prawnej;</w:t>
      </w:r>
    </w:p>
    <w:p>
      <w:pPr>
        <w:spacing w:after="130" w:before="130" w:lineRule="auto" w:line="240"/>
        <w:ind w:left="22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4) właścicielu - rozumie się przez to również posiadacza samoistnego, zarządcę lub użytkownika, użytkownika wieczystego i dzierżawcę;</w:t>
      </w:r>
    </w:p>
    <w:p>
      <w:pPr>
        <w:spacing w:after="130" w:before="130" w:lineRule="auto" w:line="240"/>
        <w:ind w:left="22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5) wójcie - rozumie się przez to również burmistrza lub prezydenta miasta;</w:t>
      </w:r>
    </w:p>
    <w:p>
      <w:pPr>
        <w:spacing w:after="130" w:before="130" w:lineRule="auto" w:line="240"/>
        <w:ind w:left="22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6) przeznaczeniu gruntów na cele nierolnicze lub nieleśne - rozumie się przez to ustalenie innego niż rolniczy lub leśny sposobu użytkowania gruntów rolnych oraz innego niż leśny sposobu użytkowania gruntów leśnych;</w:t>
      </w:r>
    </w:p>
    <w:p>
      <w:pPr>
        <w:spacing w:after="130" w:before="130" w:lineRule="auto" w:line="240"/>
        <w:ind w:left="22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7) warstwie próchnicznej - rozumie się przez to wierzchnią warstwę gleby o zawartości powyżej 1,5% próchnicy glebowej; miąższość tej warstwy określa się w decyzji, o której mowa w art. 11 ust. 1;</w:t>
      </w:r>
    </w:p>
    <w:p>
      <w:pPr>
        <w:spacing w:after="130" w:before="130" w:lineRule="auto" w:line="240"/>
        <w:ind w:left="22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8) glebach pochodzenia organicznego - rozumie się przez to wytworzone przy udziale materii organicznej, w warunkach nadmiernego uwilgotnienia, gleby torfowe i murszowe;</w:t>
      </w:r>
    </w:p>
    <w:p>
      <w:pPr>
        <w:spacing w:after="130" w:before="130" w:lineRule="auto" w:line="240"/>
        <w:ind w:left="22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9) glebach pochodzenia mineralnego - rozumie się przez to inne gleby niż wymienione w pkt 8;</w:t>
      </w:r>
    </w:p>
    <w:p>
      <w:pPr>
        <w:spacing w:after="130" w:before="130" w:lineRule="auto" w:line="240"/>
        <w:ind w:left="22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10) oczkach wodnych - rozumie się przez to naturalne śródpolne i śródleśne zbiorniki wodne o powierzchni do 1 ha, niepodlegające klasyfikacji gleboznawczej;</w:t>
      </w:r>
    </w:p>
    <w:p>
      <w:pPr>
        <w:spacing w:after="130" w:before="130" w:lineRule="auto" w:line="240"/>
        <w:ind w:left="22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11) wyłączeniu gruntów z produkcji - rozumie się przez to rozpoczęcie innego niż rolnicze lub leśne użytkowanie gruntów; nie uważa się za wyłączenie z produkcji gruntów, o których mowa w art. 2 ust. 1 pkt 3, jeżeli przerwa w rolniczym użytkowaniu tych obiektów jest spowodowana zmianą kierunków produkcji rolniczej i trwa nie dłużej niż 5 lat;</w:t>
      </w:r>
    </w:p>
    <w:p>
      <w:pPr>
        <w:spacing w:after="130" w:before="130" w:lineRule="auto" w:line="240"/>
        <w:ind w:left="22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12) należności - rozumie się przez to jednorazową opłatę z tytułu trwałego wyłączenia gruntów z produkcji;</w:t>
      </w:r>
    </w:p>
    <w:p>
      <w:pPr>
        <w:spacing w:after="130" w:before="130" w:lineRule="auto" w:line="240"/>
        <w:ind w:left="22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13) opłacie rocznej - rozumie się przez to opłatę roczną z tytułu użytkowania na cele nierolnicze lub nieleśne gruntów wyłączonych z produkcji, w wysokości 10% należności, uiszczaną: w razie trwałego wyłączenia - przez lat 10, a w przypadku nietrwałego wyłączenia - przez okres tego wyłączenia, nie dłużej jednak niż przez 20 lat od chwili wyłączenia tych gruntów z produkcji;</w:t>
      </w:r>
    </w:p>
    <w:p>
      <w:pPr>
        <w:spacing w:after="130" w:before="130" w:lineRule="auto" w:line="240"/>
        <w:ind w:left="22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14) obszarach ograniczonego użytkowania - rozumie się przez to obszary tworzone na podstawie przepisów o ochronie środowiska;</w:t>
      </w:r>
    </w:p>
    <w:p>
      <w:pPr>
        <w:spacing w:after="130" w:before="130" w:lineRule="auto" w:line="240"/>
        <w:ind w:left="22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15) utracie albo ograniczeniu wartości użytkowej gruntów - rozumie się przez to całkowity zanik albo zmniejszenie zdolności produkcyjnej gruntów;</w:t>
      </w:r>
    </w:p>
    <w:p>
      <w:pPr>
        <w:spacing w:after="130" w:before="130" w:lineRule="auto" w:line="240"/>
        <w:ind w:left="22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16) gruntach zdegradowanych - rozumie się przez to grunty, których rolnicza lub leśna wartość użytkowa zmalała, w szczególności w wyniku pogorszenia się warunków przyrodniczych albo wskutek zmian środowiska oraz działalności przemysłowej, a także wadliwej działalności rolniczej;</w:t>
      </w:r>
    </w:p>
    <w:p>
      <w:pPr>
        <w:spacing w:after="130" w:before="130" w:lineRule="auto" w:line="240"/>
        <w:ind w:left="22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17) gruntach zdewastowanych - rozumie się przez to grunty, które utraciły całkowicie wartość użytkową w wyniku przyczyn, o których mowa w pkt 16;</w:t>
      </w:r>
    </w:p>
    <w:p>
      <w:pPr>
        <w:spacing w:after="130" w:before="130" w:lineRule="auto" w:line="240"/>
        <w:ind w:left="22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18) rekultywacji gruntów - rozumie się przez to nadanie lub przywrócenie gruntom zdegradowanym albo zdewastowanym wartości użytkowych lub przyrodniczych przez właściwe ukształtowanie rzeźby terenu, poprawienie właściwości fizycznych i chemicznych, uregulowanie stosunków wodnych, odtworzenie gleb, umocnienie skarp oraz odbudowanie lub zbudowanie niezbędnych dróg;</w:t>
      </w:r>
    </w:p>
    <w:p>
      <w:pPr>
        <w:spacing w:after="130" w:before="130" w:lineRule="auto" w:line="240"/>
        <w:ind w:left="22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19) zagospodarowaniu gruntów - rozumie się przez to rolnicze, leśne lub inne użytkowanie gruntów zrekultywowanych;</w:t>
      </w:r>
    </w:p>
    <w:p>
      <w:pPr>
        <w:spacing w:after="130" w:before="130" w:lineRule="auto" w:line="240"/>
        <w:ind w:left="22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20) drogach dojazdowych do gruntów rolnych i leśnych - rozumie się przez to drogi zakładowe prowadzące do gospodarstw rolnych i leśnych oraz drogi wiejskie w rozumieniu przepisów o drogach publicznych;</w:t>
      </w:r>
    </w:p>
    <w:p>
      <w:pPr>
        <w:spacing w:after="130" w:before="130" w:lineRule="auto" w:line="240"/>
        <w:ind w:left="22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21) urządzeniach turystycznych - rozumie się przez to parkingi, pola biwakowe, wieże widokowe, kładki, szlaki turystyczne (ścieżki dydaktyczne) i miejsca widokowe;</w:t>
      </w:r>
    </w:p>
    <w:p>
      <w:pPr>
        <w:spacing w:after="130" w:before="130" w:lineRule="auto" w:line="240"/>
        <w:ind w:left="22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22) planie urządzenia lasu - rozumie się przez to plan urządzenia lasu, określony w przepisach o lasach;</w:t>
      </w:r>
    </w:p>
    <w:p>
      <w:pPr>
        <w:spacing w:after="130" w:before="130" w:lineRule="auto" w:line="240"/>
        <w:ind w:left="22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23) typie siedliskowym lasu - rozumie się przez to jednostkę klasyfikacji siedlisk leśnych, stosowaną w planie urządzenia lasu;</w:t>
      </w:r>
    </w:p>
    <w:p>
      <w:pPr>
        <w:spacing w:after="130" w:before="130" w:lineRule="auto" w:line="240"/>
        <w:ind w:left="22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24) inwestycji - rozumie się przez to budowę, jak również modernizację budowli lub urządzeń, które wymagają wyłączenia gruntów z produkcji;</w:t>
      </w:r>
    </w:p>
    <w:p>
      <w:pPr>
        <w:spacing w:after="130" w:before="130" w:lineRule="auto" w:line="240"/>
        <w:ind w:left="22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25) zakładzie przemysłowym - rozumie się przez to osobę, której działalność może powodować utratę lub ograniczenie wartości użytkowej gruntów;</w:t>
      </w:r>
    </w:p>
    <w:p>
      <w:pPr>
        <w:spacing w:after="130" w:before="130" w:lineRule="auto" w:line="240"/>
        <w:ind w:left="22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26) działalności przemysłowej - rozumie się przez to działalność nierolniczą i nieleśną, powodującą utratę albo ograniczenie wartości użytkowej gruntów;</w:t>
      </w:r>
    </w:p>
    <w:p>
      <w:pPr>
        <w:spacing w:after="130" w:before="130" w:lineRule="auto" w:line="240"/>
        <w:ind w:left="22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27) przepływie nienaruszalnym - rozumie się przez to przepływ minimalnej ilości wody, niezbędnej do utrzymania życia biologicznego w cieku wodnym;</w:t>
      </w:r>
    </w:p>
    <w:p>
      <w:pPr>
        <w:spacing w:after="130" w:before="130" w:lineRule="auto" w:line="240"/>
        <w:ind w:left="22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28) ruchach masowych ziemi - rozumie się przez to ruchy masowe ziemi w rozumieniu przepisów ustawy z dnia 27 kwietnia 2001 r. - Prawo ochrony środowiska (Dz.U. z 2022 r. poz. 2556, z późn. zm.</w:t>
      </w:r>
      <w:r>
        <w:rPr>
          <w:rStyle w:val="FootnoteReference"/>
        </w:rPr>
        <w:footnoteReference w:id="1"/>
      </w: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);</w:t>
      </w:r>
    </w:p>
    <w:p>
      <w:pPr>
        <w:spacing w:after="130" w:before="130" w:lineRule="auto" w:line="240"/>
        <w:ind w:left="22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29)</w:t>
      </w:r>
      <w:r>
        <w:rPr>
          <w:rFonts w:ascii="Helvetica" w:hAnsi="Helvetica" w:cs="Helvetica" w:eastAsia="Helvetica"/>
          <w:sz w:val="18"/>
          <w:b w:val="off"/>
          <w:i w:val="on"/>
          <w:caps w:val="off"/>
          <w:u w:val="none"/>
        </w:rPr>
        <w:t xml:space="preserve"> (uchylony)</w:t>
      </w:r>
    </w:p>
    <w:p>
      <w:pPr>
        <w:spacing w:after="130" w:before="130" w:lineRule="auto" w:line="240"/>
        <w:ind w:left="22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30)</w:t>
      </w:r>
      <w:r>
        <w:rPr>
          <w:rFonts w:ascii="Helvetica" w:hAnsi="Helvetica" w:cs="Helvetica" w:eastAsia="Helvetica"/>
          <w:sz w:val="18"/>
          <w:b w:val="off"/>
          <w:i w:val="on"/>
          <w:caps w:val="off"/>
          <w:u w:val="none"/>
        </w:rPr>
        <w:t xml:space="preserve"> (uchylony)</w:t>
      </w:r>
    </w:p>
    <w:p>
      <w:pPr>
        <w:spacing w:after="130" w:before="130" w:lineRule="auto" w:line="240"/>
        <w:ind w:left="22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31) zabudowie zagrodowej - rozumie się przez to budynki mieszkalne oraz budynki i urządzenia służące wyłącznie produkcji rolniczej oraz przetwórstwu rolno-spożywczemu, jeżeli są położone na gruntach rolnych i wchodzą w skład gospodarstwa rolnego;</w:t>
      </w:r>
    </w:p>
    <w:p>
      <w:pPr>
        <w:spacing w:after="130" w:before="130" w:lineRule="auto" w:line="240"/>
        <w:ind w:left="22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32) gospodarstwie rolnym - rozumie się przez to gospodarstwo rolne w rozumieniu art. 55</w:t>
      </w: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  <w:vertAlign w:val="superscript"/>
        </w:rPr>
        <w:t>3</w:t>
      </w: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 xml:space="preserve"> ustawy z dnia 23 kwietnia 1964 r. - Kodeks cywilny (Dz.U. z 2023 r. poz. 1610, 1615, 1890 i 1933);</w:t>
      </w:r>
    </w:p>
    <w:p>
      <w:pPr>
        <w:spacing w:after="130" w:before="130" w:lineRule="auto" w:line="240"/>
        <w:ind w:left="22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33) działalności rolniczej - rozumie się przez to działalność rolniczą w rozumieniu art. 2 ust. 2 ustawy z dnia 26 lipca 1991 r. o podatku dochodowym od osób fizycznych (Dz.U. z 2022 r. poz. 2647, z późn. zm.</w:t>
      </w:r>
      <w:r>
        <w:rPr>
          <w:rStyle w:val="FootnoteReference"/>
        </w:rPr>
        <w:footnoteReference w:id="0"/>
      </w: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).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n"/>
          <w:i w:val="off"/>
          <w:caps w:val="off"/>
          <w:u w:val="none"/>
        </w:rPr>
        <w:t>Art. 5 [Właściwość organów]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1. Jeżeli przepisy niniejszej ustawy nie stanowią inaczej, właściwym w sprawach ochrony gruntów rolnych jest starosta, a gruntów leśnych - dyrektor regionalnej dyrekcji Lasów Państwowych, z wyjątkiem obszarów parków narodowych, gdzie właściwym jest dyrektor parku.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2. Zadania starosty, o których mowa w ustawie, są zadaniami z zakresu administracji rządowej.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3. Zadania marszałka województwa, o których mowa w art. 7 ust. 2 i 4, art. 22c oraz w art. 26 ust. 1, są zadaniami własnymi samorządu województwa.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n"/>
          <w:i w:val="off"/>
          <w:caps w:val="off"/>
          <w:u w:val="none"/>
        </w:rPr>
        <w:t>Art. 5a</w:t>
      </w:r>
      <w:r>
        <w:rPr>
          <w:rFonts w:ascii="Helvetica" w:hAnsi="Helvetica" w:cs="Helvetica" w:eastAsia="Helvetica"/>
          <w:sz w:val="18"/>
          <w:b w:val="off"/>
          <w:i w:val="on"/>
          <w:caps w:val="off"/>
          <w:u w:val="none"/>
        </w:rPr>
        <w:t xml:space="preserve"> (uchylony)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n"/>
          <w:i w:val="off"/>
          <w:caps w:val="off"/>
          <w:u w:val="none"/>
        </w:rPr>
        <w:t>Art. 5b</w:t>
      </w:r>
      <w:r>
        <w:rPr>
          <w:rFonts w:ascii="Helvetica" w:hAnsi="Helvetica" w:cs="Helvetica" w:eastAsia="Helvetica"/>
          <w:sz w:val="18"/>
          <w:b w:val="off"/>
          <w:i w:val="on"/>
          <w:caps w:val="off"/>
          <w:u w:val="none"/>
        </w:rPr>
        <w:t xml:space="preserve"> (uchylony)</w:t>
      </w:r>
    </w:p>
    <w:p>
      <w:pPr>
        <w:spacing w:after="130" w:before="130" w:lineRule="auto" w:line="240"/>
        <w:jc w:val="center"/>
      </w:pPr>
      <w:pPr>
        <w:suppressAutoHyphens/>
      </w:pPr>
      <w:r>
        <w:rPr>
          <w:rFonts w:ascii="Helvetica" w:hAnsi="Helvetica" w:cs="Helvetica" w:eastAsia="Helvetica"/>
          <w:sz w:val="18"/>
          <w:b w:val="on"/>
          <w:i w:val="off"/>
          <w:caps w:val="on"/>
          <w:u w:val="none"/>
        </w:rPr>
        <w:t>Rozdział 2. Ograniczanie przeznaczania gruntów na cele nierolnicze i nieleśne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n"/>
          <w:i w:val="off"/>
          <w:caps w:val="off"/>
          <w:u w:val="none"/>
        </w:rPr>
        <w:t>Art. 6 [Zasada]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1. Na cele nierolnicze i nieleśne można przeznaczać przede wszystkim grunty oznaczone w ewidencji gruntów jako nieużytki, a w razie ich braku - inne grunty o najniższej przydatności produkcyjnej.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2. Przy budowie, rozbudowie lub modernizacji obiektów związanych z działalnością przemysłową, a także innych obiektów budowlanych należy stosować takie rozwiązania, które ograniczają skutki ujemnego oddziaływania na grunty.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n"/>
          <w:i w:val="off"/>
          <w:caps w:val="off"/>
          <w:u w:val="none"/>
        </w:rPr>
        <w:t>Art. 7 [Prymat miejscowego planu zagospodarowania przestrzennego]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1. Przeznaczenia gruntów rolnych i leśnych na cele nierolnicze i nieleśne, wymagającego zgody, o której mowa w ust. 2, dokonuje się w miejscowym planie zagospodarowania przestrzennego, sporządzonym w trybie określonym w przepisach o planowaniu i zagospodarowaniu przestrzennym.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1a. Przepisu, o którym mowa w ust. 1, nie stosuje się do terenów, dla których miejscowego planu zagospodarowania przestrzennego nie sporządza się.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2. Przeznaczenie na cele nierolnicze i nieleśne:</w:t>
      </w:r>
    </w:p>
    <w:p>
      <w:pPr>
        <w:spacing w:after="130" w:before="130" w:lineRule="auto" w:line="240"/>
        <w:ind w:left="22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1) gruntów rolnych stanowiących użytki rolne klas I-III - wymaga uzyskania zgody ministra właściwego do spraw rozwoju wsi, z zastrzeżeniem ust. 2a,</w:t>
      </w:r>
    </w:p>
    <w:p>
      <w:pPr>
        <w:spacing w:after="130" w:before="130" w:lineRule="auto" w:line="240"/>
        <w:ind w:left="22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2) gruntów leśnych stanowiących własność Skarbu Państwa - wymaga uzyskania zgody</w:t>
      </w:r>
      <w:r>
        <w:rPr>
          <w:rFonts w:ascii="Helvetica" w:hAnsi="Helvetica" w:cs="Helvetica" w:eastAsia="Helvetica"/>
          <w:sz w:val="18"/>
          <w:b w:val="off"/>
          <w:i w:val="on"/>
          <w:caps w:val="off"/>
          <w:u w:val="none"/>
        </w:rPr>
        <w:t xml:space="preserve"> Ministra Ochrony Środowiska, Zasobów Naturalnych i Leśnictwa</w:t>
      </w:r>
      <w:r>
        <w:rPr>
          <w:rStyle w:val="FootnoteReference"/>
        </w:rPr>
        <w:footnoteReference w:id="1"/>
      </w: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 xml:space="preserve"> lub upoważnionej przez niego osoby,</w:t>
      </w:r>
    </w:p>
    <w:p>
      <w:pPr>
        <w:spacing w:after="130" w:before="130" w:lineRule="auto" w:line="240"/>
        <w:ind w:left="22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3)</w:t>
      </w:r>
      <w:r>
        <w:rPr>
          <w:rFonts w:ascii="Helvetica" w:hAnsi="Helvetica" w:cs="Helvetica" w:eastAsia="Helvetica"/>
          <w:sz w:val="18"/>
          <w:b w:val="off"/>
          <w:i w:val="on"/>
          <w:caps w:val="off"/>
          <w:u w:val="none"/>
        </w:rPr>
        <w:t xml:space="preserve"> (uchylony)</w:t>
      </w:r>
    </w:p>
    <w:p>
      <w:pPr>
        <w:spacing w:after="130" w:before="130" w:lineRule="auto" w:line="240"/>
        <w:ind w:left="22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4)</w:t>
      </w:r>
      <w:r>
        <w:rPr>
          <w:rFonts w:ascii="Helvetica" w:hAnsi="Helvetica" w:cs="Helvetica" w:eastAsia="Helvetica"/>
          <w:sz w:val="18"/>
          <w:b w:val="off"/>
          <w:i w:val="on"/>
          <w:caps w:val="off"/>
          <w:u w:val="none"/>
        </w:rPr>
        <w:t xml:space="preserve"> (uchylony)</w:t>
      </w:r>
    </w:p>
    <w:p>
      <w:pPr>
        <w:spacing w:after="130" w:before="130" w:lineRule="auto" w:line="240"/>
        <w:ind w:left="22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5) pozostałych gruntów leśnych</w:t>
      </w:r>
    </w:p>
    <w:p>
      <w:pPr>
        <w:spacing w:after="130" w:before="130" w:lineRule="auto" w:line="240"/>
        <w:ind w:left="22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- wymaga uzyskania zgody marszałka województwa wyrażanej po uzyskaniu opinii izby rolniczej.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2a. Nie wymaga uzyskania zgody ministra właściwego do spraw rozwoju wsi przeznaczenie na cele nierolnicze i nieleśne gruntów rolnych stanowiących użytki rolne klas I-III położonych na obszarze uzupełnienia zabudowy w rozumieniu przepisów o planowaniu i zagospodarowaniu przestrzennym.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3. Wyrażenie zgody, o której mowa w ust. 2 pkt 1, 2 i 5, następuje na wniosek wójta (burmistrza, prezydenta miasta). Do wniosku dotyczącego gruntów leśnych stanowiących własność Skarbu Państwa wójt (burmistrz, prezydent miasta) dołącza opinię dyrektora regionalnej dyrekcji Lasów Państwowych, a w odniesieniu do gruntów parków narodowych - opinię dyrektora parku.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3a. Stroną w postępowaniu, o którym mowa w ust. 2, jest wójt (burmistrz, prezydent miasta).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4. Do wniosku dotyczącego gruntów, o których mowa w ust. 2 pkt 1 i 2, marszałek województwa dołącza swoją opinię i przekazuje wniosek odpowiedniemu ministrowi w terminie do 30 dni od chwili złożenia wniosku przez wójta (burmistrza, prezydenta miasta).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5.</w:t>
      </w:r>
      <w:r>
        <w:rPr>
          <w:rFonts w:ascii="Helvetica" w:hAnsi="Helvetica" w:cs="Helvetica" w:eastAsia="Helvetica"/>
          <w:sz w:val="18"/>
          <w:b w:val="off"/>
          <w:i w:val="on"/>
          <w:caps w:val="off"/>
          <w:u w:val="none"/>
        </w:rPr>
        <w:t xml:space="preserve"> (uchylony)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6.</w:t>
      </w:r>
      <w:r>
        <w:rPr>
          <w:rFonts w:ascii="Helvetica" w:hAnsi="Helvetica" w:cs="Helvetica" w:eastAsia="Helvetica"/>
          <w:sz w:val="18"/>
          <w:b w:val="off"/>
          <w:i w:val="on"/>
          <w:caps w:val="off"/>
          <w:u w:val="none"/>
        </w:rPr>
        <w:t xml:space="preserve"> (uchylony)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n"/>
          <w:i w:val="off"/>
          <w:caps w:val="off"/>
          <w:u w:val="none"/>
        </w:rPr>
        <w:t>Art. 8 [Wyłączenie stosowania]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1. Przepisów art. 7 nie stosuje się do okresowego, na czas nie dłuższy niż 10 lat, wyłączenia gruntów z produkcji w zakresie niezbędnym do:</w:t>
      </w:r>
    </w:p>
    <w:p>
      <w:pPr>
        <w:spacing w:after="130" w:before="130" w:lineRule="auto" w:line="240"/>
        <w:ind w:left="22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1) podjęcia natychmiastowych działań interwencyjnych niezbędnych do zwalczania klęsk żywiołowych i ich następstw, jak również usuwania następstw wypadków losowych;</w:t>
      </w:r>
    </w:p>
    <w:p>
      <w:pPr>
        <w:spacing w:after="130" w:before="130" w:lineRule="auto" w:line="240"/>
        <w:ind w:left="22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2) poszukiwania lub rozpoznawania węglowodorów, węgla kamiennego, węgla brunatnego, rud metali, z wyjątkiem darniowych rud żelaza, metali w stanie rodzimym, rud pierwiastków promieniotwórczych, siarki rodzimej, soli kamiennej, soli potasowej, gipsu i anhydrytu, kamieni szlachetnych.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2. Wyłączenie, o którym mowa w ust. 1, nie zwalnia z obowiązków określonych w rozdziale 5, a wyłączenie dokonane na cele określone w ust. 1 pkt 2 - z obowiązków określonych w rozdziale 3.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n"/>
          <w:i w:val="off"/>
          <w:caps w:val="off"/>
          <w:u w:val="none"/>
        </w:rPr>
        <w:t>Art. 9 [Odesłanie]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1. Zasady zaliczania lasów do lasów ochronnych określają przepisy o lasach.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2. W lasach ochronnych mogą być wznoszone budynki i budowle służące gospodarce leśnej, obronności lub bezpieczeństwu państwa, oznakowaniu nawigacyjnemu, geodezyjnemu, ochronie zdrowia oraz urządzenia służące turystyce.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3. W przypadkach uzasadnionych ważnymi względami społecznymi i brakiem innych gruntów lasy ochronne mogą być przeznaczone na inne cele niż określone w ust. 2, po uzyskaniu zgody właściwego organu wymienionego w art. 7 ust. 2.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n"/>
          <w:i w:val="off"/>
          <w:caps w:val="off"/>
          <w:u w:val="none"/>
        </w:rPr>
        <w:t>Art. 10 [Wymagania wniosku]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1. Wniosek, o którym mowa w art. 7 ust. 4, powinien zawierać:</w:t>
      </w:r>
    </w:p>
    <w:p>
      <w:pPr>
        <w:spacing w:after="130" w:before="130" w:lineRule="auto" w:line="240"/>
        <w:ind w:left="22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1) uzasadnienie potrzeby zmiany przeznaczenia gruntów, o których mowa w art. 7 ust. 2;</w:t>
      </w:r>
    </w:p>
    <w:p>
      <w:pPr>
        <w:spacing w:after="130" w:before="130" w:lineRule="auto" w:line="240"/>
        <w:ind w:left="22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2) wykaz powierzchni gruntów, o których mowa w pkt 1, z uwzględnieniem klas bonitacyjnych gruntów rolnych i typów siedliskowych gruntów leśnych;</w:t>
      </w:r>
    </w:p>
    <w:p>
      <w:pPr>
        <w:spacing w:after="130" w:before="130" w:lineRule="auto" w:line="240"/>
        <w:ind w:left="22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3) ekonomiczne uzasadnienie projektowanego przeznaczenia, uwzględniające w szczególności:</w:t>
      </w:r>
    </w:p>
    <w:p>
      <w:pPr>
        <w:spacing w:after="130" w:before="130" w:lineRule="auto" w:line="240"/>
        <w:ind w:left="44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a) sumę należności i opłat rocznych za grunty projektowane do przeznaczenia na cele nierolnicze i nieleśne,</w:t>
      </w:r>
    </w:p>
    <w:p>
      <w:pPr>
        <w:spacing w:after="130" w:before="130" w:lineRule="auto" w:line="240"/>
        <w:ind w:left="44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b) przewidywany rozmiar strat, które poniesie rolnictwo i leśnictwo w wyniku ujemnego oddziaływania inwestycji lokalizowanych na gruntach projektowanych do przeznaczenia na cele nierolnicze i nieleśne.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2. Do wniosku powinna być dołączona mapa gminy lub miasta, z oznaczeniem gruntów zabudowanych, z wyjątkiem gruntów, o których mowa w art. 2 ust. 1 pkt 3 i 4 oraz ust. 2 pkt 1, klas bonitacyjnych gruntów rolnych i typów siedliskowych gruntów leśnych oraz granic gruntów, o których mowa w ust. 1 pkt 1, wykonana w skali takiej jak część graficzna miejscowego planu zagospodarowania przestrzennego. W odniesieniu do gruntów leśnych mapa stanowiąca załącznik do wniosku zawiera treść mapy gospodarczej lasów.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3. Wniosek, o którym mowa w ust. 1, dotyczący gruntów o obszarze ponad 10 ha na cele inwestycji górniczych, powinien zawierać oprócz danych określonych w ust. 1 i 2 także wariantowe rozwiązania w zakresie rekultywacji i zagospodarowania gruntów w trakcie i po zakończeniu działalności przemysłowej, określające dla każdego wariantu koszty rekultywacji i zagospodarowania oraz straty, które poniesie rolnictwo i leśnictwo.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4. Organ wyrażający zgodę, o którym mowa w art. 7 ust. 2, może w szczególnie uzasadnionym przypadku odstąpić od wymogu przedkładania uzasadnienia ekonomicznego oraz rozwiązań wariantowych, o których mowa w ust. 3.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n"/>
          <w:i w:val="off"/>
          <w:caps w:val="off"/>
          <w:u w:val="none"/>
        </w:rPr>
        <w:t>Art. 10a [Wyłączenie stosowania]</w:t>
      </w: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 xml:space="preserve"> Przepisów rozdziału 2 nie stosuje się do gruntów rolnych położonych w granicach administracyjnych miast.</w:t>
      </w:r>
    </w:p>
    <w:p>
      <w:pPr>
        <w:spacing w:after="130" w:before="130" w:lineRule="auto" w:line="240"/>
        <w:jc w:val="center"/>
      </w:pPr>
      <w:pPr>
        <w:suppressAutoHyphens/>
      </w:pPr>
      <w:r>
        <w:rPr>
          <w:rFonts w:ascii="Helvetica" w:hAnsi="Helvetica" w:cs="Helvetica" w:eastAsia="Helvetica"/>
          <w:sz w:val="18"/>
          <w:b w:val="on"/>
          <w:i w:val="off"/>
          <w:caps w:val="on"/>
          <w:u w:val="none"/>
        </w:rPr>
        <w:t>Rozdział 3. Wyłączanie gruntów z produkcji rolniczej lub leśnej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n"/>
          <w:i w:val="off"/>
          <w:caps w:val="off"/>
          <w:u w:val="none"/>
        </w:rPr>
        <w:t>Art. 11 [Decyzja o wyłączeniu]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1. Wyłączenie z produkcji użytków rolnych wytworzonych z gleb pochodzenia mineralnego i organicznego, zaliczonych do klas I, II, III, IIIa, IIIb, oraz użytków rolnych klas IV, IVa, IVb, V i VI wytworzonych z gleb pochodzenia organicznego, a także gruntów, o których mowa w art. 2 ust. 1 pkt 2-10, oraz gruntów leśnych, przeznaczonych na cele nierolnicze i nieleśne - może nastąpić po wydaniu decyzji zezwalających na takie wyłączenie.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1a. W decyzji dotyczącej wyłączenia z produkcji użytków rolnych wytworzonych z gleb pochodzenia mineralnego i organicznego, zaliczonych do klas I, II, III, IIIa, IIIb, a także gruntów, o których mowa w art. 2 ust. 1 pkt 2-10, oraz gruntów leśnych, przeznaczonych na cele nierolnicze i nieleśne określa się obowiązki związane z wyłączeniem.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1b. Wniosek o wyłączenie z produkcji użytków rolnych klas IV, IVa, IVb, V i VI wytworzonych z gleb pochodzenia organicznego jest wiążący, a decyzja ma charakter deklaratoryjny.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2. W odniesieniu do gruntów wchodzących w skład parków narodowych decyzje, o których mowa w ust. 1 i 1a, wydają dyrektorzy tych parków.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3. Decyzje, o których mowa w ust. 1-2, dotyczące gruntów wymienionych w art. 8, mogą być wydane po dniu faktycznego wyłączenia gruntów z produkcji.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4. Wydanie decyzji, o których mowa w ust. 1 i 2, następuje przed uzyskaniem pozwolenia na budowę albo dokonaniem zgłoszenia budowy lub wykonania robót budowlanych, o których mowa w ustawie z dnia 7 lipca 1994 r. - Prawo budowlane (Dz.U. z 2023 r. poz. 682, z późn. zm.</w:t>
      </w:r>
      <w:r>
        <w:rPr>
          <w:rStyle w:val="FootnoteReference"/>
        </w:rPr>
        <w:footnoteReference w:id="2"/>
      </w: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).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4a. Decyzje, o których mowa w ust. 1 i 2, dołącza się do wniosku o pozwolenie na budowę albo zgłoszenia budowy lub wykonania robót budowlanych, o których mowa w ustawie z dnia 7 lipca 1994 r. - Prawo budowlane.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5. Osoba ubiegająca się o wydanie decyzji, o których mowa w ust. 1-2, celem wydobywania torfów jest obowiązana przedstawić właściwemu organowi następujące dokumenty:</w:t>
      </w:r>
    </w:p>
    <w:p>
      <w:pPr>
        <w:spacing w:after="130" w:before="130" w:lineRule="auto" w:line="240"/>
        <w:ind w:left="22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1) dokumentację określającą położenie, powierzchnię i miąższość torfowiska oraz rodzaj występującego tam torfu;</w:t>
      </w:r>
    </w:p>
    <w:p>
      <w:pPr>
        <w:spacing w:after="130" w:before="130" w:lineRule="auto" w:line="240"/>
        <w:ind w:left="22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2) projekt eksploatacji, uwzględniający podział na etapy i termin jej zakończenia;</w:t>
      </w:r>
    </w:p>
    <w:p>
      <w:pPr>
        <w:spacing w:after="130" w:before="130" w:lineRule="auto" w:line="240"/>
        <w:ind w:left="22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3) projekt rekultywacji torfowiska i termin jej zakończenia;</w:t>
      </w:r>
    </w:p>
    <w:p>
      <w:pPr>
        <w:spacing w:after="130" w:before="130" w:lineRule="auto" w:line="240"/>
        <w:ind w:left="22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4) ocenę wpływu eksploatacji torfowiska na środowisko przyrodnicze, ze szczególnym uwzględnieniem gospodarki wodnej.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6. Nie wymaga się decyzji, o których mowa w ust. 1-2, jeżeli grunty rolne mają być użytkowane na cele leśne.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n"/>
          <w:i w:val="off"/>
          <w:caps w:val="off"/>
          <w:u w:val="none"/>
        </w:rPr>
        <w:t>Art. 12 [Należności i opłaty roczne; odszkodowanie]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1. Osoba, która uzyskała zezwolenie na wyłączenie gruntów z produkcji, jest obowiązana uiścić należność i opłaty roczne, a w odniesieniu do gruntów leśnych - także jednorazowe odszkodowanie w razie dokonania przedwczesnego wyrębu drzewostanu. Obowiązek taki powstaje od dnia faktycznego wyłączenia gruntów z produkcji.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2. Właściciel, który w okresie 2 lat zrezygnuje w całości lub w części z uzyskanego prawa do wyłączenia gruntów z produkcji rolniczej lub leśnej, otrzymuje zwrot należności, jaką uiścił, odpowiednio do powierzchni gruntów niewyłączonych z produkcji. Zwrot uiszczonej należności następuje w terminie do trzech miesięcy od dnia zgłoszenia rezygnacji.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3. W razie zbycia gruntów, co do których wydano decyzje, o których mowa w art. 11 ust. 1-2, a niewyłączonych jeszcze z produkcji, obowiązek uiszczenia należności i opłat rocznych ciąży na nabywcy, który wyłączył grunt z produkcji. Zbywający jest obowiązany uprzedzić nabywcę o tym obowiązku.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4. W razie zbycia gruntów wyłączonych z produkcji, obowiązek uiszczania opłat rocznych przechodzi na nabywcę. Zbywający jest obowiązany uprzedzić o tym nabywcę.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5. Wysokość jednorazowego odszkodowania za przedwczesny wyrąb drzewostanu stanowi różnicę między spodziewaną wartością drzewostanu w wieku rębności, określonym w planie urządzania lasu, a wartością w chwili jego wyrębu. W drzewostanach młodszych, w których nie można pozyskać sortymentów drzewnych, odszkodowanie to stanowi wartość kosztów poniesionych na założenie i pielęgnację drzewostanów.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5a. Minister właściwy do spraw środowiska określa, w drodze rozporządzenia, szczegółowe zasady ustalania jednorazowego odszkodowania, o którym mowa w ust. 5, za przedwczesny wyrąb drzewostanu, uwzględniając wartość drzewostanów, stopień zadrzewienia drzewostanu w wieku wyrębu faktycznego, powierzchnię drzewostanu oraz aktualną cenę sprzedaży 1 m</w:t>
      </w: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  <w:vertAlign w:val="superscript"/>
        </w:rPr>
        <w:t>3</w:t>
      </w: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 xml:space="preserve"> drewna.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6. Należność pomniejsza się o wartość gruntu, ustaloną według cen rynkowych stosowanych w danej miejscowości w obrocie gruntami, w dniu faktycznego wyłączenia tego gruntu z produkcji.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7. Należność za wyłączenie z produkcji 1 ha gruntów rolnych wymienionych w art. 2 ust. 1 pkt 1, 3 i 5 wynosi:</w:t>
      </w:r>
    </w:p>
    <w:tbl>
      <w:tblPr>
        <w:tblW w:w="5000" w:type="pct"/>
        <w:jc w:val="righ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CellMar>
          <w:top w:type="dxa" w:w="69"/>
          <w:left w:type="dxa" w:w="69"/>
          <w:bottom w:type="dxa" w:w="69"/>
          <w:right w:type="dxa" w:w="69"/>
        </w:tblCellMar>
      </w:tblPr>
      <w:tr>
        <w:tc>
          <w:tcPr>
            <w:hMerge w:val="restart"/>
          </w:tcPr>
          <w:p>
            <w:pPr>
              <w:suppressAutoHyphens/>
              <w:spacing w:after="0" w:before="0" w:lineRule="auto" w:line="240"/>
              <w:jc w:val="both"/>
            </w:pPr>
            <w:r>
              <w:rPr>
                <w:rFonts w:ascii="Helvetica" w:hAnsi="Helvetica" w:cs="Helvetica" w:eastAsia="Helvetica"/>
                <w:sz w:val="18"/>
                <w:b w:val="off"/>
                <w:i w:val="off"/>
                <w:caps w:val="off"/>
                <w:u w:val="none"/>
              </w:rPr>
              <w:t>Grunty orne i sady, pod budynkami i urządzeniami wchodzącymi w skład gospodarstw rolnych oraz pod zadrzewieniami i zakrzewieniami śródpolnymi, w tym pod pasami przeciwwietrznymi i urządzeniami przeciwerozyjnymi</w:t>
            </w:r>
          </w:p>
        </w:tc>
        <w:tc>
          <w:tcPr>
            <w:hMerge w:val="continue"/>
          </w:tcPr>
          <w:p/>
        </w:tc>
        <w:tc>
          <w:tcPr>
            <w:hMerge w:val="restart"/>
          </w:tcPr>
          <w:p>
            <w:pPr>
              <w:suppressAutoHyphens/>
              <w:spacing w:after="0" w:before="0" w:lineRule="auto" w:line="240"/>
              <w:jc w:val="both"/>
            </w:pPr>
            <w:r>
              <w:rPr>
                <w:rFonts w:ascii="Helvetica" w:hAnsi="Helvetica" w:cs="Helvetica" w:eastAsia="Helvetica"/>
                <w:sz w:val="18"/>
                <w:b w:val="off"/>
                <w:i w:val="off"/>
                <w:caps w:val="off"/>
                <w:u w:val="none"/>
              </w:rPr>
              <w:t>Łąki i pastwiska trwałe, pod budynkami i urządzeniami wchodzącymi w skład gospodarstw rolnych oraz pod zadrzewieniami i zakrzewieniami śródpolnymi, w tym pod pasami przeciwwietrznymi i urządzeniami przeciwerozyjnymi</w:t>
            </w:r>
          </w:p>
        </w:tc>
        <w:tc>
          <w:tcPr>
            <w:hMerge w:val="continue"/>
          </w:tcPr>
          <w:p/>
        </w:tc>
      </w:tr>
      <w:tr>
        <w:tc>
          <w:p>
            <w:pPr>
              <w:suppressAutoHyphens/>
              <w:spacing w:after="0" w:before="0" w:lineRule="auto" w:line="240"/>
              <w:jc w:val="both"/>
            </w:pPr>
            <w:r>
              <w:rPr>
                <w:rFonts w:ascii="Helvetica" w:hAnsi="Helvetica" w:cs="Helvetica" w:eastAsia="Helvetica"/>
                <w:sz w:val="18"/>
                <w:b w:val="off"/>
                <w:i w:val="off"/>
                <w:caps w:val="off"/>
                <w:u w:val="none"/>
              </w:rPr>
              <w:t>klasa</w:t>
            </w:r>
          </w:p>
        </w:tc>
        <w:tc>
          <w:p>
            <w:pPr>
              <w:suppressAutoHyphens/>
              <w:spacing w:after="0" w:before="0" w:lineRule="auto" w:line="240"/>
              <w:jc w:val="both"/>
            </w:pPr>
            <w:r>
              <w:rPr>
                <w:rFonts w:ascii="Helvetica" w:hAnsi="Helvetica" w:cs="Helvetica" w:eastAsia="Helvetica"/>
                <w:sz w:val="18"/>
                <w:b w:val="off"/>
                <w:i w:val="off"/>
                <w:caps w:val="off"/>
                <w:u w:val="none"/>
              </w:rPr>
              <w:t>należność (w zł)</w:t>
            </w:r>
          </w:p>
        </w:tc>
        <w:tc>
          <w:p>
            <w:pPr>
              <w:suppressAutoHyphens/>
              <w:spacing w:after="0" w:before="0" w:lineRule="auto" w:line="240"/>
              <w:jc w:val="both"/>
            </w:pPr>
            <w:r>
              <w:rPr>
                <w:rFonts w:ascii="Helvetica" w:hAnsi="Helvetica" w:cs="Helvetica" w:eastAsia="Helvetica"/>
                <w:sz w:val="18"/>
                <w:b w:val="off"/>
                <w:i w:val="off"/>
                <w:caps w:val="off"/>
                <w:u w:val="none"/>
              </w:rPr>
              <w:t>klasa</w:t>
            </w:r>
          </w:p>
        </w:tc>
        <w:tc>
          <w:p>
            <w:pPr>
              <w:suppressAutoHyphens/>
              <w:spacing w:after="0" w:before="0" w:lineRule="auto" w:line="240"/>
              <w:jc w:val="both"/>
            </w:pPr>
            <w:r>
              <w:rPr>
                <w:rFonts w:ascii="Helvetica" w:hAnsi="Helvetica" w:cs="Helvetica" w:eastAsia="Helvetica"/>
                <w:sz w:val="18"/>
                <w:b w:val="off"/>
                <w:i w:val="off"/>
                <w:caps w:val="off"/>
                <w:u w:val="none"/>
              </w:rPr>
              <w:t>należność (w zł)</w:t>
            </w:r>
          </w:p>
        </w:tc>
      </w:tr>
      <w:tr>
        <w:tc>
          <w:tcPr>
            <w:hMerge w:val="restart"/>
          </w:tcPr>
          <w:p>
            <w:pPr>
              <w:suppressAutoHyphens/>
              <w:spacing w:after="0" w:before="0" w:lineRule="auto" w:line="240"/>
              <w:jc w:val="both"/>
            </w:pPr>
            <w:r>
              <w:rPr>
                <w:rFonts w:ascii="Helvetica" w:hAnsi="Helvetica" w:cs="Helvetica" w:eastAsia="Helvetica"/>
                <w:sz w:val="18"/>
                <w:b w:val="off"/>
                <w:i w:val="off"/>
                <w:caps w:val="off"/>
                <w:u w:val="none"/>
              </w:rPr>
              <w:t>wytworzone z gleb pochodzenia mineralnego i organicznego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p>
            <w:pPr>
              <w:suppressAutoHyphens/>
              <w:spacing w:after="0" w:before="0" w:lineRule="auto" w:line="240"/>
              <w:jc w:val="both"/>
            </w:pPr>
            <w:r>
              <w:rPr>
                <w:rFonts w:ascii="Helvetica" w:hAnsi="Helvetica" w:cs="Helvetica" w:eastAsia="Helvetica"/>
                <w:sz w:val="18"/>
                <w:b w:val="off"/>
                <w:i w:val="off"/>
                <w:caps w:val="off"/>
                <w:u w:val="none"/>
              </w:rPr>
              <w:t>I</w:t>
            </w:r>
          </w:p>
        </w:tc>
        <w:tc>
          <w:p>
            <w:pPr>
              <w:suppressAutoHyphens/>
              <w:spacing w:after="0" w:before="0" w:lineRule="auto" w:line="240"/>
              <w:jc w:val="both"/>
            </w:pPr>
            <w:r>
              <w:rPr>
                <w:rFonts w:ascii="Helvetica" w:hAnsi="Helvetica" w:cs="Helvetica" w:eastAsia="Helvetica"/>
                <w:sz w:val="18"/>
                <w:b w:val="off"/>
                <w:i w:val="off"/>
                <w:caps w:val="off"/>
                <w:u w:val="none"/>
              </w:rPr>
              <w:t>437 175</w:t>
            </w:r>
          </w:p>
        </w:tc>
        <w:tc>
          <w:p>
            <w:pPr>
              <w:suppressAutoHyphens/>
              <w:spacing w:after="0" w:before="0" w:lineRule="auto" w:line="240"/>
              <w:jc w:val="both"/>
            </w:pPr>
            <w:r>
              <w:rPr>
                <w:rFonts w:ascii="Helvetica" w:hAnsi="Helvetica" w:cs="Helvetica" w:eastAsia="Helvetica"/>
                <w:sz w:val="18"/>
                <w:b w:val="off"/>
                <w:i w:val="off"/>
                <w:caps w:val="off"/>
                <w:u w:val="none"/>
              </w:rPr>
              <w:t>Ł i Ps I</w:t>
            </w:r>
          </w:p>
        </w:tc>
        <w:tc>
          <w:p>
            <w:pPr>
              <w:suppressAutoHyphens/>
              <w:spacing w:after="0" w:before="0" w:lineRule="auto" w:line="240"/>
              <w:jc w:val="both"/>
            </w:pPr>
            <w:r>
              <w:rPr>
                <w:rFonts w:ascii="Helvetica" w:hAnsi="Helvetica" w:cs="Helvetica" w:eastAsia="Helvetica"/>
                <w:sz w:val="18"/>
                <w:b w:val="off"/>
                <w:i w:val="off"/>
                <w:caps w:val="off"/>
                <w:u w:val="none"/>
              </w:rPr>
              <w:t>437 175</w:t>
            </w:r>
          </w:p>
        </w:tc>
      </w:tr>
      <w:tr>
        <w:tc>
          <w:p>
            <w:pPr>
              <w:suppressAutoHyphens/>
              <w:spacing w:after="0" w:before="0" w:lineRule="auto" w:line="240"/>
              <w:jc w:val="both"/>
            </w:pPr>
            <w:r>
              <w:rPr>
                <w:rFonts w:ascii="Helvetica" w:hAnsi="Helvetica" w:cs="Helvetica" w:eastAsia="Helvetica"/>
                <w:sz w:val="18"/>
                <w:b w:val="off"/>
                <w:i w:val="off"/>
                <w:caps w:val="off"/>
                <w:u w:val="none"/>
              </w:rPr>
              <w:t>II</w:t>
            </w:r>
          </w:p>
        </w:tc>
        <w:tc>
          <w:p>
            <w:pPr>
              <w:suppressAutoHyphens/>
              <w:spacing w:after="0" w:before="0" w:lineRule="auto" w:line="240"/>
              <w:jc w:val="both"/>
            </w:pPr>
            <w:r>
              <w:rPr>
                <w:rFonts w:ascii="Helvetica" w:hAnsi="Helvetica" w:cs="Helvetica" w:eastAsia="Helvetica"/>
                <w:sz w:val="18"/>
                <w:b w:val="off"/>
                <w:i w:val="off"/>
                <w:caps w:val="off"/>
                <w:u w:val="none"/>
              </w:rPr>
              <w:t>378 885</w:t>
            </w:r>
          </w:p>
        </w:tc>
        <w:tc>
          <w:p>
            <w:pPr>
              <w:suppressAutoHyphens/>
              <w:spacing w:after="0" w:before="0" w:lineRule="auto" w:line="240"/>
              <w:jc w:val="both"/>
            </w:pPr>
            <w:r>
              <w:rPr>
                <w:rFonts w:ascii="Helvetica" w:hAnsi="Helvetica" w:cs="Helvetica" w:eastAsia="Helvetica"/>
                <w:sz w:val="18"/>
                <w:b w:val="off"/>
                <w:i w:val="off"/>
                <w:caps w:val="off"/>
                <w:u w:val="none"/>
              </w:rPr>
              <w:t>Ł i Ps II</w:t>
            </w:r>
          </w:p>
        </w:tc>
        <w:tc>
          <w:p>
            <w:pPr>
              <w:suppressAutoHyphens/>
              <w:spacing w:after="0" w:before="0" w:lineRule="auto" w:line="240"/>
              <w:jc w:val="both"/>
            </w:pPr>
            <w:r>
              <w:rPr>
                <w:rFonts w:ascii="Helvetica" w:hAnsi="Helvetica" w:cs="Helvetica" w:eastAsia="Helvetica"/>
                <w:sz w:val="18"/>
                <w:b w:val="off"/>
                <w:i w:val="off"/>
                <w:caps w:val="off"/>
                <w:u w:val="none"/>
              </w:rPr>
              <w:t>361 398</w:t>
            </w:r>
          </w:p>
        </w:tc>
      </w:tr>
      <w:tr>
        <w:tc>
          <w:p>
            <w:pPr>
              <w:suppressAutoHyphens/>
              <w:spacing w:after="0" w:before="0" w:lineRule="auto" w:line="240"/>
              <w:jc w:val="both"/>
            </w:pPr>
            <w:r>
              <w:rPr>
                <w:rFonts w:ascii="Helvetica" w:hAnsi="Helvetica" w:cs="Helvetica" w:eastAsia="Helvetica"/>
                <w:sz w:val="18"/>
                <w:b w:val="off"/>
                <w:i w:val="off"/>
                <w:caps w:val="off"/>
                <w:u w:val="none"/>
              </w:rPr>
              <w:t>IIIa</w:t>
            </w:r>
          </w:p>
        </w:tc>
        <w:tc>
          <w:p>
            <w:pPr>
              <w:suppressAutoHyphens/>
              <w:spacing w:after="0" w:before="0" w:lineRule="auto" w:line="240"/>
              <w:jc w:val="both"/>
            </w:pPr>
            <w:r>
              <w:rPr>
                <w:rFonts w:ascii="Helvetica" w:hAnsi="Helvetica" w:cs="Helvetica" w:eastAsia="Helvetica"/>
                <w:sz w:val="18"/>
                <w:b w:val="off"/>
                <w:i w:val="off"/>
                <w:caps w:val="off"/>
                <w:u w:val="none"/>
              </w:rPr>
              <w:t>320 595</w:t>
            </w:r>
          </w:p>
        </w:tc>
        <w:tc>
          <w:p>
            <w:pPr>
              <w:suppressAutoHyphens/>
              <w:spacing w:after="0" w:before="0" w:lineRule="auto" w:line="240"/>
              <w:jc w:val="both"/>
            </w:pPr>
            <w:r>
              <w:rPr>
                <w:rFonts w:ascii="Helvetica" w:hAnsi="Helvetica" w:cs="Helvetica" w:eastAsia="Helvetica"/>
                <w:sz w:val="18"/>
                <w:b w:val="off"/>
                <w:i w:val="off"/>
                <w:caps w:val="off"/>
                <w:u w:val="none"/>
              </w:rPr>
              <w:t>Ł i Ps III</w:t>
            </w:r>
          </w:p>
        </w:tc>
        <w:tc>
          <w:p>
            <w:pPr>
              <w:suppressAutoHyphens/>
              <w:spacing w:after="0" w:before="0" w:lineRule="auto" w:line="240"/>
              <w:jc w:val="both"/>
            </w:pPr>
            <w:r>
              <w:rPr>
                <w:rFonts w:ascii="Helvetica" w:hAnsi="Helvetica" w:cs="Helvetica" w:eastAsia="Helvetica"/>
                <w:sz w:val="18"/>
                <w:b w:val="off"/>
                <w:i w:val="off"/>
                <w:caps w:val="off"/>
                <w:u w:val="none"/>
              </w:rPr>
              <w:t>291 450</w:t>
            </w:r>
          </w:p>
        </w:tc>
      </w:tr>
      <w:tr>
        <w:tc>
          <w:p>
            <w:pPr>
              <w:suppressAutoHyphens/>
              <w:spacing w:after="0" w:before="0" w:lineRule="auto" w:line="240"/>
              <w:jc w:val="both"/>
            </w:pPr>
            <w:r>
              <w:rPr>
                <w:rFonts w:ascii="Helvetica" w:hAnsi="Helvetica" w:cs="Helvetica" w:eastAsia="Helvetica"/>
                <w:sz w:val="18"/>
                <w:b w:val="off"/>
                <w:i w:val="off"/>
                <w:caps w:val="off"/>
                <w:u w:val="none"/>
              </w:rPr>
              <w:t>IIIb</w:t>
            </w:r>
          </w:p>
        </w:tc>
        <w:tc>
          <w:p>
            <w:pPr>
              <w:suppressAutoHyphens/>
              <w:spacing w:after="0" w:before="0" w:lineRule="auto" w:line="240"/>
              <w:jc w:val="both"/>
            </w:pPr>
            <w:r>
              <w:rPr>
                <w:rFonts w:ascii="Helvetica" w:hAnsi="Helvetica" w:cs="Helvetica" w:eastAsia="Helvetica"/>
                <w:sz w:val="18"/>
                <w:b w:val="off"/>
                <w:i w:val="off"/>
                <w:caps w:val="off"/>
                <w:u w:val="none"/>
              </w:rPr>
              <w:t>262 305</w:t>
            </w:r>
          </w:p>
        </w:tc>
        <w:tc>
          <w:tcPr>
            <w:hMerge w:val="restart"/>
          </w:tcPr>
          <w:p/>
        </w:tc>
        <w:tc>
          <w:tcPr>
            <w:hMerge w:val="continue"/>
          </w:tcPr>
          <w:p/>
        </w:tc>
      </w:tr>
      <w:tr>
        <w:tc>
          <w:tcPr>
            <w:hMerge w:val="restart"/>
          </w:tcPr>
          <w:p>
            <w:pPr>
              <w:suppressAutoHyphens/>
              <w:spacing w:after="0" w:before="0" w:lineRule="auto" w:line="240"/>
              <w:jc w:val="both"/>
            </w:pPr>
            <w:r>
              <w:rPr>
                <w:rFonts w:ascii="Helvetica" w:hAnsi="Helvetica" w:cs="Helvetica" w:eastAsia="Helvetica"/>
                <w:sz w:val="18"/>
                <w:b w:val="off"/>
                <w:i w:val="off"/>
                <w:caps w:val="off"/>
                <w:u w:val="none"/>
              </w:rPr>
              <w:t>wytworzone z gleb pochodzenia organicznego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p>
            <w:pPr>
              <w:suppressAutoHyphens/>
              <w:spacing w:after="0" w:before="0" w:lineRule="auto" w:line="240"/>
              <w:jc w:val="both"/>
            </w:pPr>
            <w:r>
              <w:rPr>
                <w:rFonts w:ascii="Helvetica" w:hAnsi="Helvetica" w:cs="Helvetica" w:eastAsia="Helvetica"/>
                <w:sz w:val="18"/>
                <w:b w:val="off"/>
                <w:i w:val="off"/>
                <w:caps w:val="off"/>
                <w:u w:val="none"/>
              </w:rPr>
              <w:t>IVa</w:t>
            </w:r>
          </w:p>
        </w:tc>
        <w:tc>
          <w:p>
            <w:pPr>
              <w:suppressAutoHyphens/>
              <w:spacing w:after="0" w:before="0" w:lineRule="auto" w:line="240"/>
              <w:jc w:val="both"/>
            </w:pPr>
            <w:r>
              <w:rPr>
                <w:rFonts w:ascii="Helvetica" w:hAnsi="Helvetica" w:cs="Helvetica" w:eastAsia="Helvetica"/>
                <w:sz w:val="18"/>
                <w:b w:val="off"/>
                <w:i w:val="off"/>
                <w:caps w:val="off"/>
                <w:u w:val="none"/>
              </w:rPr>
              <w:t>204 015</w:t>
            </w:r>
          </w:p>
        </w:tc>
        <w:tc>
          <w:p>
            <w:pPr>
              <w:suppressAutoHyphens/>
              <w:spacing w:after="0" w:before="0" w:lineRule="auto" w:line="240"/>
              <w:jc w:val="both"/>
            </w:pPr>
            <w:r>
              <w:rPr>
                <w:rFonts w:ascii="Helvetica" w:hAnsi="Helvetica" w:cs="Helvetica" w:eastAsia="Helvetica"/>
                <w:sz w:val="18"/>
                <w:b w:val="off"/>
                <w:i w:val="off"/>
                <w:caps w:val="off"/>
                <w:u w:val="none"/>
              </w:rPr>
              <w:t>Ł i Ps IV</w:t>
            </w:r>
          </w:p>
        </w:tc>
        <w:tc>
          <w:p>
            <w:pPr>
              <w:suppressAutoHyphens/>
              <w:spacing w:after="0" w:before="0" w:lineRule="auto" w:line="240"/>
              <w:jc w:val="both"/>
            </w:pPr>
            <w:r>
              <w:rPr>
                <w:rFonts w:ascii="Helvetica" w:hAnsi="Helvetica" w:cs="Helvetica" w:eastAsia="Helvetica"/>
                <w:sz w:val="18"/>
                <w:b w:val="off"/>
                <w:i w:val="off"/>
                <w:caps w:val="off"/>
                <w:u w:val="none"/>
              </w:rPr>
              <w:t>174 870</w:t>
            </w:r>
          </w:p>
        </w:tc>
      </w:tr>
      <w:tr>
        <w:tc>
          <w:p>
            <w:pPr>
              <w:suppressAutoHyphens/>
              <w:spacing w:after="0" w:before="0" w:lineRule="auto" w:line="240"/>
              <w:jc w:val="both"/>
            </w:pPr>
            <w:r>
              <w:rPr>
                <w:rFonts w:ascii="Helvetica" w:hAnsi="Helvetica" w:cs="Helvetica" w:eastAsia="Helvetica"/>
                <w:sz w:val="18"/>
                <w:b w:val="off"/>
                <w:i w:val="off"/>
                <w:caps w:val="off"/>
                <w:u w:val="none"/>
              </w:rPr>
              <w:t>IVb</w:t>
            </w:r>
          </w:p>
        </w:tc>
        <w:tc>
          <w:p>
            <w:pPr>
              <w:suppressAutoHyphens/>
              <w:spacing w:after="0" w:before="0" w:lineRule="auto" w:line="240"/>
              <w:jc w:val="both"/>
            </w:pPr>
            <w:r>
              <w:rPr>
                <w:rFonts w:ascii="Helvetica" w:hAnsi="Helvetica" w:cs="Helvetica" w:eastAsia="Helvetica"/>
                <w:sz w:val="18"/>
                <w:b w:val="off"/>
                <w:i w:val="off"/>
                <w:caps w:val="off"/>
                <w:u w:val="none"/>
              </w:rPr>
              <w:t>145 725</w:t>
            </w:r>
          </w:p>
        </w:tc>
        <w:tc>
          <w:p>
            <w:pPr>
              <w:suppressAutoHyphens/>
              <w:spacing w:after="0" w:before="0" w:lineRule="auto" w:line="240"/>
              <w:jc w:val="both"/>
            </w:pPr>
            <w:r>
              <w:rPr>
                <w:rFonts w:ascii="Helvetica" w:hAnsi="Helvetica" w:cs="Helvetica" w:eastAsia="Helvetica"/>
                <w:sz w:val="18"/>
                <w:b w:val="off"/>
                <w:i w:val="off"/>
                <w:caps w:val="off"/>
                <w:u w:val="none"/>
              </w:rPr>
              <w:t>Ł V</w:t>
            </w:r>
          </w:p>
        </w:tc>
        <w:tc>
          <w:p>
            <w:pPr>
              <w:suppressAutoHyphens/>
              <w:spacing w:after="0" w:before="0" w:lineRule="auto" w:line="240"/>
              <w:jc w:val="both"/>
            </w:pPr>
            <w:r>
              <w:rPr>
                <w:rFonts w:ascii="Helvetica" w:hAnsi="Helvetica" w:cs="Helvetica" w:eastAsia="Helvetica"/>
                <w:sz w:val="18"/>
                <w:b w:val="off"/>
                <w:i w:val="off"/>
                <w:caps w:val="off"/>
                <w:u w:val="none"/>
              </w:rPr>
              <w:t>145 725</w:t>
            </w:r>
          </w:p>
        </w:tc>
      </w:tr>
      <w:tr>
        <w:tc>
          <w:p>
            <w:pPr>
              <w:suppressAutoHyphens/>
              <w:spacing w:after="0" w:before="0" w:lineRule="auto" w:line="240"/>
              <w:jc w:val="both"/>
            </w:pPr>
            <w:r>
              <w:rPr>
                <w:rFonts w:ascii="Helvetica" w:hAnsi="Helvetica" w:cs="Helvetica" w:eastAsia="Helvetica"/>
                <w:sz w:val="18"/>
                <w:b w:val="off"/>
                <w:i w:val="off"/>
                <w:caps w:val="off"/>
                <w:u w:val="none"/>
              </w:rPr>
              <w:t>V</w:t>
            </w:r>
          </w:p>
        </w:tc>
        <w:tc>
          <w:p>
            <w:pPr>
              <w:suppressAutoHyphens/>
              <w:spacing w:after="0" w:before="0" w:lineRule="auto" w:line="240"/>
              <w:jc w:val="both"/>
            </w:pPr>
            <w:r>
              <w:rPr>
                <w:rFonts w:ascii="Helvetica" w:hAnsi="Helvetica" w:cs="Helvetica" w:eastAsia="Helvetica"/>
                <w:sz w:val="18"/>
                <w:b w:val="off"/>
                <w:i w:val="off"/>
                <w:caps w:val="off"/>
                <w:u w:val="none"/>
              </w:rPr>
              <w:t>116 580</w:t>
            </w:r>
          </w:p>
        </w:tc>
        <w:tc>
          <w:p>
            <w:pPr>
              <w:suppressAutoHyphens/>
              <w:spacing w:after="0" w:before="0" w:lineRule="auto" w:line="240"/>
              <w:jc w:val="both"/>
            </w:pPr>
            <w:r>
              <w:rPr>
                <w:rFonts w:ascii="Helvetica" w:hAnsi="Helvetica" w:cs="Helvetica" w:eastAsia="Helvetica"/>
                <w:sz w:val="18"/>
                <w:b w:val="off"/>
                <w:i w:val="off"/>
                <w:caps w:val="off"/>
                <w:u w:val="none"/>
              </w:rPr>
              <w:t>Ps V</w:t>
            </w:r>
          </w:p>
        </w:tc>
        <w:tc>
          <w:p>
            <w:pPr>
              <w:suppressAutoHyphens/>
              <w:spacing w:after="0" w:before="0" w:lineRule="auto" w:line="240"/>
              <w:jc w:val="both"/>
            </w:pPr>
            <w:r>
              <w:rPr>
                <w:rFonts w:ascii="Helvetica" w:hAnsi="Helvetica" w:cs="Helvetica" w:eastAsia="Helvetica"/>
                <w:sz w:val="18"/>
                <w:b w:val="off"/>
                <w:i w:val="off"/>
                <w:caps w:val="off"/>
                <w:u w:val="none"/>
              </w:rPr>
              <w:t>116 580</w:t>
            </w:r>
          </w:p>
        </w:tc>
      </w:tr>
      <w:tr>
        <w:tc>
          <w:p>
            <w:pPr>
              <w:suppressAutoHyphens/>
              <w:spacing w:after="0" w:before="0" w:lineRule="auto" w:line="240"/>
              <w:jc w:val="both"/>
            </w:pPr>
            <w:r>
              <w:rPr>
                <w:rFonts w:ascii="Helvetica" w:hAnsi="Helvetica" w:cs="Helvetica" w:eastAsia="Helvetica"/>
                <w:sz w:val="18"/>
                <w:b w:val="off"/>
                <w:i w:val="off"/>
                <w:caps w:val="off"/>
                <w:u w:val="none"/>
              </w:rPr>
              <w:t>VI</w:t>
            </w:r>
          </w:p>
        </w:tc>
        <w:tc>
          <w:p>
            <w:pPr>
              <w:suppressAutoHyphens/>
              <w:spacing w:after="0" w:before="0" w:lineRule="auto" w:line="240"/>
              <w:jc w:val="both"/>
            </w:pPr>
            <w:r>
              <w:rPr>
                <w:rFonts w:ascii="Helvetica" w:hAnsi="Helvetica" w:cs="Helvetica" w:eastAsia="Helvetica"/>
                <w:sz w:val="18"/>
                <w:b w:val="off"/>
                <w:i w:val="off"/>
                <w:caps w:val="off"/>
                <w:u w:val="none"/>
              </w:rPr>
              <w:t>87 435</w:t>
            </w:r>
          </w:p>
        </w:tc>
        <w:tc>
          <w:p>
            <w:pPr>
              <w:suppressAutoHyphens/>
              <w:spacing w:after="0" w:before="0" w:lineRule="auto" w:line="240"/>
              <w:jc w:val="both"/>
            </w:pPr>
            <w:r>
              <w:rPr>
                <w:rFonts w:ascii="Helvetica" w:hAnsi="Helvetica" w:cs="Helvetica" w:eastAsia="Helvetica"/>
                <w:sz w:val="18"/>
                <w:b w:val="off"/>
                <w:i w:val="off"/>
                <w:caps w:val="off"/>
                <w:u w:val="none"/>
              </w:rPr>
              <w:t>Ł i Ps VI</w:t>
            </w:r>
          </w:p>
        </w:tc>
        <w:tc>
          <w:p>
            <w:pPr>
              <w:suppressAutoHyphens/>
              <w:spacing w:after="0" w:before="0" w:lineRule="auto" w:line="240"/>
              <w:jc w:val="both"/>
            </w:pPr>
            <w:r>
              <w:rPr>
                <w:rFonts w:ascii="Helvetica" w:hAnsi="Helvetica" w:cs="Helvetica" w:eastAsia="Helvetica"/>
                <w:sz w:val="18"/>
                <w:b w:val="off"/>
                <w:i w:val="off"/>
                <w:caps w:val="off"/>
                <w:u w:val="none"/>
              </w:rPr>
              <w:t>87 435</w:t>
            </w:r>
          </w:p>
        </w:tc>
      </w:tr>
    </w:tbl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8.</w:t>
      </w:r>
      <w:r>
        <w:rPr>
          <w:rFonts w:ascii="Helvetica" w:hAnsi="Helvetica" w:cs="Helvetica" w:eastAsia="Helvetica"/>
          <w:sz w:val="18"/>
          <w:b w:val="off"/>
          <w:i w:val="on"/>
          <w:caps w:val="off"/>
          <w:u w:val="none"/>
        </w:rPr>
        <w:t xml:space="preserve"> (uchylony)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9. Należność za wyłączenie z produkcji parków wiejskich oraz gruntów wymienionych w art. 2 ust. 1 pkt 4 i 10 ustala się jak za grunty pod budynkami i urządzeniami wchodzącymi w skład gospodarstw rolnych oraz grunty pod zadrzewieniami i zakrzewieniami śródpolnymi.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10. Należność za wyłączenie z produkcji 1 ha gruntów pod stawami rybnymi oraz za grunty wymienione w art. 2 ust. 1 pkt 6-9 wynosi 233 160 zł.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11. Należność za wyłączenie z produkcji 1 ha gruntu leśnego bez drzewostanu wynosi:</w:t>
      </w:r>
    </w:p>
    <w:tbl>
      <w:tblPr>
        <w:tblW w:w="5000" w:type="pct"/>
        <w:jc w:val="righ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CellMar>
          <w:top w:type="dxa" w:w="69"/>
          <w:left w:type="dxa" w:w="69"/>
          <w:bottom w:type="dxa" w:w="69"/>
          <w:right w:type="dxa" w:w="69"/>
        </w:tblCellMar>
      </w:tblPr>
      <w:tr>
        <w:tc>
          <w:p>
            <w:pPr>
              <w:suppressAutoHyphens/>
              <w:spacing w:after="0" w:before="0" w:lineRule="auto" w:line="240"/>
              <w:jc w:val="both"/>
            </w:pPr>
            <w:r>
              <w:rPr>
                <w:rFonts w:ascii="Helvetica" w:hAnsi="Helvetica" w:cs="Helvetica" w:eastAsia="Helvetica"/>
                <w:sz w:val="18"/>
                <w:b w:val="off"/>
                <w:i w:val="off"/>
                <w:caps w:val="off"/>
                <w:u w:val="none"/>
              </w:rPr>
              <w:t>Lp.</w:t>
            </w:r>
          </w:p>
        </w:tc>
        <w:tc>
          <w:p>
            <w:pPr>
              <w:suppressAutoHyphens/>
              <w:spacing w:after="0" w:before="0" w:lineRule="auto" w:line="240"/>
              <w:jc w:val="both"/>
            </w:pPr>
            <w:r>
              <w:rPr>
                <w:rFonts w:ascii="Helvetica" w:hAnsi="Helvetica" w:cs="Helvetica" w:eastAsia="Helvetica"/>
                <w:sz w:val="18"/>
                <w:b w:val="off"/>
                <w:i w:val="off"/>
                <w:caps w:val="off"/>
                <w:u w:val="none"/>
              </w:rPr>
              <w:t>Typy siedliskowe lasów</w:t>
            </w:r>
          </w:p>
        </w:tc>
        <w:tc>
          <w:p>
            <w:pPr>
              <w:suppressAutoHyphens/>
              <w:spacing w:after="0" w:before="0" w:lineRule="auto" w:line="240"/>
              <w:jc w:val="both"/>
            </w:pPr>
            <w:r>
              <w:rPr>
                <w:rFonts w:ascii="Helvetica" w:hAnsi="Helvetica" w:cs="Helvetica" w:eastAsia="Helvetica"/>
                <w:sz w:val="18"/>
                <w:b w:val="off"/>
                <w:i w:val="off"/>
                <w:caps w:val="off"/>
                <w:u w:val="none"/>
              </w:rPr>
              <w:t>Równowartość ceny 1 m</w:t>
            </w:r>
            <w:r>
              <w:rPr>
                <w:rFonts w:ascii="Helvetica" w:hAnsi="Helvetica" w:cs="Helvetica" w:eastAsia="Helvetica"/>
                <w:sz w:val="18"/>
                <w:b w:val="off"/>
                <w:i w:val="off"/>
                <w:caps w:val="off"/>
                <w:u w:val="none"/>
                <w:vertAlign w:val="superscript"/>
              </w:rPr>
              <w:t>3</w:t>
            </w:r>
            <w:r>
              <w:rPr>
                <w:rFonts w:ascii="Helvetica" w:hAnsi="Helvetica" w:cs="Helvetica" w:eastAsia="Helvetica"/>
                <w:sz w:val="18"/>
                <w:b w:val="off"/>
                <w:i w:val="off"/>
                <w:caps w:val="off"/>
                <w:u w:val="none"/>
              </w:rPr>
              <w:t xml:space="preserve"> drewna w wysokości ogłaszanej przez Główny Urząd Statystyczny</w:t>
            </w:r>
          </w:p>
        </w:tc>
      </w:tr>
      <w:tr>
        <w:tc>
          <w:p>
            <w:pPr>
              <w:suppressAutoHyphens/>
              <w:spacing w:after="0" w:before="0" w:lineRule="auto" w:line="240"/>
              <w:jc w:val="both"/>
            </w:pPr>
            <w:r>
              <w:rPr>
                <w:rFonts w:ascii="Helvetica" w:hAnsi="Helvetica" w:cs="Helvetica" w:eastAsia="Helvetica"/>
                <w:sz w:val="18"/>
                <w:b w:val="off"/>
                <w:i w:val="off"/>
                <w:caps w:val="off"/>
                <w:u w:val="none"/>
              </w:rPr>
              <w:t>1</w:t>
            </w:r>
          </w:p>
        </w:tc>
        <w:tc>
          <w:p>
            <w:pPr>
              <w:suppressAutoHyphens/>
              <w:spacing w:after="0" w:before="0" w:lineRule="auto" w:line="240"/>
              <w:jc w:val="both"/>
            </w:pPr>
            <w:r>
              <w:rPr>
                <w:rFonts w:ascii="Helvetica" w:hAnsi="Helvetica" w:cs="Helvetica" w:eastAsia="Helvetica"/>
                <w:sz w:val="18"/>
                <w:b w:val="off"/>
                <w:i w:val="off"/>
                <w:caps w:val="off"/>
                <w:u w:val="none"/>
              </w:rPr>
              <w:t>Lasy: świeży, wilgotny, łęgowy i górski oraz ols jesionowy i ols górski</w:t>
            </w:r>
          </w:p>
        </w:tc>
        <w:tc>
          <w:p>
            <w:pPr>
              <w:suppressAutoHyphens/>
              <w:spacing w:after="0" w:before="0" w:lineRule="auto" w:line="240"/>
              <w:jc w:val="both"/>
            </w:pPr>
            <w:r>
              <w:rPr>
                <w:rFonts w:ascii="Helvetica" w:hAnsi="Helvetica" w:cs="Helvetica" w:eastAsia="Helvetica"/>
                <w:sz w:val="18"/>
                <w:b w:val="off"/>
                <w:i w:val="off"/>
                <w:caps w:val="off"/>
                <w:u w:val="none"/>
              </w:rPr>
              <w:t>2000</w:t>
            </w:r>
          </w:p>
        </w:tc>
      </w:tr>
      <w:tr>
        <w:tc>
          <w:p>
            <w:pPr>
              <w:suppressAutoHyphens/>
              <w:spacing w:after="0" w:before="0" w:lineRule="auto" w:line="240"/>
              <w:jc w:val="both"/>
            </w:pPr>
            <w:r>
              <w:rPr>
                <w:rFonts w:ascii="Helvetica" w:hAnsi="Helvetica" w:cs="Helvetica" w:eastAsia="Helvetica"/>
                <w:sz w:val="18"/>
                <w:b w:val="off"/>
                <w:i w:val="off"/>
                <w:caps w:val="off"/>
                <w:u w:val="none"/>
              </w:rPr>
              <w:t>2</w:t>
            </w:r>
          </w:p>
        </w:tc>
        <w:tc>
          <w:p>
            <w:pPr>
              <w:suppressAutoHyphens/>
              <w:spacing w:after="0" w:before="0" w:lineRule="auto" w:line="240"/>
              <w:jc w:val="both"/>
            </w:pPr>
            <w:r>
              <w:rPr>
                <w:rFonts w:ascii="Helvetica" w:hAnsi="Helvetica" w:cs="Helvetica" w:eastAsia="Helvetica"/>
                <w:sz w:val="18"/>
                <w:b w:val="off"/>
                <w:i w:val="off"/>
                <w:caps w:val="off"/>
                <w:u w:val="none"/>
              </w:rPr>
              <w:t>Lasy mieszane: świeży, wilgotny i bagienny, wyżynny, górski i ols</w:t>
            </w:r>
          </w:p>
        </w:tc>
        <w:tc>
          <w:p>
            <w:pPr>
              <w:suppressAutoHyphens/>
              <w:spacing w:after="0" w:before="0" w:lineRule="auto" w:line="240"/>
              <w:jc w:val="both"/>
            </w:pPr>
            <w:r>
              <w:rPr>
                <w:rFonts w:ascii="Helvetica" w:hAnsi="Helvetica" w:cs="Helvetica" w:eastAsia="Helvetica"/>
                <w:sz w:val="18"/>
                <w:b w:val="off"/>
                <w:i w:val="off"/>
                <w:caps w:val="off"/>
                <w:u w:val="none"/>
              </w:rPr>
              <w:t>1500</w:t>
            </w:r>
          </w:p>
        </w:tc>
      </w:tr>
      <w:tr>
        <w:tc>
          <w:p>
            <w:pPr>
              <w:suppressAutoHyphens/>
              <w:spacing w:after="0" w:before="0" w:lineRule="auto" w:line="240"/>
              <w:jc w:val="both"/>
            </w:pPr>
            <w:r>
              <w:rPr>
                <w:rFonts w:ascii="Helvetica" w:hAnsi="Helvetica" w:cs="Helvetica" w:eastAsia="Helvetica"/>
                <w:sz w:val="18"/>
                <w:b w:val="off"/>
                <w:i w:val="off"/>
                <w:caps w:val="off"/>
                <w:u w:val="none"/>
              </w:rPr>
              <w:t>3</w:t>
            </w:r>
          </w:p>
        </w:tc>
        <w:tc>
          <w:p>
            <w:pPr>
              <w:suppressAutoHyphens/>
              <w:spacing w:after="0" w:before="0" w:lineRule="auto" w:line="240"/>
              <w:jc w:val="both"/>
            </w:pPr>
            <w:r>
              <w:rPr>
                <w:rFonts w:ascii="Helvetica" w:hAnsi="Helvetica" w:cs="Helvetica" w:eastAsia="Helvetica"/>
                <w:sz w:val="18"/>
                <w:b w:val="off"/>
                <w:i w:val="off"/>
                <w:caps w:val="off"/>
                <w:u w:val="none"/>
              </w:rPr>
              <w:t>Bory mieszane: świeży, wilgotny, bagienny, wyżynny i górski</w:t>
            </w:r>
          </w:p>
        </w:tc>
        <w:tc>
          <w:p>
            <w:pPr>
              <w:suppressAutoHyphens/>
              <w:spacing w:after="0" w:before="0" w:lineRule="auto" w:line="240"/>
              <w:jc w:val="both"/>
            </w:pPr>
            <w:r>
              <w:rPr>
                <w:rFonts w:ascii="Helvetica" w:hAnsi="Helvetica" w:cs="Helvetica" w:eastAsia="Helvetica"/>
                <w:sz w:val="18"/>
                <w:b w:val="off"/>
                <w:i w:val="off"/>
                <w:caps w:val="off"/>
                <w:u w:val="none"/>
              </w:rPr>
              <w:t>1150</w:t>
            </w:r>
          </w:p>
        </w:tc>
      </w:tr>
      <w:tr>
        <w:tc>
          <w:p>
            <w:pPr>
              <w:suppressAutoHyphens/>
              <w:spacing w:after="0" w:before="0" w:lineRule="auto" w:line="240"/>
              <w:jc w:val="both"/>
            </w:pPr>
            <w:r>
              <w:rPr>
                <w:rFonts w:ascii="Helvetica" w:hAnsi="Helvetica" w:cs="Helvetica" w:eastAsia="Helvetica"/>
                <w:sz w:val="18"/>
                <w:b w:val="off"/>
                <w:i w:val="off"/>
                <w:caps w:val="off"/>
                <w:u w:val="none"/>
              </w:rPr>
              <w:t>4</w:t>
            </w:r>
          </w:p>
        </w:tc>
        <w:tc>
          <w:p>
            <w:pPr>
              <w:suppressAutoHyphens/>
              <w:spacing w:after="0" w:before="0" w:lineRule="auto" w:line="240"/>
              <w:jc w:val="both"/>
            </w:pPr>
            <w:r>
              <w:rPr>
                <w:rFonts w:ascii="Helvetica" w:hAnsi="Helvetica" w:cs="Helvetica" w:eastAsia="Helvetica"/>
                <w:sz w:val="18"/>
                <w:b w:val="off"/>
                <w:i w:val="off"/>
                <w:caps w:val="off"/>
                <w:u w:val="none"/>
              </w:rPr>
              <w:t>Bory: świeży, wilgotny, górski</w:t>
            </w:r>
          </w:p>
        </w:tc>
        <w:tc>
          <w:p>
            <w:pPr>
              <w:suppressAutoHyphens/>
              <w:spacing w:after="0" w:before="0" w:lineRule="auto" w:line="240"/>
              <w:jc w:val="both"/>
            </w:pPr>
            <w:r>
              <w:rPr>
                <w:rFonts w:ascii="Helvetica" w:hAnsi="Helvetica" w:cs="Helvetica" w:eastAsia="Helvetica"/>
                <w:sz w:val="18"/>
                <w:b w:val="off"/>
                <w:i w:val="off"/>
                <w:caps w:val="off"/>
                <w:u w:val="none"/>
              </w:rPr>
              <w:t>600</w:t>
            </w:r>
          </w:p>
        </w:tc>
      </w:tr>
      <w:tr>
        <w:tc>
          <w:p>
            <w:pPr>
              <w:suppressAutoHyphens/>
              <w:spacing w:after="0" w:before="0" w:lineRule="auto" w:line="240"/>
              <w:jc w:val="both"/>
            </w:pPr>
            <w:r>
              <w:rPr>
                <w:rFonts w:ascii="Helvetica" w:hAnsi="Helvetica" w:cs="Helvetica" w:eastAsia="Helvetica"/>
                <w:sz w:val="18"/>
                <w:b w:val="off"/>
                <w:i w:val="off"/>
                <w:caps w:val="off"/>
                <w:u w:val="none"/>
              </w:rPr>
              <w:t>5</w:t>
            </w:r>
          </w:p>
        </w:tc>
        <w:tc>
          <w:p>
            <w:pPr>
              <w:suppressAutoHyphens/>
              <w:spacing w:after="0" w:before="0" w:lineRule="auto" w:line="240"/>
              <w:jc w:val="both"/>
            </w:pPr>
            <w:r>
              <w:rPr>
                <w:rFonts w:ascii="Helvetica" w:hAnsi="Helvetica" w:cs="Helvetica" w:eastAsia="Helvetica"/>
                <w:sz w:val="18"/>
                <w:b w:val="off"/>
                <w:i w:val="off"/>
                <w:caps w:val="off"/>
                <w:u w:val="none"/>
              </w:rPr>
              <w:t>Bory: suchy i bagienny</w:t>
            </w:r>
          </w:p>
        </w:tc>
        <w:tc>
          <w:p>
            <w:pPr>
              <w:suppressAutoHyphens/>
              <w:spacing w:after="0" w:before="0" w:lineRule="auto" w:line="240"/>
              <w:jc w:val="both"/>
            </w:pPr>
            <w:r>
              <w:rPr>
                <w:rFonts w:ascii="Helvetica" w:hAnsi="Helvetica" w:cs="Helvetica" w:eastAsia="Helvetica"/>
                <w:sz w:val="18"/>
                <w:b w:val="off"/>
                <w:i w:val="off"/>
                <w:caps w:val="off"/>
                <w:u w:val="none"/>
              </w:rPr>
              <w:t>250</w:t>
            </w:r>
          </w:p>
        </w:tc>
      </w:tr>
    </w:tbl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12. Należność i opłaty roczne za wyłączenie z produkcji gruntów leśnych w lasach ochronnych są wyższe o 50% od należności i opłat, o których mowa w ust. 11.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13. Należność uiszcza się w terminie do 60 dni od dnia, w którym decyzja stała się ostateczna.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14. Opłatę roczną za dany rok uiszcza się w terminie do dnia 30 czerwca tego roku, przyjmując:</w:t>
      </w:r>
    </w:p>
    <w:p>
      <w:pPr>
        <w:spacing w:after="130" w:before="130" w:lineRule="auto" w:line="240"/>
        <w:ind w:left="22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1) w odniesieniu do gruntów rolnych kwoty określone na podstawie ust. 7;</w:t>
      </w:r>
    </w:p>
    <w:p>
      <w:pPr>
        <w:spacing w:after="130" w:before="130" w:lineRule="auto" w:line="240"/>
        <w:ind w:left="22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2) w odniesieniu do gruntów leśnych za podstawę ustalenia cenę 1 m</w:t>
      </w: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  <w:vertAlign w:val="superscript"/>
        </w:rPr>
        <w:t>3</w:t>
      </w: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 xml:space="preserve"> drewna, stosowaną przy wymiarze podatku leśnego w danym roku.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15.</w:t>
      </w:r>
      <w:r>
        <w:rPr>
          <w:rFonts w:ascii="Helvetica" w:hAnsi="Helvetica" w:cs="Helvetica" w:eastAsia="Helvetica"/>
          <w:sz w:val="18"/>
          <w:b w:val="off"/>
          <w:i w:val="on"/>
          <w:caps w:val="off"/>
          <w:u w:val="none"/>
        </w:rPr>
        <w:t xml:space="preserve"> (uchylony)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16. Na wniosek organu wykonawczego jednostki samorządu terytorialnego marszałek województwa - w odniesieniu do gruntów rolnych, dyrektor regionalnej dyrekcji Lasów Państwowych - w odniesieniu do gruntów leśnych, a w odniesieniu do obszarów wchodzących w skład parków narodowych - dyrektor parku mogą umorzyć całość lub część należności i opłat rocznych, a w odniesieniu do gruntów leśnych również jednorazowe odszkodowanie w razie dokonania przedwczesnego wyrębu drzewostanu w przypadku inwestycji o charakterze użyteczności publicznej z zakresu oświaty i wychowania, kultury, kultu religijnego oraz ochrony zdrowia i opieki społecznej, jeżeli inwestycja ta służy zaspokojeniu potrzeb lokalnej społeczności, oraz dotyczącej powiększenia lub założenia cmentarza, jeżeli obszar gruntu podlegający wyłączeniu nie przekracza 1 ha i nie ma możliwości zrealizowania inwestycji na gruncie nieobjętym ochroną.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17. Na wniosek organu wykonawczego jednostki samorządu terytorialnego marszałek województwa może umorzyć całość lub część należności i opłat rocznych w odniesieniu do gruntów rolnych w przypadku inwestycji zmierzającej do osiągnięcia celów, o których mowa w art. 6 ustawy z dnia 21 sierpnia 1997 r. o gospodarce nieruchomościami, przeznaczonej na cele inne niż określone w ust. 16, jeżeli obszar gruntu podlegający wyłączeniu nie przekracza 1 ha i nie ma możliwości zrealizowania inwestycji na gruncie nieobjętym ochroną.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n"/>
          <w:i w:val="off"/>
          <w:caps w:val="off"/>
          <w:u w:val="none"/>
        </w:rPr>
        <w:t>Art. 12a [Rozwinięcie]</w:t>
      </w: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 xml:space="preserve"> Obowiązek uiszczenia należności i opłat rocznych, a w odniesieniu do gruntów leśnych również jednorazowego odszkodowania, o którym mowa w art. 12 ust. 1, nie dotyczy wyłączenia gruntów z produkcji rolniczej lub leśnej na cele budownictwa mieszkaniowego:</w:t>
      </w:r>
    </w:p>
    <w:p>
      <w:pPr>
        <w:spacing w:after="130" w:before="130" w:lineRule="auto" w:line="240"/>
        <w:ind w:left="22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1) do 0,05 ha w przypadku budynku jednorodzinnego;</w:t>
      </w:r>
    </w:p>
    <w:p>
      <w:pPr>
        <w:spacing w:after="130" w:before="130" w:lineRule="auto" w:line="240"/>
        <w:ind w:left="22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2) do 0,02 ha, na każdy lokal mieszkalny, w przypadku budynku wielorodzinnego.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n"/>
          <w:i w:val="off"/>
          <w:caps w:val="off"/>
          <w:u w:val="none"/>
        </w:rPr>
        <w:t>Art. 12b [Wyłączenie obowiązku]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1. Obowiązek uiszczenia należności i opłat rocznych, o którym mowa w art. 12 ust. 1, nie powstaje jeżeli:</w:t>
      </w:r>
    </w:p>
    <w:p>
      <w:pPr>
        <w:spacing w:after="130" w:before="130" w:lineRule="auto" w:line="240"/>
        <w:ind w:left="22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1) wyłączenie gruntów z produkcji dotyczy części gruntu rolnego pod zabudową zagrodową, którego powierzchnia nie przekracza 30% całkowitej powierzchni gruntu rolnego pod zabudową zagrodową w danym gospodarstwie rolnym, nie więcej niż 0,05 ha;</w:t>
      </w:r>
    </w:p>
    <w:p>
      <w:pPr>
        <w:spacing w:after="130" w:before="130" w:lineRule="auto" w:line="240"/>
        <w:ind w:left="22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2) właściciel gruntów wyłączanych z produkcji, o których mowa w pkt 1, zobowiąże się do dalszego prowadzenia gospodarstwa rolnego, w skład którego wchodzi zabudowa zagrodowa, składając wniosek o wyłączenie tych gruntów z produkcji.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2. Do wyłączenia gruntów z produkcji, o którym mowa w ust. 1, nie jest wymagane przeznaczenie gruntów na cele nierolnicze.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3. Osoba, która zamierza wykonywać w zabudowie zagrodowej działalność inną niż działalność rolnicza, powiadamia starostę właściwego ze względu na miejsce położenia tej zabudowy zagrodowej o zamiarze wykonywania tej działalności oraz jednocześnie składa do tego starosty wniosek, o którym mowa w ust. 1 pkt 2, w terminie 30 dni przed dniem planowanego podjęcia tej działalności.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4. W powiadomieniu, o którym mowa w ust. 3, wskazuje się dane ewidencyjne działki ewidencyjnej pod zabudową zagrodową.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5. Do powiadomienia, o którym mowa w ust. 3, dołącza się plan budynków i urządzeń tworzących zabudowę zagrodową w danym gospodarstwie rolnym, ze wskazaniem:</w:t>
      </w:r>
    </w:p>
    <w:p>
      <w:pPr>
        <w:spacing w:after="130" w:before="130" w:lineRule="auto" w:line="240"/>
        <w:ind w:left="22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1) budynków i urządzeń, w których będzie wykonywana działalność inna niż działalność rolnicza;</w:t>
      </w:r>
    </w:p>
    <w:p>
      <w:pPr>
        <w:spacing w:after="130" w:before="130" w:lineRule="auto" w:line="240"/>
        <w:ind w:left="22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2) całkowitej powierzchni zabudowy zagrodowej;</w:t>
      </w:r>
    </w:p>
    <w:p>
      <w:pPr>
        <w:spacing w:after="130" w:before="130" w:lineRule="auto" w:line="240"/>
        <w:ind w:left="22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3) powierzchni, na której będzie wykonywana działalność inna niż działalność rolnicza.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6. Jeżeli zobowiązanie, o którym mowa w ust. 1 pkt 2, nie jest wykonywane, uznaje się, że grunty rolne pod zabudową zagrodową zostały wyłączone z produkcji niezgodnie z przepisami ustawy.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n"/>
          <w:i w:val="off"/>
          <w:caps w:val="off"/>
          <w:u w:val="none"/>
        </w:rPr>
        <w:t>Art. 13 [Rozwinięcie]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1. Przy wyłączaniu gruntów z produkcji w celu budowy zbiorników wodnych należność i opłaty roczne określa się proporcjonalnie do udziału osób w eksploatacji tych zbiorników.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2. Jeżeli w eksploatacji zbiorników wodnych, o których mowa w ust. 1, przewiduje się udział osób wykorzystujących wodę na cele produkcji rolniczej, leśnej, wytwarzania energii elektrycznej w elektrowniach wodnych o mocy zainstalowanej nie większej niż 10 MW lub ochrony przeciwpowodziowej, zawiesza się na lat 10 uiszczenie proporcjonalnej części sumy należności i opłat rocznych. Proporcjonalną część sumy należności i opłat rocznych ustala się stosownie do udziału tych osób, określonego w dokumentacji technicznej eksploatacji zbiornika, z tym że ustalony w tej dokumentacji przepływ nienaruszalny zalicza się do eksploatacji zbiornika dla potrzeb rolnictwa. Zawieszoną część sumy należności i opłat rocznych umarza się po upływie 10 lat.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3. W razie zmniejszenia udziału osób, o których mowa w ust. 2, w eksploatacji zbiornika w okresie 10 lat od rozpoczęcia jego eksploatacji, osoby przejmujące część lub całość tego udziału uiszczają należności i opłaty roczne proporcjonalnie do wielkości przejętego udziału w eksploatacji zbiornika w oparciu o protokół zdawczo-odbiorczy.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n"/>
          <w:i w:val="off"/>
          <w:caps w:val="off"/>
          <w:u w:val="none"/>
        </w:rPr>
        <w:t>Art. 14 [Dodatkowe obowiązki]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1. W razie wyłączania gruntów z produkcji, w decyzji o wyłączeniu, o której mowa w art. 11 ust. 1 i 2, można, po zasięgnięciu opinii wójta, nałożyć obowiązek zdjęcia oraz wykorzystania na cele poprawy wartości użytkowej gruntów próchnicznej warstwy gleby z gruntów rolnych klas I, II, IIIa, IIIb, III, IVa i IV oraz z torfowisk.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2. W razie niewykonania obowiązku określonego w ust. 1, osoba wyłączająca grunty z produkcji uiszcza za każdy 1 m</w:t>
      </w: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  <w:vertAlign w:val="superscript"/>
        </w:rPr>
        <w:t>3</w:t>
      </w: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 xml:space="preserve"> wykorzystanej niewłaściwie próchnicznej warstwy gleby opłatę w wysokości obowiązującej w dniu wydania decyzji o ustaleniu wysokości opłaty, która wynosi:</w:t>
      </w:r>
    </w:p>
    <w:p>
      <w:pPr>
        <w:spacing w:after="130" w:before="130" w:lineRule="auto" w:line="240"/>
        <w:ind w:left="22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1) z gleb klasy I i II oraz gleb pochodzenia organicznego - 291,45 zł;</w:t>
      </w:r>
    </w:p>
    <w:p>
      <w:pPr>
        <w:spacing w:after="130" w:before="130" w:lineRule="auto" w:line="240"/>
        <w:ind w:left="22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2) z gleb pochodzenia mineralnego, zaliczonych do klas III, IIIa i IIIb - 233,16 zł;</w:t>
      </w:r>
    </w:p>
    <w:p>
      <w:pPr>
        <w:spacing w:after="130" w:before="130" w:lineRule="auto" w:line="240"/>
        <w:ind w:left="22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3) z gleb pochodzenia mineralnego, zaliczonych do klas IVa i IV - 174,87 zł.</w:t>
      </w:r>
    </w:p>
    <w:p>
      <w:pPr>
        <w:spacing w:after="130" w:before="130" w:lineRule="auto" w:line="240"/>
        <w:jc w:val="center"/>
      </w:pPr>
      <w:pPr>
        <w:suppressAutoHyphens/>
      </w:pPr>
      <w:r>
        <w:rPr>
          <w:rFonts w:ascii="Helvetica" w:hAnsi="Helvetica" w:cs="Helvetica" w:eastAsia="Helvetica"/>
          <w:sz w:val="18"/>
          <w:b w:val="on"/>
          <w:i w:val="off"/>
          <w:caps w:val="on"/>
          <w:u w:val="none"/>
        </w:rPr>
        <w:t>Rozdział 4. Zapobieganie degradacji gruntów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n"/>
          <w:i w:val="off"/>
          <w:caps w:val="off"/>
          <w:u w:val="none"/>
        </w:rPr>
        <w:t>Art. 15 [Przeciwdziałanie degradacji gleb]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1. Właściciel gruntów stanowiących użytki rolne oraz gruntów zrekultywowanych na cele rolne jest obowiązany do przeciwdziałania degradacji gleb, w tym szczególnie erozji i ruchom masowym ziemi.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2. Właściwy organ wymieniony w art. 5, ze względu na ochronę gleb przed erozją i ruchami masowymi ziemi, może, w drodze decyzji, nakazać właścicielowi gruntów, o których mowa w ust. 1, zalesienie, zadrzewienie lub zakrzewienie gruntów, lub założenie na nich trwałych użytków zielonych. Właścicielowi gruntów przysługuje zwrot kosztów zakupu niezbędnych nasion i sadzonek ze środków budżetu województwa, o których mowa w art. 22b ust. 1.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3. Jeżeli wykonanie nakazu, o którym mowa w ust. 2, spowoduje szkody wynikające ze zmniejszenia produkcji roślinnej, właścicielowi gruntów przysługuje odszkodowanie ze środków budżetu województwa, o których mowa w art. 22b ust. 1, wypłacane przez okres 10 lat.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4. Obowiązek utrzymywania w stanie sprawności technicznej urządzeń przeciwerozyjnych oraz urządzeń melioracji szczegółowych ciąży na właścicielu gruntów, na których znajdują się te urządzenia.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5. W razie wystąpienia z winy właściciela innych form degradacji gruntów, o których mowa w ust. 1, w tym również spowodowanej nieprzestrzeganiem przepisów o ochronie roślin uprawnych przed chorobami, szkodnikami i chwastami, wójt, w drodze decyzji, nakazuje właścicielowi gruntów wykonanie w określonym terminie odpowiednich zabiegów. W razie niewykonania decyzji wójt zleca wykonanie zastępcze tych zabiegów na koszt właściciela gruntów, wykorzystując do czasu zwrotu kosztów wykonania zastępczego środki budżetu województwa, o których mowa w art. 22b ust. 1.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n"/>
          <w:i w:val="off"/>
          <w:caps w:val="off"/>
          <w:u w:val="none"/>
        </w:rPr>
        <w:t>Art. 16 [Plan gospodarowania]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1. Dla gruntów położonych na obszarach ograniczonego użytkowania, istniejących wokół zakładów przemysłowych, opracowuje się, na koszt odpowiedzialnych zakładów, plany gospodarowania na tych gruntach.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2. Projekt planu gospodarowania na gruntach, o których mowa w ust. 1, powinien określać:</w:t>
      </w:r>
    </w:p>
    <w:p>
      <w:pPr>
        <w:spacing w:after="130" w:before="130" w:lineRule="auto" w:line="240"/>
        <w:ind w:left="22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1) rodzaje występujących zanieczyszczeń i ich stężenie;</w:t>
      </w:r>
    </w:p>
    <w:p>
      <w:pPr>
        <w:spacing w:after="130" w:before="130" w:lineRule="auto" w:line="240"/>
        <w:ind w:left="22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2) wpływ zanieczyszczeń lub innego szkodliwego oddziaływania na istniejący sposób zagospodarowania, z ewentualnym podziałem strefy ochronnej na części;</w:t>
      </w:r>
    </w:p>
    <w:p>
      <w:pPr>
        <w:spacing w:after="130" w:before="130" w:lineRule="auto" w:line="240"/>
        <w:ind w:left="22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3) aktualne kierunki produkcji roślinnej oraz wielkość tej produkcji;</w:t>
      </w:r>
    </w:p>
    <w:p>
      <w:pPr>
        <w:spacing w:after="130" w:before="130" w:lineRule="auto" w:line="240"/>
        <w:ind w:left="22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4) rośliny, które mogą być uprawiane, zalecenia dotyczące ich uprawy oraz proponowany sposób ich gospodarczego wykorzystania;</w:t>
      </w:r>
    </w:p>
    <w:p>
      <w:pPr>
        <w:spacing w:after="130" w:before="130" w:lineRule="auto" w:line="240"/>
        <w:ind w:left="22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5) sposób przeciwdziałania zmniejszeniu wartości użytkowej gleb;</w:t>
      </w:r>
    </w:p>
    <w:p>
      <w:pPr>
        <w:spacing w:after="130" w:before="130" w:lineRule="auto" w:line="240"/>
        <w:ind w:left="22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6) spodziewany poziom globalnej produkcji rolniczej lub leśnej;</w:t>
      </w:r>
    </w:p>
    <w:p>
      <w:pPr>
        <w:spacing w:after="130" w:before="130" w:lineRule="auto" w:line="240"/>
        <w:ind w:left="22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7) wykaz gospodarstw rolnych prowadzących produkcję rolniczą;</w:t>
      </w:r>
    </w:p>
    <w:p>
      <w:pPr>
        <w:spacing w:after="130" w:before="130" w:lineRule="auto" w:line="240"/>
        <w:ind w:left="22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8) wysokość przewidywanych odszkodowań z tytułu obniżenia poziomu produkcji lub zmiany kierunku produkcji;</w:t>
      </w:r>
    </w:p>
    <w:p>
      <w:pPr>
        <w:spacing w:after="130" w:before="130" w:lineRule="auto" w:line="240"/>
        <w:ind w:left="22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9) ewentualne obowiązki związane z prowadzeniem produkcji zwierzęcej, w tym również rybackiej;</w:t>
      </w:r>
    </w:p>
    <w:p>
      <w:pPr>
        <w:spacing w:after="130" w:before="130" w:lineRule="auto" w:line="240"/>
        <w:ind w:left="22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10) ewentualne nakłady niezbędne do zmiany kierunków produkcji;</w:t>
      </w:r>
    </w:p>
    <w:p>
      <w:pPr>
        <w:spacing w:after="130" w:before="130" w:lineRule="auto" w:line="240"/>
        <w:ind w:left="22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11) przewidywany obszar i koszty nabycia gruntów przez zakład przemysłowy.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3. Projekt planu powinien być wyłożony w urzędzie gminy do wglądu właścicieli gruntów na okres 30 dni w celu zgłoszenia uwag i wniosków. O wyłożeniu projektu planu do wglądu urząd gminy powiadamia właścicieli gruntów na piśmie.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4. Rada gminy podejmuje jako zadanie własne uchwałę w przedmiocie zatwierdzenia planu, po uzyskaniu opinii izby rolniczej, a także placówek naukowych lub innych osób upoważnionych przez ministra właściwego do spraw rozwoju wsi w porozumieniu z ministrem właściwym do spraw środowiska. Koszty sporządzenia opinii pokrywa zakład przemysłowy.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5. W razie prowadzenia produkcji w sposób naruszający ustalenia planu, o których mowa w ust. 2 pkt 4 i 9, wójt, w porozumieniu z </w:t>
      </w:r>
      <w:r>
        <w:rPr>
          <w:rFonts w:ascii="Helvetica" w:hAnsi="Helvetica" w:cs="Helvetica" w:eastAsia="Helvetica"/>
          <w:sz w:val="18"/>
          <w:b w:val="off"/>
          <w:i w:val="on"/>
          <w:caps w:val="off"/>
          <w:u w:val="none"/>
        </w:rPr>
        <w:t>wojewódzkim inspektorem sanitarnym</w:t>
      </w:r>
      <w:r>
        <w:rPr>
          <w:rStyle w:val="FootnoteReference"/>
        </w:rPr>
        <w:footnoteReference w:id="3"/>
      </w: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, nakazuje właścicielowi gruntów w oznaczonym terminie zniszczenie określonych upraw, przemieszczenie zwierząt poza obszar ograniczonego użytkowania lub dokonanie ich uboju.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6. Wykonanie decyzji, o której mowa w ust. 5, następuje bez odszkodowania.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n"/>
          <w:i w:val="off"/>
          <w:caps w:val="off"/>
          <w:u w:val="none"/>
        </w:rPr>
        <w:t>Art. 17 [Uprawnienia właściciela gruntów]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1. Jeżeli właściciel gruntów, o których mowa w art. 16 ust. 1, poniósł szkodę przez obniżenie poziomu produkcji rolniczej lub leśnej, przysługuje mu z tego tytułu odszkodowanie od zakładu przemysłowego. W przypadku obniżenia poziomu produkcji w okresie trzech lat co najmniej o jedną trzecią dotychczasowej wartości, zakład jest obowiązany, na wniosek właściciela, wykupić całość lub część tych gruntów według cen wolnorynkowych.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2. Jeżeli w wyniku realizacji planu, o którym mowa w art. 16 ust. 1, zachodzi potrzeba zmiany kierunku produkcji rolniczej lub leśnej, zakład przemysłowy jest obowiązany zwrócić właścicielowi gruntów poniesione z tego tytułu nakłady i koszty oraz wypłacić równowartość szkód wynikłych ze zmiany kierunków produkcji.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n"/>
          <w:i w:val="off"/>
          <w:caps w:val="off"/>
          <w:u w:val="none"/>
        </w:rPr>
        <w:t>Art. 18 [Badanie poziomu skażenia]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1. Na gruntach, o których mowa w art. 16 ust. 1, starosta zapewnia prowadzenie co 3 lata okresowych badań poziomu skażenia gleb i roślin. Jeżeli okresowe badania wykażą, że uzyskiwane płody nie nadają się do spożycia lub przetworzenia, kosztami badań należy obciążyć zakład przemysłowy, a skażone grunty wyłącza się z produkcji w trybie określonym w art. 11 ust. 1. Skutki tych decyzji obciążają zakład przemysłowy odpowiedzialny za skażenie.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2. Na żądanie właściciela gruntów wyłączonych z produkcji, zakład przemysłowy, o którym mowa w ust. 1, jest obowiązany nabyć te grunty wraz z budynkami i urządzeniami. Przepis art. 17 stosuje się odpowiednio.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3. Jeżeli wyłączenie gruntów z produkcji następuje w wyniku ujemnego oddziaływania obiektów lub urządzeń należących do kilku osób, odpowiedzialność tych osób jest solidarna.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4. Pierwsze badania okresowe, o których mowa w ust. 1, należy przeprowadzić do końca 1996 r.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n"/>
          <w:i w:val="off"/>
          <w:caps w:val="off"/>
          <w:u w:val="none"/>
        </w:rPr>
        <w:t>Art. 19 [Rozszerzenie zakresu stosowania]</w:t>
      </w: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 xml:space="preserve"> Przepisy art. 16-18 stosuje się odpowiednio także do gruntów zdewastowanych i zdegradowanych, położonych poza obszarami ograniczonego użytkowania.</w:t>
      </w:r>
    </w:p>
    <w:p>
      <w:pPr>
        <w:spacing w:after="130" w:before="130" w:lineRule="auto" w:line="240"/>
        <w:jc w:val="center"/>
      </w:pPr>
      <w:pPr>
        <w:suppressAutoHyphens/>
      </w:pPr>
      <w:r>
        <w:rPr>
          <w:rFonts w:ascii="Helvetica" w:hAnsi="Helvetica" w:cs="Helvetica" w:eastAsia="Helvetica"/>
          <w:sz w:val="18"/>
          <w:b w:val="on"/>
          <w:i w:val="off"/>
          <w:caps w:val="on"/>
          <w:u w:val="none"/>
        </w:rPr>
        <w:t>Rozdział 5. Rekultywacja i zagospodarowanie gruntów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n"/>
          <w:i w:val="off"/>
          <w:caps w:val="off"/>
          <w:u w:val="none"/>
        </w:rPr>
        <w:t>Art. 20 [Obowiązek rekultywacji]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1. Osoba powodująca utratę albo ograniczenie wartości użytkowej gruntów jest obowiązana do ich rekultywacji na własny koszt.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2. Rekultywacji na cele rolnicze gruntów rolnych, zdewastowanych lub zdegradowanych przez nieustalone osoby, w wyniku klęsk żywiołowych lub ruchów masowych ziemi, dokonuje właściwy organ wymieniony w art. 5, przy wykorzystaniu środków budżetu województwa, o których mowa w art. 22b ust. 1, a rekultywacji gruntów leśnych i gruntów przeznaczonych do zalesienia - przy wykorzystaniu środków pochodzących z budżetu państwa, na zasadach określonych w przepisach o lasach.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2a. Rekultywacji na cele inne niż wymienione w ust. 2 pozostałych gruntów zdewastowanych lub zdegradowanych przez nieustalone osoby, w wyniku klęsk żywiołowych lub ruchów masowych ziemi, dokonuje właściwy organ wymieniony w art. 5, przy wykorzystaniu środków pochodzących z budżetu państwa lub środków osób zainteresowanych prowadzeniem działalności na zrekultywowanych gruntach.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3. Rekultywację i zagospodarowanie gruntów planuje się, projektuje i realizuje na wszystkich etapach działalności przemysłowej.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4. Rekultywację gruntów prowadzi się w miarę jak grunty te stają się zbędne całkowicie, częściowo lub na określony czas do prowadzenia działalności przemysłowej oraz kończy się w terminie do 5 lat od zaprzestania tej działalności.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5. Jeżeli działalność przemysłowa powodująca obowiązek rekultywacji gruntów prowadzona jest przez kilka osób, obowiązek ten ciąży na każdej z nich, odpowiednio do zakresu działalności powodującej potrzebę rekultywacji.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6. W przypadku zmiany osoby zobowiązanej do rekultywacji gruntów, w drodze decyzji właściwego organu wymienionego w art. 5, następuje przekazanie praw i obowiązków wynikających z wcześniej wydanych decyzji.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n"/>
          <w:i w:val="off"/>
          <w:caps w:val="off"/>
          <w:u w:val="none"/>
        </w:rPr>
        <w:t>Art. 21 [Rozwinięcie]</w:t>
      </w: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 xml:space="preserve"> Na terenach przewidywanego osiadania gruntów na skutek działalności górniczej zakład przemysłowy, na wniosek właściciela, rozpoczyna rekultywację przed wystąpieniem degradacji gruntów.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n"/>
          <w:i w:val="off"/>
          <w:caps w:val="off"/>
          <w:u w:val="none"/>
        </w:rPr>
        <w:t>Art. 22 [Decyzje]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1. Decyzje w sprawach rekultywacji i zagospodarowania określają:</w:t>
      </w:r>
    </w:p>
    <w:p>
      <w:pPr>
        <w:spacing w:after="130" w:before="130" w:lineRule="auto" w:line="240"/>
        <w:ind w:left="22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1) stopień ograniczenia lub utraty wartości użytkowej gruntów, ustalony na podstawie opinii, o których mowa w art. 28 ust. 5;</w:t>
      </w:r>
    </w:p>
    <w:p>
      <w:pPr>
        <w:spacing w:after="130" w:before="130" w:lineRule="auto" w:line="240"/>
        <w:ind w:left="22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2) osobę obowiązaną do rekultywacji gruntów;</w:t>
      </w:r>
    </w:p>
    <w:p>
      <w:pPr>
        <w:spacing w:after="130" w:before="130" w:lineRule="auto" w:line="240"/>
        <w:ind w:left="22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3) kierunek i termin wykonania rekultywacji gruntów;</w:t>
      </w:r>
    </w:p>
    <w:p>
      <w:pPr>
        <w:spacing w:after="130" w:before="130" w:lineRule="auto" w:line="240"/>
        <w:ind w:left="22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4) uznanie rekultywacji gruntów za zakończoną.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2. W sprawach, o których mowa w ust. 1, decyzje wydaje starosta, po zasięgnięciu opinii:</w:t>
      </w:r>
    </w:p>
    <w:p>
      <w:pPr>
        <w:spacing w:after="130" w:before="130" w:lineRule="auto" w:line="240"/>
        <w:ind w:left="22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1) dyrektora właściwego terenowo okręgowego urzędu górniczego - w odniesieniu do działalności górniczej;</w:t>
      </w:r>
    </w:p>
    <w:p>
      <w:pPr>
        <w:spacing w:after="130" w:before="130" w:lineRule="auto" w:line="240"/>
        <w:ind w:left="22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2) dyrektora regionalnej dyrekcji Lasów Państwowych lub dyrektora parku narodowego - w odniesieniu do gruntów o projektowanym leśnym kierunku rekultywacji;</w:t>
      </w:r>
    </w:p>
    <w:p>
      <w:pPr>
        <w:spacing w:after="130" w:before="130" w:lineRule="auto" w:line="240"/>
        <w:ind w:left="22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3) wójta (burmistrza, prezydenta miasta).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3. Osoby obowiązane do rekultywacji gruntów zawiadamiają organ, o którym mowa w ust. 2, w terminie do dnia 28 lutego każdego roku o powstałych w ubiegłym roku zmianach w zakresie gruntów podlegających rekultywacji.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n"/>
          <w:i w:val="off"/>
          <w:caps w:val="off"/>
          <w:u w:val="none"/>
        </w:rPr>
        <w:t>Art. 22a [Odpowiednie zastosowanie przepisów]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1. Przepisów art. 20 i art. 22 nie stosuje się do rekultywacji gruntów, które zostały zanieczyszczone substancjami, preparatami, organizmami lub mikroorganizmami.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2. Do rekultywacji gruntów, o których mowa w ust. 1, stosuje się odpowiednio do gruntów zanieczyszczonych:</w:t>
      </w:r>
    </w:p>
    <w:p>
      <w:pPr>
        <w:spacing w:after="130" w:before="130" w:lineRule="auto" w:line="240"/>
        <w:ind w:left="22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1) po dniu 30 kwietnia 2007 r. - przepisy ustawy z dnia 13 kwietnia 2007 r. o zapobieganiu szkodom w środowisku i ich naprawie (Dz.U. z 2020 r. poz. 2187);</w:t>
      </w:r>
    </w:p>
    <w:p>
      <w:pPr>
        <w:spacing w:after="130" w:before="130" w:lineRule="auto" w:line="240"/>
        <w:ind w:left="22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2) przed dniem 30 kwietnia 2007 r. - przepisy ustawy z dnia 27 kwietnia 2001 r. - Prawo ochrony środowiska.</w:t>
      </w:r>
    </w:p>
    <w:p>
      <w:pPr>
        <w:spacing w:after="130" w:before="130" w:lineRule="auto" w:line="240"/>
        <w:jc w:val="center"/>
      </w:pPr>
      <w:pPr>
        <w:suppressAutoHyphens/>
      </w:pPr>
      <w:r>
        <w:rPr>
          <w:rFonts w:ascii="Helvetica" w:hAnsi="Helvetica" w:cs="Helvetica" w:eastAsia="Helvetica"/>
          <w:sz w:val="18"/>
          <w:b w:val="on"/>
          <w:i w:val="off"/>
          <w:caps w:val="on"/>
          <w:u w:val="none"/>
        </w:rPr>
        <w:t>Rozdział 5a. Dochody związane z wyłączeniem z produkcji gruntów rolnych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n"/>
          <w:i w:val="off"/>
          <w:caps w:val="off"/>
          <w:u w:val="none"/>
        </w:rPr>
        <w:t>Art. 22b [Dochody związane z wyłączaniem z produkcji gruntów rolnych]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1. Dochodami budżetu województwa związanymi z wyłączaniem z produkcji gruntów rolnych są pobierane na podstawie ustawy:</w:t>
      </w:r>
    </w:p>
    <w:p>
      <w:pPr>
        <w:spacing w:after="130" w:before="130" w:lineRule="auto" w:line="240"/>
        <w:ind w:left="22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1) należności;</w:t>
      </w:r>
    </w:p>
    <w:p>
      <w:pPr>
        <w:spacing w:after="130" w:before="130" w:lineRule="auto" w:line="240"/>
        <w:ind w:left="22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2) opłaty roczne;</w:t>
      </w:r>
    </w:p>
    <w:p>
      <w:pPr>
        <w:spacing w:after="130" w:before="130" w:lineRule="auto" w:line="240"/>
        <w:ind w:left="22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3) opłaty z tytułu niewykonania obowiązku zdjęcia i wykorzystania próchnicznej warstwy gleby;</w:t>
      </w:r>
    </w:p>
    <w:p>
      <w:pPr>
        <w:spacing w:after="130" w:before="130" w:lineRule="auto" w:line="240"/>
        <w:ind w:left="22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4) opłaty oraz należności i opłaty roczne podwyższone, określone w art. 28 ust. 1-4;</w:t>
      </w:r>
    </w:p>
    <w:p>
      <w:pPr>
        <w:spacing w:after="130" w:before="130" w:lineRule="auto" w:line="240"/>
        <w:ind w:left="22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5) odsetki z tytułu należności i opłat, o których mowa w pkt 1-4.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2. Zarząd województwa gromadzi dochody, o których mowa w ust. 1, na wyodrębnionym rachunku bankowym.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3. Dochody, o których mowa w ust. 1, są niepodatkowymi należnościami budżetowymi o charakterze publiczno-prawnym w rozumieniu ustawy z dnia 27 sierpnia 2009 r. o finansach publicznych (Dz.U. z 2023 r. poz. 1270, z późn. zm.</w:t>
      </w:r>
      <w:r>
        <w:rPr>
          <w:rStyle w:val="FootnoteReference"/>
        </w:rPr>
        <w:footnoteReference w:id="4"/>
      </w: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).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4. Marszałek województwa jest wierzycielem i organem egzekucyjnym uprawnionym do egzekucji należności za zobowiązania z tytułu dochodów, o których mowa w ust. 1.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n"/>
          <w:i w:val="off"/>
          <w:caps w:val="off"/>
          <w:u w:val="none"/>
        </w:rPr>
        <w:t>Art. 22c [Środki budżetu województwa]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1. Ze środków budżetu województwa, w zakresie ustalonym w ustawie, finansowane są ochrona, rekultywacja i poprawa jakości gruntów rolnych oraz wypłata odszkodowań przewidzianych ustawą, w szczególności:</w:t>
      </w:r>
    </w:p>
    <w:p>
      <w:pPr>
        <w:spacing w:after="130" w:before="130" w:lineRule="auto" w:line="240"/>
        <w:ind w:left="22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1) rekultywacja na cele rolnicze gruntów, które utraciły lub zmniejszyły wartość użytkową wskutek działalności nieustalonych osób;</w:t>
      </w:r>
    </w:p>
    <w:p>
      <w:pPr>
        <w:spacing w:after="130" w:before="130" w:lineRule="auto" w:line="240"/>
        <w:ind w:left="22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2) rolnicze zagospodarowanie gruntów zrekultywowanych;</w:t>
      </w:r>
    </w:p>
    <w:p>
      <w:pPr>
        <w:spacing w:after="130" w:before="130" w:lineRule="auto" w:line="240"/>
        <w:ind w:left="22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3) użyźnianie gleb o niskiej wartości produkcyjnej, ulepszanie rzeźby terenu i struktury przestrzennej gleb, usuwanie kamieni i odkrzaczanie;</w:t>
      </w:r>
    </w:p>
    <w:p>
      <w:pPr>
        <w:spacing w:after="130" w:before="130" w:lineRule="auto" w:line="240"/>
        <w:ind w:left="22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4) przeciwdziałanie erozji gleb i ruchom masowym ziemi na gruntach rolnych, w tym zwrot kosztów zakupu nasion i sadzonek, utrzymanie w stanie sprawności technicznej urządzeń przeciwerozyjnych oraz odszkodowania, o których mowa w art. 15 ust. 3;</w:t>
      </w:r>
    </w:p>
    <w:p>
      <w:pPr>
        <w:spacing w:after="130" w:before="130" w:lineRule="auto" w:line="240"/>
        <w:ind w:left="22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5) budowa i renowacja zbiorników wodnych służących małej retencji;</w:t>
      </w:r>
    </w:p>
    <w:p>
      <w:pPr>
        <w:spacing w:after="130" w:before="130" w:lineRule="auto" w:line="240"/>
        <w:ind w:left="22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6) budowa i modernizacja dróg dojazdowych do gruntów rolnych;</w:t>
      </w:r>
    </w:p>
    <w:p>
      <w:pPr>
        <w:spacing w:after="130" w:before="130" w:lineRule="auto" w:line="240"/>
        <w:ind w:left="22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7) wdrażanie i upowszechnianie wyników prac naukowo-badawczych związanych z ochroną gruntów rolnych;</w:t>
      </w:r>
    </w:p>
    <w:p>
      <w:pPr>
        <w:spacing w:after="130" w:before="130" w:lineRule="auto" w:line="240"/>
        <w:ind w:left="22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8) wykonywanie badań płodów rolnych uzyskiwanych na obszarach ograniczonego użytkowania, o których mowa w art. 16, oraz niezbędnych dokumentacji i ekspertyz z zakresu ochrony gruntów rolnych;</w:t>
      </w:r>
    </w:p>
    <w:p>
      <w:pPr>
        <w:spacing w:after="130" w:before="130" w:lineRule="auto" w:line="240"/>
        <w:ind w:left="22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9) wykonywanie zastępcze obowiązków określonych w ustawie;</w:t>
      </w:r>
    </w:p>
    <w:p>
      <w:pPr>
        <w:spacing w:after="130" w:before="130" w:lineRule="auto" w:line="240"/>
        <w:ind w:left="22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10) rekultywacja nieużytków i użyźnianie gleb na potrzeby nowo zakładanych rodzinnych ogrodów działkowych;</w:t>
      </w:r>
    </w:p>
    <w:p>
      <w:pPr>
        <w:spacing w:after="130" w:before="130" w:lineRule="auto" w:line="240"/>
        <w:ind w:left="22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11) zakup sprzętu pomiarowego i informatycznego oraz oprogramowania, niezbędnego do zakładania i aktualizowania operatów ewidencji gruntów oraz prowadzenia spraw ochrony gruntów rolnych, do wysokości 5% rocznych dochodów, o których mowa w art. 22b ust. 1.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2. Dochody, o których mowa w art. 22b, powinny być w pierwszej kolejności przeznaczane na wykonywanie prac wymienionych w ust. 1 na obszarze tych gmin, w których powstają te dochody oraz istnieją warunki uzyskania wzrostu produkcji rolniczej, rekompensującej straty poniesione w wyniku zmniejszenia obszaru gruntów rolnych.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3. Przy przydzielaniu środków uzyskanych z dochodów, o których mowa w art. 22b ust. 1, właścicielom gruntów, na ich wniosek, należy uwzględniać udział własny tych właścicieli w kosztach robót oraz efektywność projektowanych przedsięwzięć.</w:t>
      </w:r>
    </w:p>
    <w:p>
      <w:pPr>
        <w:spacing w:after="130" w:before="130" w:lineRule="auto" w:line="240"/>
        <w:jc w:val="center"/>
      </w:pPr>
      <w:pPr>
        <w:suppressAutoHyphens/>
      </w:pPr>
      <w:r>
        <w:rPr>
          <w:rFonts w:ascii="Helvetica" w:hAnsi="Helvetica" w:cs="Helvetica" w:eastAsia="Helvetica"/>
          <w:sz w:val="18"/>
          <w:b w:val="on"/>
          <w:i w:val="off"/>
          <w:caps w:val="on"/>
          <w:u w:val="none"/>
        </w:rPr>
        <w:t>Rozdział 6</w:t>
      </w:r>
      <w:r>
        <w:rPr>
          <w:rFonts w:ascii="Helvetica" w:hAnsi="Helvetica" w:cs="Helvetica" w:eastAsia="Helvetica"/>
          <w:sz w:val="18"/>
          <w:b w:val="off"/>
          <w:i w:val="on"/>
          <w:caps w:val="on"/>
          <w:u w:val="none"/>
        </w:rPr>
        <w:t xml:space="preserve"> (uchylony)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n"/>
          <w:i w:val="off"/>
          <w:caps w:val="off"/>
          <w:u w:val="none"/>
        </w:rPr>
        <w:t>Art. 23</w:t>
      </w:r>
      <w:r>
        <w:rPr>
          <w:rFonts w:ascii="Helvetica" w:hAnsi="Helvetica" w:cs="Helvetica" w:eastAsia="Helvetica"/>
          <w:sz w:val="18"/>
          <w:b w:val="off"/>
          <w:i w:val="on"/>
          <w:caps w:val="off"/>
          <w:u w:val="none"/>
        </w:rPr>
        <w:t xml:space="preserve"> (uchylony)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n"/>
          <w:i w:val="off"/>
          <w:caps w:val="off"/>
          <w:u w:val="none"/>
        </w:rPr>
        <w:t>Art. 24</w:t>
      </w:r>
      <w:r>
        <w:rPr>
          <w:rFonts w:ascii="Helvetica" w:hAnsi="Helvetica" w:cs="Helvetica" w:eastAsia="Helvetica"/>
          <w:sz w:val="18"/>
          <w:b w:val="off"/>
          <w:i w:val="on"/>
          <w:caps w:val="off"/>
          <w:u w:val="none"/>
        </w:rPr>
        <w:t xml:space="preserve"> (uchylony)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n"/>
          <w:i w:val="off"/>
          <w:caps w:val="off"/>
          <w:u w:val="none"/>
        </w:rPr>
        <w:t>Art. 25</w:t>
      </w:r>
      <w:r>
        <w:rPr>
          <w:rFonts w:ascii="Helvetica" w:hAnsi="Helvetica" w:cs="Helvetica" w:eastAsia="Helvetica"/>
          <w:sz w:val="18"/>
          <w:b w:val="off"/>
          <w:i w:val="on"/>
          <w:caps w:val="off"/>
          <w:u w:val="none"/>
        </w:rPr>
        <w:t xml:space="preserve"> (uchylony)</w:t>
      </w:r>
    </w:p>
    <w:p>
      <w:pPr>
        <w:spacing w:after="130" w:before="130" w:lineRule="auto" w:line="240"/>
        <w:jc w:val="center"/>
      </w:pPr>
      <w:pPr>
        <w:suppressAutoHyphens/>
      </w:pPr>
      <w:r>
        <w:rPr>
          <w:rFonts w:ascii="Helvetica" w:hAnsi="Helvetica" w:cs="Helvetica" w:eastAsia="Helvetica"/>
          <w:sz w:val="18"/>
          <w:b w:val="on"/>
          <w:i w:val="off"/>
          <w:caps w:val="on"/>
          <w:u w:val="none"/>
        </w:rPr>
        <w:t>Rozdział 7. Kontrola wykonania przepisów ustawy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n"/>
          <w:i w:val="off"/>
          <w:caps w:val="off"/>
          <w:u w:val="none"/>
        </w:rPr>
        <w:t>Art. 26 [Organy kontroli]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1. Kontrolę stosowania przepisów ustawy sprawują</w:t>
      </w:r>
      <w:r>
        <w:rPr>
          <w:rFonts w:ascii="Helvetica" w:hAnsi="Helvetica" w:cs="Helvetica" w:eastAsia="Helvetica"/>
          <w:sz w:val="18"/>
          <w:b w:val="off"/>
          <w:i w:val="on"/>
          <w:caps w:val="off"/>
          <w:u w:val="none"/>
        </w:rPr>
        <w:t xml:space="preserve"> Minister Rolnictwa i Gospodarki Żywnościowej</w:t>
      </w:r>
      <w:r>
        <w:rPr>
          <w:rStyle w:val="FootnoteReference"/>
        </w:rPr>
        <w:footnoteReference w:id="5"/>
      </w: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,</w:t>
      </w:r>
      <w:r>
        <w:rPr>
          <w:rFonts w:ascii="Helvetica" w:hAnsi="Helvetica" w:cs="Helvetica" w:eastAsia="Helvetica"/>
          <w:sz w:val="18"/>
          <w:b w:val="off"/>
          <w:i w:val="on"/>
          <w:caps w:val="off"/>
          <w:u w:val="none"/>
        </w:rPr>
        <w:t xml:space="preserve"> Minister Ochrony Środowiska, Zasobów Naturalnych i Leśnictwa</w:t>
      </w:r>
      <w:r>
        <w:rPr>
          <w:rStyle w:val="FootnoteReference"/>
        </w:rPr>
        <w:footnoteReference w:id="6"/>
      </w: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, marszałkowie województw oraz podmioty wymienione w art. 5 oraz art. 15 ust. 5 i art. 16 ust. 5.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2. Osoby przeprowadzające kontrolę są uprawnione do:</w:t>
      </w:r>
    </w:p>
    <w:p>
      <w:pPr>
        <w:spacing w:after="130" w:before="130" w:lineRule="auto" w:line="240"/>
        <w:ind w:left="22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1) wstępu na grunt i teren zakładu przemysłowego;</w:t>
      </w:r>
    </w:p>
    <w:p>
      <w:pPr>
        <w:spacing w:after="130" w:before="130" w:lineRule="auto" w:line="240"/>
        <w:ind w:left="22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2) wglądu do dokumentów oraz żądania sporządzenia ich odpisów;</w:t>
      </w:r>
    </w:p>
    <w:p>
      <w:pPr>
        <w:spacing w:after="130" w:before="130" w:lineRule="auto" w:line="240"/>
        <w:ind w:left="22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3) sprawdzania tożsamości osób w związku z prowadzoną kontrolą;</w:t>
      </w:r>
    </w:p>
    <w:p>
      <w:pPr>
        <w:spacing w:after="130" w:before="130" w:lineRule="auto" w:line="240"/>
        <w:ind w:left="22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4) żądania wyjaśnień i zasięgania informacji;</w:t>
      </w:r>
    </w:p>
    <w:p>
      <w:pPr>
        <w:spacing w:after="130" w:before="130" w:lineRule="auto" w:line="240"/>
        <w:ind w:left="22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5) pobierania próbek gleby lub roślin do analizy.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3. Kontrolę stosowania przepisów ustawy w odniesieniu do gruntów użytkowanych na cele obronności lub bezpieczeństwa państwa można przeprowadzać po uprzednim uzgodnieniu jej zakresu z jednostką nadrzędną użytkownika tych gruntów.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n"/>
          <w:i w:val="off"/>
          <w:caps w:val="off"/>
          <w:u w:val="none"/>
        </w:rPr>
        <w:t>Art. 27 [Zakres kontroli]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1. Kontrola obejmuje wykonanie następujących obowiązków:</w:t>
      </w:r>
    </w:p>
    <w:p>
      <w:pPr>
        <w:spacing w:after="130" w:before="130" w:lineRule="auto" w:line="240"/>
        <w:ind w:left="22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1) zdjęcia i wykorzystania próchnicznej warstwy gleby;</w:t>
      </w:r>
    </w:p>
    <w:p>
      <w:pPr>
        <w:spacing w:after="130" w:before="130" w:lineRule="auto" w:line="240"/>
        <w:ind w:left="22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2) rekultywacji gruntów zdewastowanych i zdegradowanych;</w:t>
      </w:r>
    </w:p>
    <w:p>
      <w:pPr>
        <w:spacing w:after="130" w:before="130" w:lineRule="auto" w:line="240"/>
        <w:ind w:left="22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3) rolniczego zagospodarowania gruntów zrekultywowanych, jeżeli zagospodarowanie odbywa się przy wykorzystaniu środków, o których mowa w art. 22b ust. 1;</w:t>
      </w:r>
    </w:p>
    <w:p>
      <w:pPr>
        <w:spacing w:after="130" w:before="130" w:lineRule="auto" w:line="240"/>
        <w:ind w:left="22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4) przeciwdziałania erozji gleb i ruchom masowym ziemi oraz innym zjawiskom powodującym trwałe pogarszanie wartości użytkowej gruntów;</w:t>
      </w:r>
    </w:p>
    <w:p>
      <w:pPr>
        <w:spacing w:after="130" w:before="130" w:lineRule="auto" w:line="240"/>
        <w:ind w:left="22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5) określonych w art. 16-19.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2. Jeżeli objętość próchnicznej warstwy gleby zdejmowanej z gruntów wyłączanych z produkcji przekracza 1000 m</w:t>
      </w: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  <w:vertAlign w:val="superscript"/>
        </w:rPr>
        <w:t>3</w:t>
      </w: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, kontrolę przeprowadza się z wykorzystaniem pomiarów geodezyjnych.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3. Kontrola wykonania obowiązku rekultywacji gruntów polega na sprawdzeniu co najmniej raz w roku zgodności wykonywanych zabiegów z dokumentacją rekultywacji tych gruntów, a zwłaszcza wymagań technicznych oraz ich terminowości, ze szczególnym uwzględnieniem obowiązku zakończenia rekultywacji w okresie 5 lat od zaprzestania działalności przemysłowej.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4. O terminie kontroli wymienionych w ust. 1-3, na obszarach górniczych, morskiego pasa nadbrzeżnego, kolejowych i lotnisk komunikacyjnych, powiadamia się odpowiednio, nie później niż 3 dni przed zamierzoną kontrolą:</w:t>
      </w:r>
    </w:p>
    <w:p>
      <w:pPr>
        <w:spacing w:after="130" w:before="130" w:lineRule="auto" w:line="240"/>
        <w:ind w:left="22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1) okręgowy urząd górniczy;</w:t>
      </w:r>
    </w:p>
    <w:p>
      <w:pPr>
        <w:spacing w:after="130" w:before="130" w:lineRule="auto" w:line="240"/>
        <w:ind w:left="22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2) urząd morski;</w:t>
      </w:r>
    </w:p>
    <w:p>
      <w:pPr>
        <w:spacing w:after="130" w:before="130" w:lineRule="auto" w:line="240"/>
        <w:ind w:left="22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3) organ kolejowy lub zarząd lotniska.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n"/>
          <w:i w:val="off"/>
          <w:caps w:val="off"/>
          <w:u w:val="none"/>
        </w:rPr>
        <w:t>Art. 28 [Skutki naruszeń przepisów ustawy]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1. W razie stwierdzenia, że grunty zostały wyłączone z produkcji niezgodnie z przepisami niniejszej ustawy, sprawcy wyłączenia ustala się opłatę w wysokości dwukrotnej należności.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2. W razie stwierdzenia, że grunty przeznaczone w miejscowym planie zagospodarowania przestrzennego na cele nierolnicze lub nieleśne zostały wyłączone z produkcji bez decyzji, o której mowa w art. 11 ust. 1 i 2, decyzję taką wydaje się z urzędu, podwyższając jednocześnie wysokość należności o 10%.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3. W razie niezakończenia rekultywacji gruntów zdewastowanych w okresie, o którym mowa w art. 20 ust. 4, stosuje się opłatę roczną podwyższoną o 200% od dnia, w którym rekultywacja gruntów powinna zostać zakończona.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4. W razie niewykonania obowiązku rekultywacji gruntów zdegradowanych ustala się, w drodze decyzji, obowiązek corocznego wpłacania na wyodrębniony rachunek bankowy zarządu województwa, o którym mowa w art. 22b ust. 2, lub na Fundusz Leśny, przez osobę powodującą ograniczenie wartości użytkowej gruntów, równowartości opłaty rocznej w takiej części, w jakiej nastąpiło ograniczenie wartości użytkowej gruntów. Do ustalenia wysokości opłaty rocznej za zdegradowanie gruntów stosuje się wartości wymienione:</w:t>
      </w:r>
    </w:p>
    <w:p>
      <w:pPr>
        <w:spacing w:after="130" w:before="130" w:lineRule="auto" w:line="240"/>
        <w:ind w:left="22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1) w art. 12 ust. 7 w odniesieniu do gruntów rolnych klas I-IV;</w:t>
      </w:r>
    </w:p>
    <w:p>
      <w:pPr>
        <w:spacing w:after="130" w:before="130" w:lineRule="auto" w:line="240"/>
        <w:ind w:left="22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2) w art. 12 ust. 11 w odniesieniu do gruntów leśnych.</w:t>
      </w:r>
    </w:p>
    <w:p>
      <w:pPr>
        <w:spacing w:after="130" w:before="130" w:lineRule="auto" w:line="240"/>
        <w:ind w:left="22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Opłaty te uiszcza się do czasu wykonania obowiązku rekultywacji.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5. Rozmiar ograniczenia wartości użytkowej gruntów ustala się na podstawie dwóch odrębnych opinii rzeczoznawców.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6. W razie ograniczenia wartości użytkowej gruntów w wyniku zasadzenia drzew przydrożnych, nie pobiera się opłat, o których mowa w ust. 4.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7. Przepisy ust. 1-5 stosuje się odpowiednio w odniesieniu do gruntów leśnych, z tym że decyzję wydaje dyrektor regionalnej dyrekcji Lasów Państwowych, a w parkach narodowych dyrektor parku.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8. Opłaty, o których mowa w ust. 1-4, stosuje się niezależnie od kar przewidzianych w przepisach o ochronie środowiska oraz innych obowiązujących przepisach.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n"/>
          <w:i w:val="off"/>
          <w:caps w:val="off"/>
          <w:u w:val="none"/>
        </w:rPr>
        <w:t>Art. 29 [Opłaty i kary]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1. Opłaty, o których mowa w art. 28, nie mogą być wliczane do kosztów działalności osób, na które nałożono te opłaty.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2. Jeżeli opłaty, o których mowa w art. 28, dotyczą jednostek organizacyjnych, na kierowników tych jednostek nakłada się karę w wysokości ich wynagrodzenia za okres 3 ostatnich miesięcy.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n"/>
          <w:i w:val="off"/>
          <w:caps w:val="off"/>
          <w:u w:val="none"/>
        </w:rPr>
        <w:t>Art. 29a [Podjęcie działalności bez powiadomienia]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1. Kto, w zabudowie zagrodowej, podejmuje działalność inną niż działalność rolnicza nie powiadamiając właściwego starosty zgodnie z art. 12b ust. 3, podlega karze pieniężnej w wysokości od 5000 zł do 30 000 zł.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2. Karę pieniężną, o której mowa w ust. 1, wymierza, w drodze decyzji, starosta, o którym mowa w ust. 1.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3. Środki finansowe, pochodzące z kar pieniężnych, o których mowa w ust. 1, stanowią dochód budżetu powiatu.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n"/>
          <w:i w:val="off"/>
          <w:caps w:val="off"/>
          <w:u w:val="none"/>
        </w:rPr>
        <w:t>Art. 30 [Odesłanie]</w:t>
      </w: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 xml:space="preserve"> W przypadkach niewykonywania obowiązków określonych w ustawie stosuje się przepisy o postępowaniu egzekucyjnym w administracji.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n"/>
          <w:i w:val="off"/>
          <w:caps w:val="off"/>
          <w:u w:val="none"/>
        </w:rPr>
        <w:t>Art. 31</w:t>
      </w:r>
      <w:r>
        <w:rPr>
          <w:rFonts w:ascii="Helvetica" w:hAnsi="Helvetica" w:cs="Helvetica" w:eastAsia="Helvetica"/>
          <w:sz w:val="18"/>
          <w:b w:val="off"/>
          <w:i w:val="on"/>
          <w:caps w:val="off"/>
          <w:u w:val="none"/>
        </w:rPr>
        <w:t xml:space="preserve"> (uchylony)</w:t>
      </w:r>
    </w:p>
    <w:p>
      <w:pPr>
        <w:spacing w:after="130" w:before="130" w:lineRule="auto" w:line="240"/>
        <w:jc w:val="center"/>
      </w:pPr>
      <w:pPr>
        <w:suppressAutoHyphens/>
      </w:pPr>
      <w:r>
        <w:rPr>
          <w:rFonts w:ascii="Helvetica" w:hAnsi="Helvetica" w:cs="Helvetica" w:eastAsia="Helvetica"/>
          <w:sz w:val="18"/>
          <w:b w:val="on"/>
          <w:i w:val="off"/>
          <w:caps w:val="on"/>
          <w:u w:val="none"/>
        </w:rPr>
        <w:t>Rozdział 8. Przepisy przejściowe i końcowe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n"/>
          <w:i w:val="off"/>
          <w:caps w:val="off"/>
          <w:u w:val="none"/>
        </w:rPr>
        <w:t>Art. 32 [Przekształcenia]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1. Działający na podstawie ustawy z dnia 26 marca 1982 r. o ochronie gruntów rolnych i leśnych (Dz.U. poz. 79) Fundusz Ochrony Gruntów Rolnych staje się Funduszem Ochrony Gruntów Rolnych</w:t>
      </w:r>
      <w:r>
        <w:rPr>
          <w:rStyle w:val="FootnoteReference"/>
        </w:rPr>
        <w:footnoteReference w:id="7"/>
      </w: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 xml:space="preserve"> w rozumieniu niniejszej ustawy.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2. Dochody, o których mowa w art. 12 ust. 1 oraz w art. 28 ust. 1-4, dotyczące gruntów leśnych są dochodami Funduszu Leśnego, o którym mowa w przepisach o lasach. Przepisy</w:t>
      </w:r>
      <w:r>
        <w:rPr>
          <w:rFonts w:ascii="Helvetica" w:hAnsi="Helvetica" w:cs="Helvetica" w:eastAsia="Helvetica"/>
          <w:sz w:val="18"/>
          <w:b w:val="off"/>
          <w:i w:val="on"/>
          <w:caps w:val="off"/>
          <w:u w:val="none"/>
        </w:rPr>
        <w:t xml:space="preserve"> art. 31</w:t>
      </w: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 xml:space="preserve"> stosuje się odpowiednio.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n"/>
          <w:i w:val="off"/>
          <w:caps w:val="off"/>
          <w:u w:val="none"/>
        </w:rPr>
        <w:t>Art. 32a</w:t>
      </w:r>
      <w:r>
        <w:rPr>
          <w:rFonts w:ascii="Helvetica" w:hAnsi="Helvetica" w:cs="Helvetica" w:eastAsia="Helvetica"/>
          <w:sz w:val="18"/>
          <w:b w:val="off"/>
          <w:i w:val="on"/>
          <w:caps w:val="off"/>
          <w:u w:val="none"/>
        </w:rPr>
        <w:t xml:space="preserve"> (pominięty)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n"/>
          <w:i w:val="off"/>
          <w:caps w:val="off"/>
          <w:u w:val="none"/>
        </w:rPr>
        <w:t>Art. 32b</w:t>
      </w:r>
      <w:r>
        <w:rPr>
          <w:rFonts w:ascii="Helvetica" w:hAnsi="Helvetica" w:cs="Helvetica" w:eastAsia="Helvetica"/>
          <w:sz w:val="18"/>
          <w:b w:val="off"/>
          <w:i w:val="on"/>
          <w:caps w:val="off"/>
          <w:u w:val="none"/>
        </w:rPr>
        <w:t xml:space="preserve"> (pominięty)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n"/>
          <w:i w:val="off"/>
          <w:caps w:val="off"/>
          <w:u w:val="none"/>
        </w:rPr>
        <w:t>Art. 33 [Prowadzenie sprawozdawczości]</w:t>
      </w: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 xml:space="preserve"> Właściwy w sprawach ochrony gruntów organ, o którym mowa w art. 5, prowadzi sprawozdawczość z zakresu:</w:t>
      </w:r>
    </w:p>
    <w:p>
      <w:pPr>
        <w:spacing w:after="130" w:before="130" w:lineRule="auto" w:line="240"/>
        <w:ind w:left="22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1) obszaru gruntów wyłączanych z produkcji,</w:t>
      </w:r>
    </w:p>
    <w:p>
      <w:pPr>
        <w:spacing w:after="130" w:before="130" w:lineRule="auto" w:line="240"/>
        <w:ind w:left="22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2) ustalonych należności, opłat rocznych i innych wymienionych w niniejszej ustawie dochodów budżetu województwa lub Funduszu Leśnego,</w:t>
      </w:r>
    </w:p>
    <w:p>
      <w:pPr>
        <w:spacing w:after="130" w:before="130" w:lineRule="auto" w:line="240"/>
        <w:ind w:left="22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3) wielkości obszarów i położenia gruntów zdewastowanych i zdegradowanych, podlegających rekultywacji i zagospodarowaniu,</w:t>
      </w:r>
    </w:p>
    <w:p>
      <w:pPr>
        <w:spacing w:after="130" w:before="130" w:lineRule="auto" w:line="240"/>
        <w:ind w:left="22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4) wyników rekultywacji i zagospodarowania gruntów,</w:t>
      </w:r>
    </w:p>
    <w:p>
      <w:pPr>
        <w:spacing w:after="130" w:before="130" w:lineRule="auto" w:line="240"/>
        <w:ind w:left="22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5) istniejących zasobów i eksploatacji złóż torfów</w:t>
      </w:r>
    </w:p>
    <w:p>
      <w:pPr>
        <w:spacing w:after="130" w:before="130" w:lineRule="auto" w:line="240"/>
        <w:ind w:left="22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- według zasad określonych przez ministra właściwego do spraw rozwoju wsi w porozumieniu z ministrem właściwym do spraw środowiska i z Prezesem Głównego Urzędu Statystycznego.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n"/>
          <w:i w:val="off"/>
          <w:caps w:val="off"/>
          <w:u w:val="none"/>
        </w:rPr>
        <w:t>Art. 34 [Przypadki szczególne]</w:t>
      </w: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 xml:space="preserve"> W stosunku do gruntów, na których znajdują się zabytki archeologiczne, wojewódzki konserwator zabytków może określić, w drodze decyzji, zakres i sposób eksploatacji takich gruntów.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n"/>
          <w:i w:val="off"/>
          <w:caps w:val="off"/>
          <w:u w:val="none"/>
        </w:rPr>
        <w:t>Art. 35 [Sprawy w toku; postępowanie w sprawach zakończonych decyzją]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1. Do spraw wszczętych przed dniem wejścia w życie ustawy, a niezakończonych decyzją ostateczną, stosuje się przepisy niniejszej ustawy.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2. Do spraw, w których wydano decyzję ostateczną o wyłączeniu z produkcji rolniczej gruntów rolnych klas I-III, a wyłączenie takie faktycznie jeszcze nie nastąpiło, stosuje się przepisy dotychczasowe.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3. Tracą ważność niewykonane do dnia wejścia w życie ustawy decyzje ostateczne, dotyczące:</w:t>
      </w:r>
    </w:p>
    <w:p>
      <w:pPr>
        <w:spacing w:after="130" w:before="130" w:lineRule="auto" w:line="240"/>
        <w:ind w:left="22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1) opłat z tytułu odłogowania gruntów rolnych;</w:t>
      </w:r>
    </w:p>
    <w:p>
      <w:pPr>
        <w:spacing w:after="130" w:before="130" w:lineRule="auto" w:line="240"/>
        <w:ind w:left="22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2) wyłączenia z produkcji rolniczej gruntów klas IV-VI, na mocy których nie nastąpiło jeszcze faktyczne wyłączenie.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4. Stałe opłaty roczne, ustalone na podstawie dotychczasowych przepisów, ulegają z mocy prawa umorzeniu, o ile ich kwota jest równa lub niższa od 10 zł.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5. Do wznowienia postępowania w sprawach, w których na podstawie dotychczasowych przepisów wydano decyzje ostateczne, dotyczące:</w:t>
      </w:r>
    </w:p>
    <w:p>
      <w:pPr>
        <w:spacing w:after="130" w:before="130" w:lineRule="auto" w:line="240"/>
        <w:ind w:left="22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1) wyłączenia gruntów z produkcji bez zezwolenia,</w:t>
      </w:r>
    </w:p>
    <w:p>
      <w:pPr>
        <w:spacing w:after="130" w:before="130" w:lineRule="auto" w:line="240"/>
        <w:ind w:left="22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2) rekultywacji i zagospodarowania gruntów, w tym niewykonania rekultywacji gruntów w wyznaczonym terminie,</w:t>
      </w:r>
    </w:p>
    <w:p>
      <w:pPr>
        <w:spacing w:after="130" w:before="130" w:lineRule="auto" w:line="240"/>
        <w:ind w:left="22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stosuje się przepisy niniejszej ustawy.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6. Niewykonane do dnia wejścia w życie ustawy decyzje ostateczne w sprawach przeciwdziałania erozji gleb pozostają w mocy.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n"/>
          <w:i w:val="off"/>
          <w:caps w:val="off"/>
          <w:u w:val="none"/>
        </w:rPr>
        <w:t>Art. 36 [Derogacja]</w:t>
      </w: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 xml:space="preserve"> Traci moc ustawa z dnia 26 marca 1982 r. o ochronie gruntów rolnych i leśnych (Dz.U. poz. 79, z późn. zm.</w:t>
      </w:r>
      <w:r>
        <w:rPr>
          <w:rStyle w:val="FootnoteReference"/>
        </w:rPr>
        <w:footnoteReference w:id="8"/>
      </w: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).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n"/>
          <w:i w:val="off"/>
          <w:caps w:val="off"/>
          <w:u w:val="none"/>
        </w:rPr>
        <w:t>Art. 37 [Wejście w życie]</w:t>
      </w: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 xml:space="preserve"> Ustawa wchodzi w życie po upływie 30 dni od dnia jej ogłoszenia</w:t>
      </w:r>
      <w:r>
        <w:rPr>
          <w:rStyle w:val="FootnoteReference"/>
        </w:rPr>
        <w:footnoteReference w:id="9"/>
      </w: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.</w:t>
      </w:r>
    </w:p>
    <w:sectPr>
      <w:footerReference w:type="default" r:id="rId3"/>
      <w:pgSz w:w="12240" w:h="15840"/>
    </w:sectPr>
    <w:sectPr>
      <w:type w:val="nextColumn"/>
    </w:sectPr>
  </w:body>
</w:document>
</file>

<file path=word/footer1.xml><?xml version="1.0" encoding="utf-8"?>
<w:ftr xmlns:w="http://schemas.openxmlformats.org/wordprocessingml/2006/main">
  <w:p>
    <w:r>
      <w:t>Legalis</w:t>
    </w:r>
  </w:p>
</w:ftr>
</file>

<file path=word/footnotes.xml><?xml version="1.0" encoding="utf-8"?>
<w:footnotes xmlns:w="http://schemas.openxmlformats.org/wordprocessingml/2006/main">
  <w:footnote w:id="1">
    <w:p>
      <w:pPr>
        <w:pStyle w:val="FootnoteText"/>
        <w:jc w:val="both"/>
      </w:pPr>
      <w:r>
        <w:rPr>
          <w:rStyle w:val="FootnoteReference"/>
        </w:rPr>
        <w:footnoteRef/>
      </w:r>
      <w:r>
        <w:t xml:space="preserve"/>
      </w:r>
      <w:r>
        <w:rPr>
          <w:rFonts w:ascii="Helvetica" w:hAnsi="Helvetica" w:cs="Helvetica" w:eastAsia="Helvetica"/>
          <w:sz w:val="18"/>
        </w:rPr>
        <w:t xml:space="preserve"> Zmiany tekstu jednolitego wymienionej ustawy zostały ogłoszone w Dz.U. z 2022 r. poz. 2687 oraz z 2023 r. poz. 877, 1506, 1688,1719, 1762, 1890, 1963 i 2029.</w:t>
      </w:r>
    </w:p>
  </w:footnote>
  <w:footnote w:id="0">
    <w:p>
      <w:pPr>
        <w:pStyle w:val="FootnoteText"/>
        <w:jc w:val="both"/>
      </w:pPr>
      <w:r>
        <w:rPr>
          <w:rStyle w:val="FootnoteReference"/>
        </w:rPr>
        <w:footnoteRef/>
      </w:r>
      <w:r>
        <w:t xml:space="preserve"/>
      </w:r>
      <w:r>
        <w:rPr>
          <w:rFonts w:ascii="Helvetica" w:hAnsi="Helvetica" w:cs="Helvetica" w:eastAsia="Helvetica"/>
          <w:sz w:val="18"/>
        </w:rPr>
        <w:t xml:space="preserve"> Zmiany tekstu jednolitego wymienionej ustawy zostały ogłoszone w Dz.U. z 2022 r. poz. 2687 i 2745 oraz z 2023 r. poz. 28, 185, 326,605, 641, 658, 825, 1059, 1114, 1130, 1407, 1414, 1429, 1523, 1617, 1667, 1675, 1705, 1723, 1787, 1843 i 2760.</w:t>
      </w:r>
    </w:p>
  </w:footnote>
  <w:footnote w:id="1">
    <w:p>
      <w:pPr>
        <w:pStyle w:val="FootnoteText"/>
        <w:jc w:val="both"/>
      </w:pPr>
      <w:r>
        <w:rPr>
          <w:rStyle w:val="FootnoteReference"/>
        </w:rPr>
        <w:footnoteRef/>
      </w:r>
      <w:r>
        <w:t xml:space="preserve"/>
      </w:r>
      <w:r>
        <w:rPr>
          <w:rFonts w:ascii="Helvetica" w:hAnsi="Helvetica" w:cs="Helvetica" w:eastAsia="Helvetica"/>
          <w:sz w:val="18"/>
        </w:rPr>
        <w:t xml:space="preserve"> Obecnie ministra właściwego do spraw środowiska na podstawie art. 4 ust. 1, art. 5 pkt 23 i art. 28 ustawy z dnia 4 września 1997 r.o działach administracji rządowej (Dz.U. z 2022 r. poz. 2512 oraz z 2023 r. poz. 2029), która weszła w życie z dniem 1 kwietnia1999 r</w:t>
      </w:r>
    </w:p>
  </w:footnote>
  <w:footnote w:id="2">
    <w:p>
      <w:pPr>
        <w:pStyle w:val="FootnoteText"/>
        <w:jc w:val="both"/>
      </w:pPr>
      <w:r>
        <w:rPr>
          <w:rStyle w:val="FootnoteReference"/>
        </w:rPr>
        <w:footnoteRef/>
      </w:r>
      <w:r>
        <w:t xml:space="preserve"/>
      </w:r>
      <w:r>
        <w:rPr>
          <w:rFonts w:ascii="Helvetica" w:hAnsi="Helvetica" w:cs="Helvetica" w:eastAsia="Helvetica"/>
          <w:sz w:val="18"/>
        </w:rPr>
        <w:t xml:space="preserve"> Zmiany tekstu jednolitego wymienionej ustawy zostały ogłoszone w Dz.U. z 2023 r. poz. 553, 967, 1506, 1597, 1681, 1688, 1762,1890, 1963 i 2029.</w:t>
      </w:r>
    </w:p>
  </w:footnote>
  <w:footnote w:id="3">
    <w:p>
      <w:pPr>
        <w:pStyle w:val="FootnoteText"/>
        <w:jc w:val="both"/>
      </w:pPr>
      <w:r>
        <w:rPr>
          <w:rStyle w:val="FootnoteReference"/>
        </w:rPr>
        <w:footnoteRef/>
      </w:r>
      <w:r>
        <w:t xml:space="preserve"/>
      </w:r>
      <w:r>
        <w:rPr>
          <w:rFonts w:ascii="Helvetica" w:hAnsi="Helvetica" w:cs="Helvetica" w:eastAsia="Helvetica"/>
          <w:sz w:val="18"/>
        </w:rPr>
        <w:t xml:space="preserve"> Obecnie państwowym wojewódzkim inspektorem sanitarnym na podstawie art. 10 ust. 1 pkt 2 ustawy z dnia 14 marca 1985 r. o Państwowej Inspekcji Sanitarnej (Dz.U. z 2023 r. poz. 338 i 1688), która weszła w życie z dniem 1 września 1985 r.</w:t>
      </w:r>
    </w:p>
  </w:footnote>
  <w:footnote w:id="4">
    <w:p>
      <w:pPr>
        <w:pStyle w:val="FootnoteText"/>
        <w:jc w:val="both"/>
      </w:pPr>
      <w:r>
        <w:rPr>
          <w:rStyle w:val="FootnoteReference"/>
        </w:rPr>
        <w:footnoteRef/>
      </w:r>
      <w:r>
        <w:t xml:space="preserve"/>
      </w:r>
      <w:r>
        <w:rPr>
          <w:rFonts w:ascii="Helvetica" w:hAnsi="Helvetica" w:cs="Helvetica" w:eastAsia="Helvetica"/>
          <w:sz w:val="18"/>
        </w:rPr>
        <w:t xml:space="preserve"> Zmiany tekstu jednolitego wymienionej ustawy zostały ogłoszone w Dz.U. z 2023 r. poz. 1273, 1407, 1429, 1641, 1693 i 1872.</w:t>
      </w:r>
    </w:p>
  </w:footnote>
  <w:footnote w:id="5">
    <w:p>
      <w:pPr>
        <w:pStyle w:val="FootnoteText"/>
        <w:jc w:val="both"/>
      </w:pPr>
      <w:r>
        <w:rPr>
          <w:rStyle w:val="FootnoteReference"/>
        </w:rPr>
        <w:footnoteRef/>
      </w:r>
      <w:r>
        <w:t xml:space="preserve"/>
      </w:r>
      <w:r>
        <w:rPr>
          <w:rFonts w:ascii="Helvetica" w:hAnsi="Helvetica" w:cs="Helvetica" w:eastAsia="Helvetica"/>
          <w:sz w:val="18"/>
        </w:rPr>
        <w:t xml:space="preserve"> Obecnie minister właściwy do spraw rozwoju wsi na podstawie art. 4 ust. 1, art. 5 pkt 18 i art. 23 ustawy z dnia 4 września 1997 r.o działach administracji rządowej (Dz.U. z 2022 r. poz. 2512 oraz z 2023 r. poz. 2029), która weszła w życie z dniem 1 kwietnia1999 r.</w:t>
      </w:r>
    </w:p>
  </w:footnote>
  <w:footnote w:id="6">
    <w:p>
      <w:pPr>
        <w:pStyle w:val="FootnoteText"/>
        <w:jc w:val="both"/>
      </w:pPr>
      <w:r>
        <w:rPr>
          <w:rStyle w:val="FootnoteReference"/>
        </w:rPr>
        <w:footnoteRef/>
      </w:r>
      <w:r>
        <w:t xml:space="preserve"/>
      </w:r>
      <w:r>
        <w:rPr>
          <w:rFonts w:ascii="Helvetica" w:hAnsi="Helvetica" w:cs="Helvetica" w:eastAsia="Helvetica"/>
          <w:sz w:val="18"/>
        </w:rPr>
        <w:t xml:space="preserve"> Obecnie minister właściwy do spraw środowiska na podstawie art. 4 ust. 1, art. 5 pkt 23 i art. 28 ustawy z dnia 4 września 1997 r.o działach administracji rządowej (Dz.U. z 2022 r. poz. 2512 oraz z 2023 r. poz. 2029), która weszła w życie z dniem 1 kwietnia1999 r.</w:t>
      </w:r>
    </w:p>
  </w:footnote>
  <w:footnote w:id="7">
    <w:p>
      <w:pPr>
        <w:pStyle w:val="FootnoteText"/>
        <w:jc w:val="both"/>
      </w:pPr>
      <w:r>
        <w:rPr>
          <w:rStyle w:val="FootnoteReference"/>
        </w:rPr>
        <w:footnoteRef/>
      </w:r>
      <w:r>
        <w:t xml:space="preserve"/>
      </w:r>
      <w:r>
        <w:rPr>
          <w:rFonts w:ascii="Helvetica" w:hAnsi="Helvetica" w:cs="Helvetica" w:eastAsia="Helvetica"/>
          <w:sz w:val="18"/>
        </w:rPr>
        <w:t xml:space="preserve"> Z dniem 31 grudnia 2010 r. Fundusz Ochrony Gruntów Rolnych został zlikwidowany na podstawie art. 90 ust. 1 pkt 2 ustawy z dnia27 sierpnia 2009 r. – Przepisy wprowadzające ustawę o finansach publicznych (Dz.U. poz. 1241).</w:t>
      </w:r>
    </w:p>
  </w:footnote>
  <w:footnote w:id="8">
    <w:p>
      <w:pPr>
        <w:pStyle w:val="FootnoteText"/>
        <w:jc w:val="both"/>
      </w:pPr>
      <w:r>
        <w:rPr>
          <w:rStyle w:val="FootnoteReference"/>
        </w:rPr>
        <w:footnoteRef/>
      </w:r>
      <w:r>
        <w:t xml:space="preserve"/>
      </w:r>
      <w:r>
        <w:rPr>
          <w:rFonts w:ascii="Helvetica" w:hAnsi="Helvetica" w:cs="Helvetica" w:eastAsia="Helvetica"/>
          <w:sz w:val="18"/>
        </w:rPr>
        <w:t xml:space="preserve"> Zmiany wymienionej ustawy zostały ogłoszone w Dz.U. z 1984 r. poz. 185, z 1988 r. poz. 169, z 1990 r. poz. 198, z 1991 r. poz. 444,446 i 494 oraz z 1994 r. poz. 96.</w:t>
      </w:r>
    </w:p>
  </w:footnote>
  <w:footnote w:id="9">
    <w:p>
      <w:pPr>
        <w:pStyle w:val="FootnoteText"/>
        <w:jc w:val="both"/>
      </w:pPr>
      <w:r>
        <w:rPr>
          <w:rStyle w:val="FootnoteReference"/>
        </w:rPr>
        <w:footnoteRef/>
      </w:r>
      <w:r>
        <w:t xml:space="preserve"/>
      </w:r>
      <w:r>
        <w:rPr>
          <w:rFonts w:ascii="Helvetica" w:hAnsi="Helvetica" w:cs="Helvetica" w:eastAsia="Helvetica"/>
          <w:sz w:val="18"/>
        </w:rPr>
        <w:t xml:space="preserve"> Ustawa została ogłoszona w dniu 22 lutego 1995 r.</w:t>
      </w:r>
    </w:p>
  </w:footnote>
</w:footnotes>
</file>

<file path=word/settings.xml><?xml version="1.0" encoding="utf-8"?>
<w:settings xmlns:w="http://schemas.openxmlformats.org/wordprocessingml/2006/main">
  <w:autoHyphenation/>
</w:settings>
</file>

<file path=word/styles.xml><?xml version="1.0" encoding="utf-8"?>
<w:styles xmlns:w="http://schemas.openxmlformats.org/wordprocessingml/2006/main"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rPr>
      <w:sz w:val="20"/>
      <w:szCs w:val="20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footnotes.xml" Type="http://schemas.openxmlformats.org/officeDocument/2006/relationships/footnote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2026-03-30T08:02:56Z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isPPL">
    <vt:lpwstr>false</vt:lpwstr>
  </property>
</Properties>
</file>