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Rozwoju, Pracy i Technologii w sprawie bazy danych obiektów topograficznych oraz mapy zasadniczej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23 lipca 2021 r. (Dz.U. z 2021 r. poz. 1385)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19 ust. 1 pkt 7 ustawy z dnia 17 maja 1989 r. - Prawo geodezyjne i kartograficzne (Dz.U. z 2020 r. poz. 2052 oraz z 2021 r. poz. 922) zarządza się, co następuje: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1. Przepisy ogólne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zakres informacji gromadzonych w bazie danych obiektów topograficznych, o której mowa w art. 4 ust. 1a pkt 12 ustawy z dnia 17 maja 1989 r. - Prawo geodezyjne i kartograficzne, zwanej dalej,,bazą BDOT500'';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organizację, tryb i standardy techniczne tworzenia, aktualizacji i udostępniania bazy BDOT500;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organizację, tryb i standardy techniczne tworzenia mapy zasadniczej, o której mowa w art. 4 ust. 1e pkt 2 ustawy z dnia 17 maja 1989 r. - Prawo geodezyjne i kartograficzne, zwanej dalej,,ustawą''.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Lokalizację obiektów bazy BDOT500 określa się w układzie współrzędnych płaskich prostokątnych PL-2000, o którym mowa w przepisach wydanych na podstawie art. 3 ust. 5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Wysokości charakterystycznych punktów obiektów bazy BDOT500 określa się w układzie wysokościowym PL-EVRF2007-NH, o którym mowa w przepisach wydanych na podstawie art. 3 ust. 5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Reprezentacją geometryczną obiektów bazy BDOT500 w zależności od ich rodzaju może być: punkt, zbiór punktów (multipunkt), linia łamana, zbiór linii łamanych (multilinia) wielokąt (poligon) oraz zbiór wielokątów (multipoligon).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2. Zakres informacji gromadzonych w bazie BDOT500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W bazie BDOT500 gromadzi się informacje dotyczące: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budynków niewykazanych w ewidencji gruntów i budynków oraz obiektów budowlanych trwale związanych z budynkiem;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budowli;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ogrodzeń;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komunikacji;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zagospodarowania terenu;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sportu i rekreacji;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wód;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rzeźby terenu.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Wykaz obiektów bazy BDOT500 wraz z dozwolonymi typami geometrii określa załącznik nr 1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Atrybutami wspólnymi dla wszystkich obiektów bazy BDOT500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metoda pozyskania informacji o obiekcie;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data przyjęcia do państwowego zasobu geodezyjnego i kartograficznego;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numer operatu technicznego, w ramach którego obiekt został wprowadzony do bazy BDOT500.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Wyróżnia się następujące metody pozyskiwania informacji o obiekcie bazy BDOT500: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pomiar bezpośredni w nawiązaniu do osnowy - oznaczenie literą O;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wektoryzacja - oznaczenie literą D;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pomiar fotogrametryczny - oznaczenie literą F;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pomiar bezpośredni w nawiązaniu do szczegółów terenowych - oznaczenie literą M;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inna metoda pozyskania - oznaczenie literą I;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nieokreślona metoda pozyskania - oznaczenie literą X.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Z każdym obiektem bazy BDOT500 mogą być związane informacje określające wysokości punktów charakterystycznych położonych na elementach tych obiektów.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6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Każdemu obiektowi bazy BDOT500 nadaje się identyfikator infrastruktury informacji przestrzennej, zwany dalej,,identyfikatorem IdIIP'', na który składają się: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przestrzeń nazw, w której skład wchodzi identyfikator zbioru danych przestrzennych, do którego należy dany obiekt przestrzenny, według ewidencji zbiorów oraz usług danych przestrzennych infrastruktury informacji przestrzennej, o której mowa w przepisach wydanych na podstawie art. 13 ust. 5 ustawy z dnia 4 marca 2010 r. o infrastrukturze informacji przestrzennej (Dz.U. z 2021 r. poz. 214), uzupełniona po kropce skrótem,,BDOT500'';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identyfikator lokalny wyróżniający w sposób jednoznaczny dany obiekt spośród innych obiektów zapisanych w bazie BDOT500;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identyfikator wersji obiektu.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Elementy identyfikatora IdIIP, o których mowa w ust. 1 pkt 1 i 2, nie mogą być zmieniane.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Specyfikację pojęciowego modelu danych bazy BDOT500 określa załącznik nr 2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3. Organizacja, tryb i standardy techniczne tworzenia i aktualizacji bazy BDOT500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8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Bazę BDOT500 tworzy się i aktualizuje w drodze czynności materialno-technicznej na podstawie materiałów przyjmowanych do państwowego zasobu geodezyjnego i kartograficznego.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Bazę BDOT500 aktualizuje się niezwłocznie, nie później niż w terminie 30 dni od dnia uzyskania materiałów, o których mowa w ust. 1.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Tworzenie i aktualizacja bazy BDOT500 odbywają się zgodnie ze standardami technicznymi określonymi w załącznikach nr 1 i 2 do rozporządzenia.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4. Organizacja, tryb i standardy techniczne udostępniania danych z bazy BDOT500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9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Dane zawarte w bazie BDOT500 udostępnia się w postaci elektronicznej za pomocą usług przeglądania i pobierania, o których mowa w art. 9 ust. 1 pkt 2 i 3 ustawy z dnia 4 marca 2010 r. o infrastrukturze informacji przestrzennej, z uwzględnieniem przepisów wydanych na podstawie art. 40 ust. 8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Specyfikację usług, o których mowa w ust. 1, określa załącznik nr 3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Schemat aplikacyjny GML dotyczący udostępniania danych z bazy BDOT500, zgodny z modelem danych określonym w załączniku nr 2 do rozporządzenia, Główny Geodeta Kraju publikuje w repozytorium interoperacyjności, o którym mowa w przepisach wydanych na podstawie art. 18 ustawy z dnia 17 lutego 2005 r. o informatyzacji działalności podmiotów realizujących zadania publiczne (Dz.U. z 2021 r. poz. 670, 952 i 1005).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5. Organizacja, tryb i standardy techniczne tworzenia mapy zasadniczej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Mapa zasadnicza jest tworzona jako wizualizacja kartograficzna generowana na podstawie zbiorów danych, o których mowa w art. 4 ust. 1a pkt 1-4, 10 i 12 ustawy.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Podstawową skalą mapy zasadniczej jest skala 1: 500.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3. Standardy techniczne tworzenia mapy zasadniczej, w tym zakres jej treści dla poszczególnych skal oraz znaki umowne, określa załącznik nr 4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4. Na mapie zasadniczej umieszcza się informację o jej skali i lokalizacji przedstawionego obszaru.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18"/>
          <w:u w:val="none"/>
        </w:rPr>
        <w:t>Rozdział 6. Przepisy dostosowujące, przejściowe i końcowe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11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Organ prowadzący bazę BDOT500 do dnia 31 grudnia 2022 r. dostosowuje bazę BDOT500 prowadzoną na podstawie przepisów dotychczasowych do przepisów niniejszego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Układ wysokościowy inny niż określony w § 2 ust. 2 może być stosowany przy prowadzeniu bazy BDOT500, jednak nie dłużej niż do dnia 31 grudnia 2023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12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1. Do prac związanych z zakładaniem bazy BDOT500 rozpoczętych i niezakończonych przed dniem wejścia w życie niniejszego rozporządzenia stosuje się przepisy niniejszego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2. Do prac geodezyjnych związanych z aktualizacją bazy BDOT500 zgłoszonych i niezakończonych przed dniem wejścia w życie niniejszego rozporządzenia mogą być stosowane przepisy dotychczasowe, jednak nie dłużej niż do dnia 31 grudnia 2021 r.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31 lipca 2021 r.</w:t>
      </w:r>
      <w:r>
        <w:rPr>
          <w:rStyle w:val="FootnoteReference"/>
        </w:rPr>
        <w:footnoteReference w:id="0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Wykaz obiektów bazy BDOT500 wraz z dozwolonymi typami geometrii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Specyfikacja pojęciowego modelu danych bazy BDOT500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Specyfikacja usług przeglądania i pobierania dotyczących udostępniania danych z bazy BDOT500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publikujące dane z baz BDOT500 są zgodne ze standardem Web Map Service (WMS) i Web Feature Service (WFS).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Usługi WMS i WFS publikują dane w podziale na warstwy: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budynki i obiekty towarzyszące;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budowle;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ogrodzenia;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komunikacja;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zagospodarowanie terenu;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sport i rekreacja;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wody;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8) rzeźba terenu.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warstw określa tabela nr 1.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1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Lp.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Tytuł warstwy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Nazwa warstwy w usługach WMS/WFS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Parametry prezentacji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Zakres widoczności min/max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Kolejność na mapie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Budynki i obiekty towarzyszące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budynki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Zgodnie z załącznikiem nr 4 do rozporządzenia</w:t>
            </w:r>
          </w:p>
        </w:tc>
        <w:tc>
          <w:tcPr>
            <w:vMerge w:val="restart"/>
          </w:tcPr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25 px/m do 0,1 px/m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Budowle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budowle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Ogrodzenia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ogrodzenia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Komunikacja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komunikacja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5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Zagospodarowanie terenu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zagospodarowanie terenu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4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6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Sport i rekreacja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sport i rekreacja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3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7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Wody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wody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2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8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Rzeźba terenu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rzezba terenu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Szczegółową charakterystykę parametrów funkcji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GetMap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usługi WMS określa tabela nr 2.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2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Opis lub wartość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VERSION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1.3.0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starsze wersje standardu WMS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publikować także dodatkowe warstwy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STYLES</w:t>
            </w:r>
          </w:p>
        </w:tc>
        <w:tc>
          <w:p/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wspiera style przedstawione w tabeli nr 1 jako domyślne. Dopuszczalna jest obsługa dodatkowych stylów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Oznaczenie układu współrzędnych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wspiera co najmniej układy współrzędnych PL-1992, układ geograficzny WGS84 (EPSG:2180, EPSG:4326) oraz PL-2000, przy czym w przypadku układu PL-2000 usługa musi wspierać tę strefę układu, w której zostały określone współrzędne publikowanych obiektów, tj.: EPSG:2176 lub EPSG:2177, lub EPSG:2178, lub EPSG:2179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BBOX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minX, minY, maxX, maxY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Współrzędne ograniczające zakres przestrzenny zapytania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WIDTH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Szerokość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HEIGHT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Wysokość obrazu w pikselach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Serwer może odrzucić żądanie utworzenia obrazu o rozmiarze przekraczającym 4096 pikseli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image/png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Usługa może wspierać inne formaty zapisu obrazu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TRANSPARENT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TRUE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Tło obrazka wyświetla się jako przezroczyste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Podstawowe parametry wykorzystywane przez funkcję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GetFeatureInfo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usługi WMS określa tabela nr 3, a pozostałe wymagane parametry nieujęte w tabeli nr 3 są tożsame z parametrami funkcji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GetMap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przedstawionymi w tabeli nr 2.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Tabela 3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Parametr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Wymagane wartości parametru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QUERY LAYERS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Nazwy warstw z tabeli nr 1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INFO FORMAT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text/xml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Dopuszcza się również wsparcie dla innych formatów, np. HTML, przy zachowaniu co najmniej tego samego zakresu treści odpowiedzi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FEATURE COUNT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Liczba obiektów, dla których zostaną zwrócone atrybuty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kolumny piksela</w:t>
            </w:r>
          </w:p>
        </w:tc>
        <w:tc>
          <w:p/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J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Numer wiersza piksela</w:t>
            </w:r>
          </w:p>
        </w:tc>
        <w:tc>
          <w:p/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6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Wartości atrybutów funkcji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GetFeatureInfo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usługi WMS dla wszystkich warstw określa tabela nr 4.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Tabela nr 4</w:t>
      </w:r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9"/>
          <w:left w:type="dxa" w:w="69"/>
          <w:bottom w:type="dxa" w:w="69"/>
          <w:right w:type="dxa" w:w="69"/>
        </w:tblCellMar>
      </w:tblP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Warstwa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true"/>
                <w:i w:val="false"/>
                <w:caps w:val="false"/>
                <w:sz w:val="18"/>
                <w:u w:val="none"/>
              </w:rPr>
              <w:t>Uwagi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OBIEKTU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Nazwa obiektu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KOD OBIEKTU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Kod obiektu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 IIP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Identyfikator infrastruktury informacji przestrzennej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ETYKIETA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Opis obiektu</w:t>
            </w:r>
          </w:p>
        </w:tc>
      </w:tr>
      <w:tr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DATA</w:t>
            </w:r>
          </w:p>
        </w:tc>
        <w:tc>
          <w:p>
            <w:pPr>
              <w:suppressAutoHyphens/>
              <w:spacing w:after="0" w:before="0" w:lineRule="auto" w:line="240"/>
              <w:jc w:val="both"/>
            </w:pPr>
            <w:r>
              <w:rPr>
                <w:rFonts w:ascii="Helvetica" w:hAnsi="Helvetica" w:cs="Helvetica" w:eastAsia="Helvetica"/>
                <w:b w:val="false"/>
                <w:i w:val="false"/>
                <w:caps w:val="false"/>
                <w:sz w:val="18"/>
                <w:u w:val="none"/>
              </w:rPr>
              <w:t>Data publikacji danych</w:t>
            </w:r>
          </w:p>
        </w:tc>
      </w:tr>
    </w:tbl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7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Strukturę odpowiedzi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GetFeatureInfo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usługi WMS w formacie XML określa poniższy schemat aplikacyjny.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8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Struktura odpowiedzi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GetFeature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zbioru obiektów zwracanych w usłudze WFS jest analogiczna w zakresie atrybutów obiektów do odpowiedzi</w:t>
      </w: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 xml:space="preserve"> GetFeatureInfo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dla usługi WMS, o której mowa w ust. 7.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4. Standardy techniczne tworzenia mapy zasadniczej, w tym zakres jej treści dla poszczególnych skal oraz znaki umowne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Rozwoju, Pracy i Technologii kieruje działem administracji rządowej - budownictwo, planowanie i zagospodarowanie przestrzenne oraz mieszkalnictwo, na podstawie § 1 ust. 2 pkt 1 rozporządzenia Prezesa Rady Ministrów z dnia 6 października 2020 r. w sprawie szczegółowego zakresu działania Ministra Rozwoju, Pracy i Technologii (Dz.U. poz. 1718).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Ministra Administracji i Cyfryzacji z dnia 2 listopada 2015 r. w sprawie bazy danych obiektów topograficznych oraz mapy zasadniczej (Dz.U. poz. 2028), które traci moc z dniem wejścia w życie niniejszego rozporządzenia zgodnie z art. 19 ustawy z dnia 16 kwietnia 2020 r. o zmianie ustawy - Prawo geodezyjne i kartograficzne oraz niektórych innych ustaw (Dz.U. poz. 782).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2025-08-28T06:02:30Z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