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24"/>
          <w:u w:val="none"/>
        </w:rPr>
        <w:t>Rozporządzenie Ministra Rozwoju, Pracy i Technologii w sprawie osnów geodezyjnych, grawimetrycznych i magnetycznych</w:t>
      </w:r>
    </w:p>
    <w:p>
      <w:pPr>
        <w:jc w:val="both"/>
      </w:pPr>
      <w:r>
        <w:rPr>
          <w:rStyle w:val="FootnoteReference"/>
        </w:rPr>
        <w:footnoteReference w:id="1"/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z dnia 6 lipca 2021 r. (Dz.U. z 2021 r. poz. 1341)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Na podstawie art. 19 ust. 1 pkt 6 ustawy z dnia 17 maja 1989 r. - Prawo geodezyjne i kartograficzne (Dz.U. z 2020 r. poz. 2052 oraz z 2021 r. poz. 922) zarządza się, co następuje: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Rozdział 1. Przepisy ogólne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Rozporządzenie określa: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organizację, tryb i standardy techniczne zakładania i utrzymywania podstawowych osnów geodezyjnych, grawimetrycznych i magnetycznych oraz szczegółowych osnów geodezyjnych;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szczegółowy zakres informacji gromadzonych w bazie danych państwowego rejestru podstawowych osnów geodezyjnych, grawimetrycznych i magnetycznych oraz w bazie danych szczegółowych osnów geodezyjnych;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standardy techniczne dotyczące tworzenia, aktualizacji i udostępniania baz, o których mowa w pkt 2.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2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Ilekroć w rozporządzeniu jest mowa o: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rodzaju osnowy - rozumie się przez to wynik podziału osnów ze względu na ich funkcjonalność;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klasie osnowy - rozumie się przez to wspólną cechę, wyróżniającą punkty osnowy ze względu na dokładność ustalania położenia lub wielkości fizycznej charakterystycznej dla określonego rodzaju osnowy;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punkcie osnowy - rozumie się przez to punkt w terenie, oznaczony odpowiednim znakiem, dla którego wyznaczono współrzędne w państwowym systemie odniesień przestrzennych lub wielkość fizyczną charakterystyczną dla określonego rodzaju osnowy;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4) wysokości normalnej - rozumie się przez to iloraz liczby geopotencjalnej przez przeciętną wartość przyspieszenia normalnego wzdłuż linii pionu pola normalnego siły ciężkości;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5) wysokości elipsoidalnej - rozumie się przez to odległość od powierzchni elipsoidy odniesienia, mierzoną wzdłuż normalnej do tej elipsoidy.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3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Prace geodezyjne dotyczące zakładania lub utrzymywania podstawowych osnów geodezyjnych, grawimetrycznych i magnetycznych oraz szczegółowych osnów geodezyjnych realizuje się pod kierownictwem osób posiadających uprawnienia zawodowe w zakresie, o którym mowa w art. 43 pkt 3 ustawy z dnia 17 maja 1989 r. - Prawo geodezyjne i kartograficzne.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4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Geodezyjną dokumentację techniczną sporządzoną w związku z zakładaniem lub utrzymywaniem podstawowych osnów geodezyjnych, grawimetrycznych i magnetycznych oraz szczegółowych osnów geodezyjnych przekazuje się do właściwego organu Służby Geodezyjnej i Kartograficznej.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5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Punkty osnów stabilizuje się w terenie znakami w sposób zapewniający ich wieloletnią trwałość oraz możliwość wykorzystywania do pomiarów. Znak może pełnić funkcję punktu osnowy dla więcej niż jednego rodzaju osnowy.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Punkt osnowy może mieć trwale stabilizowane punkty ekscentryczne, zabezpieczające funkcjonowanie tego punktu, które zalicza się do tej samej klasy osnowy.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6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Standardy techniczne zakładania i utrzymywania podstawowych osnów geodezyjnych, grawimetrycznych i magnetycznych oraz szczegółowych osnów geodezyjnych określa załącznik nr 1 do rozporządzenia.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Rozdział 2. Organizacja zakładania i utrzymywania podstawowych osnów geodezyjnych, grawimetrycznych i magnetycznych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7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Podstawowe osnowy geodezyjne, grawimetryczne i magnetyczne klasyfikuje się zgodnie z rodzajami osnów jako: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podstawową osnowę geodezyjną poziomą;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podstawową osnowę geodezyjną wysokościową;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osnowę grawimetryczną;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4) osnowę magnetyczną.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Osnowy, o których mowa w ust. 1, ze względu na ich dokładność dzielą się na klasy: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fundamentalną;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bazową.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8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Punkty osnów fundamentalnych, o których mowa w § 7 ust. 2 pkt 1, przenoszą na obszar Rzeczypospolitej Polskiej europejski układ odniesienia odpowiedni dla danego rodzaju osnowy.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Punkty osnów bazowych, o których mowa w § 7 ust. 2 pkt 2, rozmieszczone równomiernie na obszarze Rzeczypospolitej Polskiej, realizują układy odniesienia odpowiednie dla danego rodzaju osnowy.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9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Podstawowe osnowy geodezyjne, grawimetryczne i magnetyczne zakłada się i utrzymuje, zapewniając zagęszczenie punktów określone zgodnie z załącznikiem nr 1 do rozporządzenia.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10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Utrzymywanie podstawowych osnów geodezyjnych, grawimetrycznych i magnetycznych polega na przeprowadzaniu okresowych przeglądów osnów, a w razie potrzeby - ich uzupełnieniu i pomiarze.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Terminy dokonywania przeglądów podstawowych osnów geodezyjnych, grawimetrycznych i magnetycznych określa się zgodnie z załącznikiem nr 1 do rozporządzenia.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Rozdział 3. Organizacja zakładania i utrzymywania szczegółowych osnów geodezyjnych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11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Szczegółową osnowę geodezyjną stanowią punkty nawiązane do podstawowej osnowy geodezyjnej.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12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W ramach szczegółowej osnowy geodezyjnej wyróżnia się: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szczegółową osnowę geodezyjną poziomą;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szczegółową osnowę geodezyjną wysokościową.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13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Zagęszczenie punktów szczegółowej osnowy geodezyjnej jest uzależnione od potrzeb wynikających z rozwoju gospodarczego obszaru, przy czym nie powinno być mniejsze niż określone w załączniku nr 1 do rozporządzenia.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14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Utrzymywanie szczegółowych osnów geodezyjnych polega na przeprowadzaniu okresowych przeglądów tych osnów, a w razie potrzeby ich uzupełnieniu i pomiarze.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Przegląd szczegółowej osnowy geodezyjnej przeprowadza się w miarę potrzeb wynikających z lokalnego rozwoju gospodarczego.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Rozdział 4. Szczegółowy zakres informacji gromadzonych w bazie danych państwowego rejestru podstawowych osnów geodezyjnych, grawimetrycznych i magnetycznych oraz w bazie danych szczegółowych osnów geodezyjnych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15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W bazie danych państwowego rejestru podstawowych osnów geodezyjnych, grawimetrycznych i magnetycznych gromadzi się dane dotyczące punktów odpowiednich osnów oraz zbiory obserwacji wykonanych w celu wyznaczenia wartości charakterystycznych dla tych punktów wraz z wynikami ich opracowania.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W bazie danych szczegółowych osnów geodezyjnych gromadzi się dane dotyczące punktów tych osnów oraz zbiory obserwacji wykonanych w celu wyznaczenia współrzędnych punktów wraz z wynikami ich opracowania.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16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Dane dotyczące punktów osnów gromadzone w bazie danych, o której mowa w § 15 ust. 1, obejmują co najmniej: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numer;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współrzędne geodezyjne (φ i λ) w układzie PL-ETRF2000-GRS80h oraz wysokość elipsoidalną (h), jeżeli została wyznaczona;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współrzędne płaskie prostokątne (x, y) w układzie PL-ETRF2000-1992 oraz wysokość normalną (H) z podaniem oznaczenia układu wysokościowego, jeżeli została wyznaczona;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4) opisy topograficzne;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5) typ stabilizacji;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6) stan znaku;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7) błędy średnie współrzędnych płaskich prostokątnych po wyrównaniu - w przypadku osnowy geodezyjnej poziomej;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8) błędy średnie wysokości po wyrównaniu - w przypadku osnowy geodezyjnej wysokościowej;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9) wartość przyspieszenia siły ciężkości - w przypadku osnowy grawimetrycznej;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10) wartości elementów pola magnetycznego Ziemi - w przypadku osnowy magnetycznej.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Dane dotyczące punktów osnów gromadzone w bazie danych, o której mowa w § 15 ust. 2, obejmują co najmniej: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numer;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współrzędne płaskie prostokątne (x, y) w układzie PL-2000 z podaniem oznaczenia układu odniesienia oraz wysokość normalną (H) z podaniem oznaczenia układu wysokościowego, jeżeli została wyznaczona;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opisy topograficzne;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4) typ stabilizacji;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5) stan znaku;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6) błędy średnie współrzędnych płaskich prostokątnych po wyrównaniu - w przypadku osnowy poziomej;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7) błędy średnie wysokości po wyrównaniu - w przypadku osnowy wysokościowej.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3. Typy stabilizacji, o których mowa w ust. 1 pkt 5 i ust. 2 pkt 4, a także oznaczenia stanu znaku, o których mowa w ust. 1 pkt 6 i ust. 2 pkt 5, określa się zgodnie z załącznikiem nr 1 do rozporządzenia.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Rozdział 5. Standardy techniczne tworzenia, aktualizacji i udostępniania bazy danych państwowego rejestru podstawowych osnów geodezyjnych, grawimetrycznych i magnetycznych oraz bazy danych szczegółowych osnów geodezyjnych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17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Tworzenie i aktualizację baz danych, o których mowa w § 15 ust. 1 i 2, realizuje się na podstawie geodezyjnej dokumentacji technicznej, o której mowa w § 4, a także dokumentacji geodezyjnej będącej w posiadaniu właściwego organu Służby Geodezyjnej i Kartograficznej. Aktualizacja może być realizowana także na podstawie informacji o stanie znaku geodezyjnego, grawimetrycznego lub magnetycznego sprawdzonej przez właściwy organ Służby Geodezyjnej i Kartograficznej.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18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Udostępnianie informacji lub danych z baz danych, o których mowa w § 15 ust. 1 i 2, odbywa się z wykorzystaniem usług sieciowych i portali internetowych.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19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Standardy techniczne udostępniania informacji lub danych z baz danych, o których mowa w § 15 ust. 1 i 2, z wykorzystaniem usług sieciowych, o których mowa w § 18, określa załącznik nr 2 do rozporządzenia.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Rozdział 6. Przepisy przejściowe i końcowe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20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Baza danych państwowego rejestru podstawowych osnów geodezyjnych, grawimetrycznych i magnetycznych utworzona na podstawie dotychczasowych przepisów staje się bazą danych, o której mowa w § 15 ust. 1, z zachowaniem dotychczasowej numeracji punktów.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Bazy danych szczegółowych osnów geodezyjnych utworzone na podstawie dotychczasowych przepisów stają się bazami danych, o których mowa w § 15 ust. 2, z zachowaniem dotychczasowej numeracji punktów.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21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Właściwy organ Służby Geodezyjnej i Kartograficznej w ciągu 3 miesięcy od dnia wejścia w życie rozporządzenia dostosowuje dane w zakresie typu stabilizacji do wymagań określonych w załączniku nr 1 do rozporządzenia.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22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Rozporządzenie wchodzi w życie z dniem 31 lipca 2021 r.</w:t>
      </w:r>
      <w:r>
        <w:rPr>
          <w:rStyle w:val="FootnoteReference"/>
        </w:rPr>
        <w:footnoteReference w:id="0"/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Załącznik 1. Standardy techniczne zakładania i utrzymywania podstawowych osnów geodezyjnych, grawimetrycznych i magnetycznych oraz szczegółowych osnów geodezyjnych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Rozdział 1. Wytyczne ogólne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1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Zagęszczenie punktów podstawowych osnów geodezyjnych, grawimetrycznych i magnetycznych</w:t>
      </w:r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9"/>
          <w:left w:type="dxa" w:w="69"/>
          <w:bottom w:type="dxa" w:w="69"/>
          <w:right w:type="dxa" w:w="69"/>
        </w:tblCellMar>
      </w:tblPr>
      <w:tr>
        <w:tc>
          <w:tcPr>
            <w:v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Klasa osnowy</w:t>
            </w:r>
          </w:p>
        </w:tc>
        <w:tc>
          <w:tcPr>
            <w:h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Zagęszczenie punktów: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podstawowej osnowy geodezyjnej poziomej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podstawowej osnowy geodezyjnej wysokościowej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osnowy grawimetrycznej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osnowy magnetycznej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Fundamentalna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 pkt/5000 km</w:t>
            </w: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  <w:vertAlign w:val="superscript"/>
              </w:rPr>
              <w:t>2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 pkt/2000 km</w:t>
            </w: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  <w:vertAlign w:val="superscript"/>
              </w:rPr>
              <w:t>2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 pkt/15 000 km</w:t>
            </w: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  <w:vertAlign w:val="superscript"/>
              </w:rPr>
              <w:t>2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 pkt/20 000 km</w:t>
            </w: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  <w:vertAlign w:val="superscript"/>
              </w:rPr>
              <w:t>2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Bazowa</w:t>
            </w: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  <w:vertAlign w:val="superscript"/>
              </w:rPr>
              <w:t>1)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 pkt/500 km</w:t>
            </w: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  <w:vertAlign w:val="superscript"/>
              </w:rPr>
              <w:t>2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 pkt/20 km</w:t>
            </w: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  <w:vertAlign w:val="superscript"/>
              </w:rPr>
              <w:t>2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 pkt/2500 km</w:t>
            </w: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  <w:vertAlign w:val="superscript"/>
              </w:rPr>
              <w:t>2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 pkt/750 km</w:t>
            </w: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  <w:vertAlign w:val="superscript"/>
              </w:rPr>
              <w:t>2</w:t>
            </w:r>
          </w:p>
        </w:tc>
      </w:tr>
    </w:tbl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  <w:vertAlign w:val="superscript"/>
        </w:rPr>
        <w:t>1)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Łącznie z punktami osnowy fundamentalnej.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2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Terminy okresowego przeglądu podstawowych osnów geodezyjnych, grawimetrycznych i magnetycznych</w:t>
      </w:r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9"/>
          <w:left w:type="dxa" w:w="69"/>
          <w:bottom w:type="dxa" w:w="69"/>
          <w:right w:type="dxa" w:w="69"/>
        </w:tblCellMar>
      </w:tblPr>
      <w:tr>
        <w:tc>
          <w:tcPr>
            <w:v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Klasa osnowy</w:t>
            </w:r>
          </w:p>
        </w:tc>
        <w:tc>
          <w:tcPr>
            <w:h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Maksymalny okres między przeglądami: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podstawowej osnowy geodezyjnej poziomej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podstawowej osnowy geodezyjnej wysokościowej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osnowy grawimetrycznej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osnowy magnetycznej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Fundamentalna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10 lat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30 lat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5 lat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4 lata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Bazowa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30 lat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30 lat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10 lat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15 lat</w:t>
            </w:r>
          </w:p>
        </w:tc>
      </w:tr>
    </w:tbl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3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Zagęszczenie punktów szczegółowej osnowy geodezyjnej</w:t>
      </w:r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9"/>
          <w:left w:type="dxa" w:w="69"/>
          <w:bottom w:type="dxa" w:w="69"/>
          <w:right w:type="dxa" w:w="69"/>
        </w:tblCellMar>
      </w:tblPr>
      <w:tr>
        <w:tc>
          <w:tcPr>
            <w:vMerge w:val="restart"/>
          </w:tcPr>
          <w:p/>
        </w:tc>
        <w:tc>
          <w:tcPr>
            <w:h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Zagęszczenie punktów osnowy</w:t>
            </w: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  <w:vertAlign w:val="superscript"/>
              </w:rPr>
              <w:t>1)</w:t>
            </w: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:</w:t>
            </w:r>
          </w:p>
        </w:tc>
        <w:tc>
          <w:tcPr>
            <w:hMerge w:val="continue"/>
          </w:tcPr>
          <w:p/>
        </w:tc>
      </w:tr>
      <w:tr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dla osnowy poziomej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dla osnowy wysokościowej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Teren istniejącej lub projektowanej zwartej zabudowy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 pkt/0,2 km</w:t>
            </w: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  <w:vertAlign w:val="superscript"/>
              </w:rPr>
              <w:t>2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 pkt/2 km</w:t>
            </w: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  <w:vertAlign w:val="superscript"/>
              </w:rPr>
              <w:t>2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Pozostałe tereny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 pkt/1 km</w:t>
            </w: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  <w:vertAlign w:val="superscript"/>
              </w:rPr>
              <w:t>2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 pkt/5 km</w:t>
            </w: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  <w:vertAlign w:val="superscript"/>
              </w:rPr>
              <w:t>2</w:t>
            </w:r>
          </w:p>
        </w:tc>
      </w:tr>
    </w:tbl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  <w:vertAlign w:val="superscript"/>
        </w:rPr>
        <w:t>1)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Łącznie z punktami osnowy podstawowej.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4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Typy stabilizacji punktów osnowy</w:t>
      </w:r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9"/>
          <w:left w:type="dxa" w:w="69"/>
          <w:bottom w:type="dxa" w:w="69"/>
          <w:right w:type="dxa" w:w="69"/>
        </w:tblCellMar>
      </w:tblP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Kod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Typ znaku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Szczegółowy opis typu znaku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Dotychczasowy kod znaku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Naziemny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Znak z trwałego materiału stabilizowany w gruncie lub na litym podłożu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2, 4, 8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2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Naziemny z częścią podziemną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Znak z trwałego materiału stabilizowany w gruncie, zawierający elementy podziemne umieszczone centrycznie pod znakiem naziemnym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5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3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Podziemny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Znak stabilizowany pod powierzchnią ziemi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6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4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Ścienny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Znak stabilizowany w ścianie budynku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3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5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 budowli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Znak zakładany na elementach stałych budowli np. trwale osadzony bolec, śruba, maszt anteny stacji referencyjnej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1, 7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6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Element budowli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Element budowli stałej np. podstawa krzyża lub środek gałki na wieżach budowli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0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7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Znak specjalny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Pozostałe typy znaków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9</w:t>
            </w:r>
          </w:p>
        </w:tc>
      </w:tr>
    </w:tbl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5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Oznaczenia stanu znaku</w:t>
      </w:r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9"/>
          <w:left w:type="dxa" w:w="69"/>
          <w:bottom w:type="dxa" w:w="69"/>
          <w:right w:type="dxa" w:w="69"/>
        </w:tblCellMar>
      </w:tblP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Kod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Stan znaku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0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Brak danych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Dobry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2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Uszkodzony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3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Zniszczony</w:t>
            </w:r>
          </w:p>
        </w:tc>
      </w:tr>
    </w:tbl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Rozdział 2. Podstawowa osnowa geodezyjna pozioma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1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Klasę fundamentalną podstawowej osnowy geodezyjnej poziomej tworzą punkty włączone do sieci stacji referencyjnych systemu ASG-EUPOS, których średni błąd położenia poziomego nie przekracza 0,01 m oraz średni błąd wysokości elipsoidalnej nie przekracza 0,02 m. Błąd wysokości normalnej nie powinien przekraczać 0,01 m w nawiązaniu do podstawowej osnowy geodezyjnej wysokościowej.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2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Klasę bazową podstawowej osnowy geodezyjnej poziomej tworzą punkty, których średni błąd położenia poziomego punktu nie przekracza 0,02 m oraz średni błąd wysokości elipsoidalnej tego punktu nie przekracza 0,02 m, względem klasy fundamentalnej podstawowej osnowy geodezyjnej poziomej. Błąd wysokości normalnej nie powinien przekraczać 0,05 m w nawiązaniu do geodezyjnej osnowy wysokościowej.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Rozdział 3. Podstawowa osnowa geodezyjna wysokościowa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1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Klasę fundamentalną podstawowej osnowy geodezyjnej wysokościowej tworzą punkty węzłowe krajowej części sieci niwelacyjnej Europy</w:t>
      </w:r>
      <w:r>
        <w:rPr>
          <w:rFonts w:ascii="Helvetica" w:hAnsi="Helvetica" w:cs="Helvetica" w:eastAsia="Helvetica"/>
          <w:b w:val="false"/>
          <w:i w:val="true"/>
          <w:caps w:val="false"/>
          <w:sz w:val="18"/>
          <w:u w:val="none"/>
        </w:rPr>
        <w:t>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2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Klasę bazową podstawowej osnowy geodezyjnej wysokościowej tworzą: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punkty krajowej części sieci niwelacyjnej Europy niewłączone do klasy fundamentalnej;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punkty wyznaczone techniką precyzyjnej niwelacji geometrycznej;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punkty wyznaczone metodą niwelacji satelitarnej.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3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Klasy fundamentalna i bazowa podstawowej osnowy geodezyjnej wysokościowej charakteryzują się dokładnością wyznaczenia wysokości punktu nie mniejszą niż 0,01 m.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4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Współrzędne poziome punktów podstawowej osnowy geodezyjnej wysokościowej wyznacza się z dokładnością zapewniającą średni błąd położenia nieprzekraczający 0,1 m względem osnowy geodezyjnej poziomej.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5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Dla sieci realizowanych metodą precyzyjnej niwelacji geometrycznej włączonych do podstawowej osnowy geodezyjnej wysokościowej średni błąd pomiaru nie powinien być większy niż 1,5 mm/km.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6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Wyrównanie wyników pomiarów sieci niwelacji geometrycznej wykonuje się metodą najmniejszych kwadratów z uwzględnieniem poprawek: komparacyjnej, termicznej, lunisolarnej oraz poprawki normalnej.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7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Wyrównanie wyników pomiarów niwelacji satelitarnej wykonuje się, wykorzystując różnice wysokości normalnych uzyskane z przeliczenia wysokości elipsoidalnych, z uwzględnieniem obowiązującego modelu quasigeoidy lub informacji o ziemskim polu siły ciężkości.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8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Instrumenty i przymiary używane przy zakładaniu i utrzymaniu podstawowej osnowy geodezyjnej wysokościowej powinny mieć przeprowadzone podstawowe i okresowe badania techniczne i wyznaczone poprawki komparacyjne.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Rozdział 4. Osnowa grawimetryczna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1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Osnowę grawimetryczną tworzą punkty wyznaczeń absolutnych, dla których wartość przyspieszenia siły ciężkości została określona z błędem średnim nie większym niż: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4,0 x 10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  <w:vertAlign w:val="superscript"/>
        </w:rPr>
        <w:t>-8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m/s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  <w:vertAlign w:val="superscript"/>
        </w:rPr>
        <w:t>2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- dla punktów klasy fundamentalnej osnowy grawimetrycznej;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1,0 x 10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  <w:vertAlign w:val="superscript"/>
        </w:rPr>
        <w:t>-7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m/s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  <w:vertAlign w:val="superscript"/>
        </w:rPr>
        <w:t>2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- dla punktów klasy bazowej osnowy grawimetrycznej.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2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Punkty osnowy grawimetrycznej stabilizuje się trwałym znakiem, którego dolna część znajduje się poniżej strefy przemarzania gruntu.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3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Współrzędne poziome punktu osnowy grawimetrycznej wyznacza się z dokładnością zapewniającą średni błąd położenia nieprzekraczający 0,1 m względem osnowy geodezyjnej poziomej.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4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Wysokość punktu osnowy grawimetrycznej wyznacza się z dokładnością nie mniejszą niż 0,01 m względem podstawowej osnowy geodezyjnej wysokościowej.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5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Pomiary przyspieszenia siły ciężkości redukuje się na poziom znaku pomiarowego z wykorzystaniem rzeczywistego gradientu pionowego, uwzględniając poprawki: pływową litosferyczną, pływową oceaniczną, barometryczną, ze względu na zmiany położenia bieguna ziemskiego oraz poprawki instrumentalne.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6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Przy wykonywaniu pomiarów statycznych wzorcowe wartości różnic przyspieszenia siły ciężkości wyznacza się na co najmniej trzech przęsłach grawimetrycznych baz kalibracyjnych: Frombork - Kasprowy Wierch lub Koszalin - Śnieżka.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7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Grawimetry absolutne wykorzystywane do pomiaru osnowy grawimetrycznej mają mieć wyznaczone poprawki względem międzynarodowego poziomu odniesienia grawimetrycznego poprzez udział w kampanii porównawczej grawimetrów absolutnych lub na punkcie referencyjnym międzynarodowego układu odniesienia grawimetrycznego.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Rozdział 5. Osnowa magnetyczna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1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Klasę fundamentalną osnowy magnetycznej tworzą magnetyczne punkty wiekowe, na których wyznaczono trzy elementy pola magnetycznego Ziemi: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moduł wektora natężenia pola magnetycznego - z błędem średnim nie większym niż 5 nT;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deklinację magnetyczną - z błędem średnim nie większym niż 0,5′;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inklinację magnetyczną - z błędem średnim nie większym niż 0,3′.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2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Klasę bazową osnowy magnetycznej tworzą punkty krajowego zdjęcia magnetycznego, na których wyznaczono co najmniej deklinację magnetyczną z błędem średnim nie większym niż 2,0’.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3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W przypadku pomiaru wartości natężenia pola magnetycznego i inklinacji magnetycznej na punktach klasy bazowej osnowy magnetycznej, błędy średnie wyznaczenia tych wartości nie powinny być większe niż: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5 nT dla modułu wektora natężenia pola magnetycznego;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1,0′ dla inklinacji magnetycznej.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4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Punkty osnowy magnetycznej stabilizuje się znakiem amagnetycznym.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5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Punkty osnowy magnetycznej należy sytuować w miejscach oddalonych od obszarów zurbanizowanych, przy czym punkty powinny być oddalone od obiektów mogących zakłócać ziemskie pole magnetyczne na odległość co najmniej: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od kolejowej trakcji elektrycznej - o 5 km;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od elektroenergetycznych linii wysokiego napięcia - o 0,5 km;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od budynków - o 0,1 km.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6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Bezwzględny gradient horyzontalny pola magnetycznego w miejscu założenia punktu osnowy magnetycznej nie powinien przekraczać 5 nT na 10 m.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7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Współrzędne poziome punktu osnowy magnetycznej wyznacza się z dokładnością zapewniającą średni błąd położenia nieprzekraczający 0,1 m względem osnowy geodezyjnej poziomej.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8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Wysokość punktu osnowy magnetycznej wyznacza się z dokładnością nie mniejszą niż 0,1 m w nawiązaniu do punktów podstawowej lub szczegółowej osnowy geodezyjnej wysokościowej.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9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Poprawki niezbędne do redukcji pomiarów o wpływ wariacji dobowych pola magnetycznego wyznacza się na podstawie magnetogramów zmian pola magnetycznego wyznaczonych w najbliższym obserwatorium magnetycznym lub na polowej magnetycznej stacji wariograficznej. Stację wariograficzną powinno instalować się w rejonie pomiarów, jeżeli odległość od obserwatorium magnetycznego jest większa niż 350 km lub gdy magnetogramy z najbliższego obserwatorium magnetycznego są niedostępne.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10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Wartości elementów pola magnetycznego Ziemi na punktach klasy bazowej osnowy magnetycznej aktualizuje się na podstawie zmian rozkładu przestrzennego zmian wiekowych pola magnetycznego Ziemi, wyznaczonych na punktach klasy fundamentalnej i w obserwatoriach magnetycznych, w szczególności poprzez przeliczenie istniejących danych magnetycznych do nowej epoki.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11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Przed rozpoczęciem i po zakończeniu sezonu pomiarów magnetycznych na punktach osnowy magnetycznej dokonuje się porównania wskazań instrumentów magnetycznych w obserwatorium magnetycznym.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Rozdział 6. Szczegółowa osnowa geodezyjna pozioma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1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Szczegółową osnowę geodezyjną poziomą tworzą: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punkty dotychczas zaliczane do tej osnowy;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punkty nowe, których średni błąd położenia względem punktów nawiązania po wyrównaniu jest nie większy niż 0,07 m.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2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Wysokości punktów szczegółowej osnowy geodezyjnej poziomej wyznacza się z dokładnością nie mniejszą niż 0,05 m.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3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Punkty szczegółowej osnowy geodezyjnej poziomej zakłada się w sieciach, wykorzystując do obliczenia współrzędnych tych punktów wyniki pomiarów satelitarnych GNSS wykonanych metodą statyczną oraz wyniki klasycznych pomiarów geodezyjnych.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4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Przy projektowaniu lokalizacji punktów szczegółowej osnowy geodezyjnej poziomej, innych niż punkty stacji referencyjnych, należy zapewnić widoczność na co najmniej dwa punkty osnowy tej samej lub wyższej klasy.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5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Przy projektowaniu lokalizacji punktów szczegółowej osnowy geodezyjnej poziomej należy unikać: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zakryć horyzontu i przeszkód terenowych mogących powodować odbicia sygnałów satelitarnych, w szczególności: budowli, drzew, krzewów;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zakłóceń pochodzących z aktywnych elementów infrastruktury technicznej emitujących fale elektromagnetyczne, w szczególności: nadajników radiowych, linii energetycznych, trakcji kolejowej lub tramwajowej.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6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Punkty szczegółowej osnowy geodezyjnej poziomej stabilizuje się jednopoziomowo, stosując znaki z tworzywa sztucznego, metalu lub innego trwałego materiału, przez ich zabetonowanie lub inne trwałe połączenie z podłożem lub z trwałym elementem budynku.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7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Dopuszcza się stabilizację znakiem naziemnym z częścią podziemną. Część podziemną stanowi płyta z trwale oznaczonym centrem. Znak naziemny stanowi usytuowany centrycznie nad płytą słup z trwałego materiału o wysokości nie mniejszej niż 0,70 m. Poszczególne części znaku powinny być oddzielone warstwą ziemi o grubości co najmniej 0,03 m.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8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Poziome nawiązanie geodezyjne sieci, o której mowa w ust. 3, z wyłączeniem sieci stacji referencyjnych, powinno być wykonane do wszystkich dostępnych do pomiaru punktów podstawowej osnowy geodezyjnej poziomej znajdujących się na terenie opracowania. Do pomiaru kontrolnego i wyrównania należy włączyć istniejące punkty osnowy tej samej klasy o znanych współrzędnych, stanowiące punkty kontrolne.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9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Przy pomiarze szczegółowej osnowy geodezyjnej poziomej z wykorzystaniem techniki GNSS należy uwzględniać następujące warunki techniczne: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pomiar powinien być przeprowadzony w nawiązaniu do co najmniej trzech punktów klasy fundamentalnej podstawowej osnowy geodezyjnej poziomej;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nie mniej niż jedna trzecia wyznaczanych punktów musi posiadać obserwacje wykonane w dwóch niezależnych sesjach pomiarowych;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czas trwania sesji pomiarowej musi być dostosowany do warunków wykonywania pomiarów, aby zapewnić osiągnięcie wymaganej dokładności;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4) antenę odbiornika należy ustawić nad mierzonym punktem szczegółowej osnowy geodezyjnej poziomej z dokładnością nie mniejszą niż 0,005 m;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5) wysokość anteny odbiornika nad centrem należy określić z dokładnością nie mniejszą niż 0,002 m.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10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Pomiary mogą być uzupełnione o adaptowane archiwalne wyniki pomiarów geodezyjnych, które spełniają wymagania dokładnościowe pozwalające na uzyskanie błędu położenia punktu po wyrównaniu nie większego niż 0,07 m.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11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Ścisłe wyrównanie sieci punktów szczegółowej osnowy geodezyjnej poziomej wykonuje się z wykorzystaniem odpowiednio zredukowanych wyników pomiarów geodezyjnych w następujący sposób: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współrzędne punktów sieci wyznaczane metodą łączącą różne techniki pomiaru oblicza się w procesie wyrównania wyników pomiarów geodezyjnych na elipsoidzie;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współrzędne punktów sieci wyznaczane z wykorzystaniem techniki GNSS oblicza się w procesie wyrównania niezależnych wektorów GNSS w układzie przestrzennym;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współrzędne punktów sieci wyznaczane metodami klasycznymi oblicza się w procesie wyrównania wyników pomiarów geodezyjnych na płaszczyźnie odwzorowania lub na elipsoidzie.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12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Wysokości punktów szczegółowej osnowy geodezyjnej poziomej wyznacza się metodami pozwalającymi na ich określenie z dokładnością, o której mowa w ust. 2, przy czym metoda wyrównania obserwacji powinna umożliwiać ocenę dokładności wyznaczenia wysokości punktu.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13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W przypadku punktów stabilizowanych dwupoziomowo wysokość określa się w odniesieniu do centra znaku naziemnego.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Rozdział 7. Szczegółowa osnowa geodezyjna wysokościowa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1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Szczegółową osnowę geodezyjną wysokościową tworzą punkty, których wysokości wyznaczono metodą: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niwelacji geometrycznej;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niwelacji satelitarnej.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2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Dla sieci realizowanych metodą niwelacji geometrycznej włączonych do szczegółowej osnowy geodezyjnej wysokościowej średni błąd pomiaru nie powinien być większy niż 4 mm/km.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3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Błąd wyznaczenia wysokości punktów szczegółowej osnowy geodezyjnej wysokościowej nie powinien być większy niż 0,01 m względem podstawowej osnowy geodezyjnej wysokościowej.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4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Współrzędne poziome punktów szczegółowej osnowy geodezyjnej wysokościowej wyznacza się z dokładnością zapewniającą średni błąd położenia nieprzekraczający 0,1 m względem osnowy geodezyjnej poziomej.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5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W przypadku pomiaru metodą niwelacji geometrycznej elementami konstrukcyjnymi sieci są linie niwelacyjne składające się z odcinków niwelacyjnych.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6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Długości linii niwelacyjnych nie powinny przekraczać 18 km, a na terenach zurbanizowanych - 6 km.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7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Długości odcinków niwelacyjnych powinny wynosić od 0,5 km do 1,0 km, a na terenach niezurbanizowanych nie powinny przekraczać 5 km.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8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Odcinki niwelacyjne mierzy się dwukrotnie: w kierunku głównym i w kierunku powrotnym tym samym kompletem sprzętu, przy czym: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liczba stanowisk niwelatora powinna być parzysta;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przy pomiarze w kierunku powrotnym łaty zamienia się tak, aby na punktach końcowych odcinka była ustawiana inna łata niż ta, która była obserwowana podczas pomiaru w kierunku głównym;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długości celowych powinny wynosić od 5 m do 50 m, a różnica długości celowych na stanowisku nie może być większa niż 1,0 m.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9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Przy pomiarze punktów szczegółowej osnowy geodezyjnej wysokościowej zakładanych metodą niwelacji satelitarnej należy uwzględnić: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warunki techniczne pomiaru, które zostały określone w rozdziale 6 ust. 9;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nawiązanie sieci do co najmniej czterech punktów podstawowej osnowy geodezyjnej wysokościowej;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wyrównanie wyników pomiarów w sposób określony w rozdziale 3 ust. 7.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10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Punkty szczegółowej osnowy geodezyjnej wysokościowej stabilizuje się, wykorzystując jeden z następujących rodzajów znaków: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naziemny, w którym właściwy punkt wysokościowy znajduje się nad powierzchnią gruntu, a jego dolna część znajduje się poniżej strefy przemarzania gruntu;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ścienny - w postaci metalowego bolca osadzonego w ścianie budowli, której fundamenty sięgają poniżej strefy przemarzania gruntu gwarantując jego stabilność;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na budowli - w postaci masztu stacji referencyjnej.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11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Znaki naziemne osadza się co najmniej na 3 miesiące przed rozpoczęciem pomiaru. Znaki ścienne osadza się co najmniej na 7 dni przed rozpoczęciem pomiaru.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12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Stabilność punktu nawiązania sieci niwelacyjnej powinna być sprawdzona przez wykonanie pomiaru kontrolnego pomiędzy tym punktem a najbliższym dostępnym punktem podstawowej osnowy geodezyjnej wysokościowej. Średni błąd pomiaru kontrolnego nie powinien być większy niż 4 mm/km.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13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Odchyłka zamknięcia poligonu niwelacyjnego, wyznaczona z wartości pomierzonych, nie powinna być większa niż 6√</w:t>
      </w:r>
      <w:r>
        <w:rPr>
          <w:rFonts w:ascii="Helvetica" w:hAnsi="Helvetica" w:cs="Helvetica" w:eastAsia="Helvetica"/>
          <w:b w:val="false"/>
          <w:i w:val="true"/>
          <w:caps w:val="false"/>
          <w:sz w:val="18"/>
          <w:u w:val="none"/>
        </w:rPr>
        <w:t xml:space="preserve"> F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mm, gdzie F określa długość obwodu poligonu w km.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14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Linie niwelacyjne przewidziane w całości lub w części do adaptacji powinny spełniać następujące kryteria: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rodzaje znaków wysokościowych i ich rozmieszczenie powinny odpowiadać kryteriom właściwym dla szczegółowej osnowy geodezyjnej wysokościowej;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archiwalne pomiary niwelacyjne powinny spełniać wymagania dokładnościowe właściwe dla szczegółowej osnowy geodezyjnej wysokościowej;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od pomiaru linii nie upłynęło więcej niż 30 lat.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15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Wyrównanie wyników pomiarów sieci niwelacji geometrycznej wykonuje się metodą najmniejszych kwadratów.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Rozdział 8. Numeracja punktów osnowy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1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Każdemu punktowi osnowy geodezyjnej, grawimetrycznej i magnetycznej nadaje się niepowtarzalny numer.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2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Numeracja punktów podstawowej osnowy geodezyjnej poziomej, podstawowej osnowy geodezyjnej wysokościowej, osnowy grawimetrycznej i osnowy magnetycznej odbywa się w sekcjach mapy topograficznej w układzie PL-1992 w skali 1:50 000 w następujący sposób: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pierwszy człon numeru punktu składający się z 7 znaków określa godło arkusza mapy topograficznej w układzie PL-1992 w skali 1:50 000, w którym punkt jest położony, z pominięciem występujących w godle myślników,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drugi człon numeru punktu składa się z oznaczenia rodzaju osnowy odpowiednio: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a) P - punkt podstawowej osnowy geodezyjnej poziomej,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b) H - punkt podstawowej osnowy geodezyjnej wysokościowej,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c) G - punkt osnowy grawimetrycznej,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d) M - punkt osnowy magnetycznej,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trzeci człon numeru punktu oznacza klasę osnowy: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a) F - fundamentalna,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b) B - bazowa,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4) czwarty człon numeru punktu oznacza kolejny numer punktu w ramach arkusza mapy wykorzystanego w pierwszym członie i przyjmuje wartość z zakresu 001-999,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5) piąty człon numeru punktu oznacza kolejność punktu w zespole, przy czym centr punktu oznacza się zawsze cyfrą 0 - przy czym pierwszy i drugi człon numeru rozdziela się myślnikiem.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3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Numeracja punktów szczegółowej osnowy geodezyjnej odbywa się w sekcjach mapy topograficznej w układzie PL-1992 w skali 1:10 000 w następujący sposób: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pierwszy człon numeru punktu składający się z 9 znaków określa godło arkusza mapy topograficznej w układzie PL-1992 w skali 1:10 000, w którym punkt jest położony, z pominięciem występujących w godle myślników,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drugi człon numeru punktu składa się z oznaczenia osnowy odpowiednio: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a) SP - dla punktów szczegółowej osnowy geodezyjnej poziomej,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b) SH - dla punktów szczegółowej osnowy geodezyjnej wysokościowej,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trzeci człon numeru punktu oznacza kolejny numer punktu w ramach arkusza mapy wykorzystanego w pierwszym członie i przyjmuje wartość z zakresu 1000-9999,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4) czwarty człon numeru punktu oznacza kolejność punktu w zespole, przy czym centr punktu oznacza się zawsze cyfrą 0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- przy czym pierwszy i drugi człon numeru rozdziela się myślnikiem.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Rozdział 9. Sporządzanie dokumentacji dotyczącej lokalizacji punktów osnowy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1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Dla każdego nowo zakładanego punktu osnowy sporządza się co najmniej jeden opis topograficzny.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2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Dopuszcza się sporządzanie dodatkowej dokumentacji, zawierającej zdjęcia, pliki graficzne oraz inne materiały dotyczące stanu i lokalizacji znaku.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3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Opis topograficzny punktu powinien zawierać co najmniej: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numer punktu;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nazwę miejscowości;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współrzędne geodezyjne punktu z dokładnością do 0,01″;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4) szkic lokalizacyjny;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5) dane dotyczące stabilizacji;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6) datę sporządzenia opisu lub jego aktualizacji;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7) nazwę wykonawcy oraz imię i nazwisko osoby, która opracowała opis.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4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Przy sporządzaniu szkicu lokalizacyjnego należy przyjąć następujące założenia: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na szkicu lokalizacyjnym przedstawia się położenie znaku lub zespołu znaków danego punktu oraz pobliskie trwałe i jednoznacznie identyfikowalne szczegóły terenowe istotne do odnalezienia znaku wraz z odległościami do tych szczegółów;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odległości do pobliskich szczegółów terenowych podaje się z dokładnością do 0,01 m;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przy wylotach dróg podaje się nazwy najbliższych miejscowości, do których drogi prowadzą;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4) szkic lokalizacyjny sporządza się z zastosowaniem oznaczeń i symboli graficznych właściwych dla treści mapy zasadniczej;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5) tło szkicu lokalizacyjnego może stanowić fragment zdjęcia lotniczego lub ortofotomapy;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6) szkic lokalizacyjny orientuje się do północy, przy czym kierunek północny na szkicu jest równoległy do bocznej ramki formularza.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5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Dane dotyczące stabilizacji, o których mowa w ust. 3 pkt 5, obejmują: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rodzaj znaku, jego numer, typ i wymiary;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odległości pomiędzy znakami w zespole oraz głębokości ich osadzenia;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usytuowanie punktów ekscentrycznych i sąsiednich punktów osnowy z podaniem odległości do nich;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4) w przypadku znaków ściennych - rysunek lub zdjęcie fragmentu ściany z podaniem wysokości znaku nad powierzchnią terenu i odległości do najbliższych charakterystycznych miejsc ściany.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Rozdział 10. Kompletowanie geodezyjnej dokumentacji technicznej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1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Geodezyjna dokumentacja techniczna powinna zawierać następujące dokumenty: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sprawozdanie techniczne zawierające opis wykonanych prac;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szkic sieci;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dokumentację pomiarów;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4) raport z wyrównania sieci;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5) opisy topograficzne punktów;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6) zawiadomienia o umieszczeniu znaków na nieruchomości;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7) pliki do zasilenia bazy danych;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8) inne materiały opracowane w trakcie realizacji prac.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2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Geodezyjna dokumentacja techniczna projektu osnowy powinna zawierać: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dane charakteryzujące projektowaną sieć, jej zasięg i strukturę;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punkty nawiązania, liczbę projektowanych punktów nowych i adaptowanych do pomiaru;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sposób wykorzystania archiwalnej dokumentacji technicznej;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4) proponowane typy znaków, sposób stabilizacji, metody pomiaru i inne dane, które odbiegają od standardowych ustaleń obowiązujących przepisów technicznych;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5) konstrukcję geometryczną projektowanej sieci przedstawioną na tle cyfrowych dokumentów pochodzących z państwowego zasobu geodezyjnego i kartograficznego.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Załącznik 2. Standardy techniczne udostępniania informacji lub danych z baz danych z wykorzystaniem usług sieciowych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Rozdział 1. Podstawowa osnowa geodezyjna pozioma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1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Usługi publikujące dane dotyczące podstawowej osnowy geodezyjnej poziomej są zgodne ze standardem Web Map Service (WMS) i Web Feature Service (WFS).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2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Usługi publikują dane w podziale na warstwy: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Fundamentalna podstawowa osnowa geodezyjna pozioma;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Bazowa podstawowa osnowa geodezyjna pozioma.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3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Szczegółową charakterystykę warstw i stosowanych symboli graficznych określa tabela nr 1.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Tabela 1</w:t>
      </w:r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9"/>
          <w:left w:type="dxa" w:w="69"/>
          <w:bottom w:type="dxa" w:w="69"/>
          <w:right w:type="dxa" w:w="69"/>
        </w:tblCellMar>
      </w:tblP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Tytuł warstwy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 warstwy w usłudze WMS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Symbol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Kolor bazowy (RGB)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Parametry prezentacji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Położenie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Zakres widoczności min/max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Fundamentalna osnowa pozioma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Fundamentalna pozioma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(patrz oryginał)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linie w kolorze czarnym (0,0,0)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wypełnienie trójkąta w kolorze żółtym (255,255,0)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wymiary 24x24 px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centralne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25px/m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pPr>
              <w:spacing w:after="0" w:before="0" w:lineRule="auto" w:line="240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do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0.1px/m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Etykiety fundamentalna pozioma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Fundamentalna pozioma etykiety</w:t>
            </w:r>
          </w:p>
        </w:tc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czarny (0,0,0)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 czcionka prosta, justowanie UR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pPr>
              <w:spacing w:after="0" w:before="0" w:lineRule="auto" w:line="240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- rozmiar 10 px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pPr>
              <w:spacing w:after="0" w:before="0" w:lineRule="auto" w:line="240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- kodowanie UTF-8,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- efekt,,halo'' 2 px 255,255,255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poziome +12px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25px/m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pPr>
              <w:spacing w:after="0" w:before="0" w:lineRule="auto" w:line="240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do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0.1px/m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Bazowa osnowa pozioma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Bazowa pozioma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(patrz oryginał)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linie w kolorze czarnym (0,0,0)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wypełnienie trójkąta w kolorze żółtym (255,255,0)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wymiary 24x24 px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centralne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25px/m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pPr>
              <w:spacing w:after="0" w:before="0" w:lineRule="auto" w:line="240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do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0.1px/m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Etykiety bazowa pozioma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Bazowa pozioma etykiety</w:t>
            </w:r>
          </w:p>
        </w:tc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czarny (0,0,0)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 czcionka prosta, justowanie UR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pPr>
              <w:spacing w:after="0" w:before="0" w:lineRule="auto" w:line="240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- rozmiar 10 px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pPr>
              <w:spacing w:after="0" w:before="0" w:lineRule="auto" w:line="240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- kodowanie UTF-8,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- efekt,,halo'' 2 px 255,255,255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poziome +12px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25px/m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pPr>
              <w:spacing w:after="0" w:before="0" w:lineRule="auto" w:line="240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do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0.1px/m</w:t>
            </w:r>
          </w:p>
        </w:tc>
      </w:tr>
    </w:tbl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4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Szczegółową charakterystykę parametrów funkcji GetMap określa tabela nr 2.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Tabela 2</w:t>
      </w:r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9"/>
          <w:left w:type="dxa" w:w="69"/>
          <w:bottom w:type="dxa" w:w="69"/>
          <w:right w:type="dxa" w:w="69"/>
        </w:tblCellMar>
      </w:tblP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Parametr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Opis lub wartość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Uwagi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VERSION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1.3.0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Usługa może wspierać starsze wersje standardu WMS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LAYERS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Nazwy warstw z tabeli nr 1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Usługa może publikować także dodatkowe warstwy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STYLES</w:t>
            </w:r>
          </w:p>
        </w:tc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Usługa jako domyślne wspiera style przedstawione w tabeli nr 1. Dopuszczalna jest obsługa dodatkowych stylów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SRS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EPSG:2180, EPSG:3857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oraz przynajmniej jedna wartość z poniższej listy: EPSG:2176, EPSG:2177, EPSG:2178, EPSG:2179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Usługa wspiera co najmniej układy współrzędnych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PL-1992, Web Mercator oraz PL-2000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BBOX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minX, miny, maxX, maxy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Współrzędne ograniczające zakres przestrzenny zapytania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WIDTH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Szerokość obrazu w pikselach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Serwer może odrzucić żądanie utworzenia obrazu o rozmiarze przekraczającym 4096 pikseli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HEIGHT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Wysokość obrazu w pikselach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Serwer może odrzucić żądanie utworzenia obrazu o rozmiarze przekraczającym 4096 pikseli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FORMAT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image/png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Usługa może wspierać inne formaty zapisu obrazu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TRANSPARENT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TRUE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Tło obrazka wyświetla się jako przezroczyste</w:t>
            </w:r>
          </w:p>
        </w:tc>
      </w:tr>
    </w:tbl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5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Podstawowe parametry wykorzystywane przez funkcję GetFeatureInfo określa tabela nr 3, a pozostałe wymagane parametry nieujęte w tabeli nr 3 są tożsame z parametrami funkcji GetMap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przedstawionymi w tabeli nr 2.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Tabela 3</w:t>
      </w:r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9"/>
          <w:left w:type="dxa" w:w="69"/>
          <w:bottom w:type="dxa" w:w="69"/>
          <w:right w:type="dxa" w:w="69"/>
        </w:tblCellMar>
      </w:tblP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Parametr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Wymagane wartości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Uwagi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QUERY LAYERS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Nazwy warstw z tabeli nr 1</w:t>
            </w:r>
          </w:p>
        </w:tc>
        <w:tc>
          <w:p/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INFO FORMAT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text/xml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Dopuszcza się również wsparcie dla innych formatów, np. HTML, przy zachowaniu co najmniej tego samego zakresu treści odpowiedzi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FEATURE COUNT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Liczba obiektów, dla których zwrócone zostaną atrybuty</w:t>
            </w:r>
          </w:p>
        </w:tc>
        <w:tc>
          <w:p/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Numer kolumny piksela</w:t>
            </w:r>
          </w:p>
        </w:tc>
        <w:tc>
          <w:p/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j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Numer wiersza piksela</w:t>
            </w:r>
          </w:p>
        </w:tc>
        <w:tc>
          <w:p/>
        </w:tc>
      </w:tr>
    </w:tbl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6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Funkcja GetFeatureInfo dla warstw: Fundamentalna pozioma i Bazowa pozioma zwraca standardowo wartości atrybutów: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numer punktu;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klasa osnowy;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współrzędna x punktu w układzie PL-1992;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4) współrzędna y punktu w układzie PL-1992;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5) błąd położenia punktu;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6) wysokość H punktu w układzie PL-EVRF2007-NH;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7) błąd wysokości punktu w układzie PL-EVRF2007-NH;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8) wysokość H punktu w układzie PL-KRON86-NH;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9) błąd wysokości punktu w układzie PL-KRON86-NH;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10) typ stabilizacji;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11) stan znaku;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12) URL pozwalający pobrać i wyświetlić plik graficzny zawierający opis topograficzny zakodowany w postaci &lt;![CDATA[&lt;a href="</w:t>
      </w: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 xml:space="preserve"> URL prowadzący do opisu topograficznego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'' target=" blank''&gt;Pobierz opis&lt;/a&gt;]]&gt;.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7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Strukturę odpowiedzi GetFeatureInfo w formacie XML określa poniższy schemat aplikacyjny.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(patrz oryginał)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Rozdział 2. Podstawowa osnowa geodezyjna wysokościowa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1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Usługi publikujące dane dotyczące podstawowej osnowy geodezyjnej wysokościowej są zgodne ze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standardem Web Map Service (WMS) i Web Feature Service (WFS).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2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Usługi publikują dane w podziale na warstwy: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Fundamentalna podstawowa osnowa geodezyjna wysokościowa;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Bazowa podstawowa osnowa geodezyjna wysokościowa.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3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Szczegółową charakterystykę warstw i stosowanych symboli graficznych określa tabela nr 4.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Tabela 4</w:t>
      </w:r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9"/>
          <w:left w:type="dxa" w:w="69"/>
          <w:bottom w:type="dxa" w:w="69"/>
          <w:right w:type="dxa" w:w="69"/>
        </w:tblCellMar>
      </w:tblP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Tytuł warstwy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 warstwy w usłudze WMS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Symbol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Kolor bazowy (RGB)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Parametry prezentacji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Położenie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Zakres widoczności min/max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Fundamentalna osnowa wysokościowa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Fundamentalna wysokosciowa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(patrz oryginał)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linie w kolorze niebieskim (0,0,255)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wypełnienie trójkąta w kolorze niebieskim (0,0,255)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wymiary 24x24 px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centralne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25px/m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pPr>
              <w:spacing w:after="0" w:before="0" w:lineRule="auto" w:line="240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do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0.1px/m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Etykiety fundamentalna wysokościowa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Fundamentalna wysokosciowa etykiety</w:t>
            </w:r>
          </w:p>
        </w:tc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czarny (0,0,0)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 czcionka prosta, justowanie UR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pPr>
              <w:spacing w:after="0" w:before="0" w:lineRule="auto" w:line="240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- rozmiar 10 px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pPr>
              <w:spacing w:after="0" w:before="0" w:lineRule="auto" w:line="240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- kodowanie UTF-8,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- efekt,,halo'' 2 px 255,255,255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poziome +12px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25px/m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pPr>
              <w:spacing w:after="0" w:before="0" w:lineRule="auto" w:line="240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do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0.1px/m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Bazowa osnowa wysokościowa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Bazowa wysokosciowa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(patrz oryginał)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linie w kolorze niebieskim (0,0,255)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wypełnienie trójkąta w kolorze niebieskim (0,0,255)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Wymiary 24x24 px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centralne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25px/m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pPr>
              <w:spacing w:after="0" w:before="0" w:lineRule="auto" w:line="240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do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0.1px/m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Etykiety bazowa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wysokościowa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Bazowa wysokosciowa etykiety</w:t>
            </w:r>
          </w:p>
        </w:tc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czarny (0,0,0)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 czcionka prosta, justowanie UR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pPr>
              <w:spacing w:after="0" w:before="0" w:lineRule="auto" w:line="240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- rozmiar 10 px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pPr>
              <w:spacing w:after="0" w:before="0" w:lineRule="auto" w:line="240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- kodowanie UTF-8,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- efekt,,halo'' 2 px 255,255,255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poziome +12px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25px/m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pPr>
              <w:spacing w:after="0" w:before="0" w:lineRule="auto" w:line="240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do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0.1px/m</w:t>
            </w:r>
          </w:p>
        </w:tc>
      </w:tr>
    </w:tbl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4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Szczegółową charakterystykę parametrów funkcji GetMap określa tabela nr 5.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Tabela 5</w:t>
      </w:r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9"/>
          <w:left w:type="dxa" w:w="69"/>
          <w:bottom w:type="dxa" w:w="69"/>
          <w:right w:type="dxa" w:w="69"/>
        </w:tblCellMar>
      </w:tblP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Parametr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Opis lub wartość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Uwagi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VERSION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1.3.0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Usługa może wspierać starsze wersje standardu WMS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LAYERS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Nazwy warstw z tabeli nr 4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Usługa może publikować także dodatkowe warstwy.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STYLES</w:t>
            </w:r>
          </w:p>
        </w:tc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Usługa jako domyślne wspiera style przedstawione w tabeli nr 4. Dopuszczalna jest obsługa dodatkowych stylów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SRS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EPSG:2180, EPSG:3857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oraz przynajmniej jedna wartość z poniższej listy: EPSG:2176, EPSG:2177, EPSG:2178, EPSG:2179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Usługa wspiera co najmniej układy współrzędnych PL-1992, Web Mercator oraz PL-2000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BBOX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minX, minY, maxX, maxY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Współrzędne ograniczające zakres przestrzenny zapytania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WIDTH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Szerokość obrazu w pikselach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Serwer może odrzucić żądanie utworzenia obrazu o rozmiarze przekraczającym 4096 pikseli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HEIGHT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Wysokość obrazu w pikselach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Serwer może odrzucić żądanie utworzenia obrazu o rozmiarze przekraczającym 4096 pikseli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FORMAT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image/png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Usługa może wspierać inne formaty zapisu obrazu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TRANSPARENT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TRUE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Tło obrazka wyświetla się jako przezroczyste</w:t>
            </w:r>
          </w:p>
        </w:tc>
      </w:tr>
    </w:tbl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5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Podstawowe parametry wykorzystywane przez funkcję GetFeatureInfo określa tabela nr 6, a pozostałe wymagane parametry nieujęte w tabeli nr 6 są tożsame z parametrami funkcji GetMap przedstawionymi w tabeli nr 5.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Tabela 6</w:t>
      </w:r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9"/>
          <w:left w:type="dxa" w:w="69"/>
          <w:bottom w:type="dxa" w:w="69"/>
          <w:right w:type="dxa" w:w="69"/>
        </w:tblCellMar>
      </w:tblP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Parametr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Wymagane wartości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Uwagi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QUERY LAYERS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Nazwy warstw z tabeli nr 4</w:t>
            </w:r>
          </w:p>
        </w:tc>
        <w:tc>
          <w:p/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INFO FORMAT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text/xml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Dopuszcza się również wsparcie dla innych formatów, np. HTML, przy zachowaniu co najmniej tego samego zakresu treści odpowiedzi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FEATURE COUNT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Liczba obiektów, dla których zwrócone zostaną atrybuty</w:t>
            </w:r>
          </w:p>
        </w:tc>
        <w:tc>
          <w:p/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Numer kolumny piksela</w:t>
            </w:r>
          </w:p>
        </w:tc>
        <w:tc>
          <w:p/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j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Numer wiersza piksela</w:t>
            </w:r>
          </w:p>
        </w:tc>
        <w:tc>
          <w:p/>
        </w:tc>
      </w:tr>
    </w:tbl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6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Funkcja GetFeatureInfo dla warstw: Fundamentalna wysokosciowa i Bazowa wysokosciowa zwraca standardowo wartości atrybutów: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numer punktu;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klasa osnowy;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współrzędna x punktu w układzie PL-1992;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4) współrzędna y punktu w układzie PL-1992;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5) błąd położenia punktu;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6) wysokość H punktu w układzie PL-EVRF2007-NH;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7) błąd wysokości punktu w układzie PL-EVRF2007-NH;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8) wysokość H punktu w układzie PL-KRON86-NH;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9) błąd wysokości punktu w układzie PL-KRON86-NH;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10) typ stabilizacji;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11) stan znaku;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12) URL pozwalający pobrać i wyświetlić plik graficzny zawierający opis topograficzny zakodowany w postaci &lt;![CDATA[&lt;a href="</w:t>
      </w: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 xml:space="preserve"> URL prowadzący do opisu topograficznego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'' target=" blank''&gt;Pobierz opis&lt;/a&gt;]]&gt;.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7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Strukturę odpowiedzi GetFeatureInfo w formacie XML określa poniższy schemat aplikacyjny.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(patrz oryginał)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Rozdział 3. Osnowa grawimetryczna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1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Usługi publikujące dane dotyczące osnowy grawimetrycznej są zgodne ze standardem Web Map Service (WMS) i Web Feature Service (WFS).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2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Usługi publikują dane w podziale na warstwy: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Fundamentalna osnowa grawimetryczna;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Bazowa osnowa grawimetryczna.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3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Szczegółową charakterystykę warstw i stosowanych symboli graficznych określa tabela nr 7.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Tabela 7</w:t>
      </w:r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9"/>
          <w:left w:type="dxa" w:w="69"/>
          <w:bottom w:type="dxa" w:w="69"/>
          <w:right w:type="dxa" w:w="69"/>
        </w:tblCellMar>
      </w:tblP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Tytuł warstwy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 warstwy w usłudze WMS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Symbol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Kolor bazowy (RGB)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Parametry prezentacji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Położenie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Zakres widoczności min/max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Fundamentalna osnowa grawimetryczna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Fundamentalna grawimetryczna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(patrz oryginał)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linie w kolorze pomarańczowym (255,127,39)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wypełnienie kwadratu w kolorze pomarańczowym (255,127,39)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wymiary 24x24 px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centralne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25px/m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pPr>
              <w:spacing w:after="0" w:before="0" w:lineRule="auto" w:line="240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do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0.1px/m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Etykiety fundamentalna grawimetryczna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Fundamentalna grawimetryczna etykiety</w:t>
            </w:r>
          </w:p>
        </w:tc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czarny (0,0,0)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 czcionka prosta, justowanie UR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pPr>
              <w:spacing w:after="0" w:before="0" w:lineRule="auto" w:line="240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- rozmiar 10 px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pPr>
              <w:spacing w:after="0" w:before="0" w:lineRule="auto" w:line="240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- kodowanie UTF-8,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- efekt,,halo'' 2 px 255,255,255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poziome +12px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25px/m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pPr>
              <w:spacing w:after="0" w:before="0" w:lineRule="auto" w:line="240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do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0.1px/m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Bazowa osnowa grawimetryczna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Bazowa grawimetryczna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(patrz oryginał)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linie w kolorze pomarańczowym (255,127,39)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wypełnienie kwadratu w kolorze pomarańczowym (255,127,39)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wymiary 24x24 px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centralne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25px/m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pPr>
              <w:spacing w:after="0" w:before="0" w:lineRule="auto" w:line="240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do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0.1px/m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Etykiety bazowa grawimetryczna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Bazowa grawimetryczna etykiety</w:t>
            </w:r>
          </w:p>
        </w:tc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czarny (0,0,0)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 czcionka prosta, justowanie UR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pPr>
              <w:spacing w:after="0" w:before="0" w:lineRule="auto" w:line="240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- rozmiar 10 px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pPr>
              <w:spacing w:after="0" w:before="0" w:lineRule="auto" w:line="240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- kodowanie UTF-8,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- efekt,,halo'' 2 px 255,255,255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poziome +12px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25px/m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pPr>
              <w:spacing w:after="0" w:before="0" w:lineRule="auto" w:line="240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do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0.1px/m</w:t>
            </w:r>
          </w:p>
        </w:tc>
      </w:tr>
    </w:tbl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4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Szczegółową charakterystykę parametrów funkcji GetMap określa tabela nr 8.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Tabela 8</w:t>
      </w:r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9"/>
          <w:left w:type="dxa" w:w="69"/>
          <w:bottom w:type="dxa" w:w="69"/>
          <w:right w:type="dxa" w:w="69"/>
        </w:tblCellMar>
      </w:tblP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Parametr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Opis lub wartość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Uwagi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VERSION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1.3.0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Usługa może wspierać starsze wersje standardu WMS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LAYERS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Nazwy warstw z tabeli nr 7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Usługa może publikować także dodatkowe warstwy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STYLES</w:t>
            </w:r>
          </w:p>
        </w:tc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Usługa jako domyślne wspiera style przedstawione w tabeli nr 7. Dopuszczalna jest obsługa dodatkowych stylów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SRS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EPSG:2180, EPSG:3857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oraz przynajmniej jedna wartość z poniższej listy: EPSG:2176, EPSG:2177, EPSG:2178, EPSG:2179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Usługa wspiera co najmniej układy współrzędnych PL-1992, Web Mercator oraz PL-2000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BBOX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minX, miny, maxX, maxY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Współrzędne ograniczające zakres przestrzenny zapytania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WIDTH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Szerokość obrazu w pikselach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Serwer może odrzucić żądanie utworzenia obrazu o rozmiarze przekraczającym 4096 pikseli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HEIGHT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Wysokość obrazu w pikselach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Serwer może odrzucić żądanie utworzenia obrazu o rozmiarze przekraczającym 4096 pikseli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FORMAT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image/png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Usługa może wspierać inne formaty zapisu obrazu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TRANSPARENT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TRUE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Tło obrazka wyświetla się jako przezroczyste</w:t>
            </w:r>
          </w:p>
        </w:tc>
      </w:tr>
    </w:tbl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5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Podstawowe parametry wykorzystywane przez funkcję GetFeatureInfo określa tabela nr 9, a pozostałe wymagane parametry nieujęte w tabeli nr 9 są tożsame z parametrami funkcji GetMap przedstawionymi w tabeli nr 8.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Tabela 9</w:t>
      </w:r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9"/>
          <w:left w:type="dxa" w:w="69"/>
          <w:bottom w:type="dxa" w:w="69"/>
          <w:right w:type="dxa" w:w="69"/>
        </w:tblCellMar>
      </w:tblP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Parametr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Wymagane wartości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Uwagi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QUERY LAYERS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Nazwy warstw z tabeli nr 7</w:t>
            </w:r>
          </w:p>
        </w:tc>
        <w:tc>
          <w:p/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INFO FORMAT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text/xml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Dopuszcza się również wsparcie dla innych formatów, np. HTML, przy zachowaniu co najmniej tego samego zakresu treści odpowiedzi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FEATURE COUNT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Liczba obiektów, dla których zwrócone zostaną atrybuty</w:t>
            </w:r>
          </w:p>
        </w:tc>
        <w:tc>
          <w:p/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Numer kolumny piksela</w:t>
            </w:r>
          </w:p>
        </w:tc>
        <w:tc>
          <w:p/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j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Numer wiersza piksela</w:t>
            </w:r>
          </w:p>
        </w:tc>
        <w:tc>
          <w:p/>
        </w:tc>
      </w:tr>
    </w:tbl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6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Funkcja GetFeatureInfo dla warstw: Fundamentalna grawimetryczna i Bazowa grawimetryczna zwraca standardowo wartości atrybutów: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numer punktu;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klasa osnowy;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współrzędna x punktu w układzie PL-1992;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4) współrzędna y punktu w układzie PL-1992;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5) błąd położenia punktu;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6) wysokość H punktu w układzie PL-EVRF2007-NH;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7) błąd wysokości punktu w układzie PL-EVRF2007-NH;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8) wysokość H punktu w układzie PL-KRON86-NH;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9) błąd wysokości punktu w układzie PL-KRON86-NH;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10) typ stabilizacji;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11) stan znaku;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12) wartość przyspieszenia siły ciężkości;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13) błąd wyznaczenia wartości przyspieszenia siły ciężkości;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14) gradient pionowy przyspieszenia siły ciężkości;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15) URL pozwalający pobrać i wyświetlić plik graficzny zawierający opis topograficzny zakodowany w postaci &lt;![CDATA[&lt;a href="</w:t>
      </w: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 xml:space="preserve"> URL prowadzący do opisu topograficznego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'' target=" blank''&gt;Pobierz opis&lt;/a&gt;]]&gt;.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7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Strukturę odpowiedzi GetFeatureInfo w formacie XML określa poniższy schemat aplikacyjny.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(patrz oryginał)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Rozdział 4. Osnowa magnetyczna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1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Usługi publikujące dane dotyczące osnowy magnetycznej są zgodne ze standardem Web Map Service (WMS) i Web Feature Service (WFS).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2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Usługi publikują dane w podziale na warstwy: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Fundamentalna osnowa magnetyczna;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Bazowa osnowa magnetyczna.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3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Szczegółową charakterystykę warstw i stosowanych symboli graficznych określa tabela nr 10.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Tabela 10</w:t>
      </w:r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9"/>
          <w:left w:type="dxa" w:w="69"/>
          <w:bottom w:type="dxa" w:w="69"/>
          <w:right w:type="dxa" w:w="69"/>
        </w:tblCellMar>
      </w:tblP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Tytuł warstwy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 warstwy w usłudze WMS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Symbol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Kolor bazowy (RGB)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Parametry prezentacji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Położenie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Zakres widoczności min/max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Fundamentalna osnowa magnetyczna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Fundamentalna magnetyczna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(patrz oryginał)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linie w kolorze czarnym (0,0,0)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wypełnienie rombu w kolorach białym (255,255,255) i czarnym (0,0,0)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wymiary 24x24 px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centralne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25px/m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pPr>
              <w:spacing w:after="0" w:before="0" w:lineRule="auto" w:line="240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do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0.1px/m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Etykiety fundamentalna magnetyczna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Fundamentalna magnetyczna etykiety</w:t>
            </w:r>
          </w:p>
        </w:tc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czarny (0,0,0)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 czcionka prosta, justowanie UR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pPr>
              <w:spacing w:after="0" w:before="0" w:lineRule="auto" w:line="240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- rozmiar 10 px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pPr>
              <w:spacing w:after="0" w:before="0" w:lineRule="auto" w:line="240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- kodowanie UTF-8,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- efekt,,halo'' 2 px 255,255,255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poziome +12px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25px/m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pPr>
              <w:spacing w:after="0" w:before="0" w:lineRule="auto" w:line="240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do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0.1px/m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Bazowa osnowa magnetyczna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Bazowa magnetyczna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(patrz oryginał)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linie w kolorze czarnym (0,0,0)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wypełnienie rombu w kolorach białym (255,255,255) i czarnym (0,0,0)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wymiary 24x24 px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centralne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25px/m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pPr>
              <w:spacing w:after="0" w:before="0" w:lineRule="auto" w:line="240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do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0.1px/m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Etykiety bazowa magnetyczna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Bazowa magnetyczna etykiety</w:t>
            </w:r>
          </w:p>
        </w:tc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czarny (0,0,0)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 czcionka prosta, justowanie UR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pPr>
              <w:spacing w:after="0" w:before="0" w:lineRule="auto" w:line="240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- rozmiar 10 px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pPr>
              <w:spacing w:after="0" w:before="0" w:lineRule="auto" w:line="240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- kodowanie UTF-8,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- efekt,,halo'' 2 px 255,255,255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poziome +12px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25px/m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pPr>
              <w:spacing w:after="0" w:before="0" w:lineRule="auto" w:line="240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do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0.1px/m</w:t>
            </w:r>
          </w:p>
        </w:tc>
      </w:tr>
    </w:tbl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4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Szczegółową charakterystykę parametrów funkcji GetMap określa tabela nr 11.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Tabela 11</w:t>
      </w:r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9"/>
          <w:left w:type="dxa" w:w="69"/>
          <w:bottom w:type="dxa" w:w="69"/>
          <w:right w:type="dxa" w:w="69"/>
        </w:tblCellMar>
      </w:tblP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Parametr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Opis lub wartość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Uwagi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VERSION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1.3.0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Usługa może wspierać starsze wersje standardu WMS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LAYERS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Nazwy warstw z tabeli nr 10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Usługa może publikować także dodatkowe warstwy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STYLES</w:t>
            </w:r>
          </w:p>
        </w:tc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Usługa jako domyślne wspiera style przedstawione w tabeli nr 10. Dopuszczalna jest obsługa dodatkowych stylów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SRS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EPSG:2180, EPSG:3857 oraz przynajmniej jedna wartość z poniższej listy: EPSG:2176, EPSG:2177, EPSG:2178, EPSG:2179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Usługa wspiera co najmniej układy współrzędnych PL-1992, Web Mercator oraz PL-2000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BBOX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minX, minY, maxX, maxY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Współrzędne ograniczające zakres przestrzenny zapytania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WIDTH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Szerokość obrazu w pikselach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Serwer może odrzucić żądanie utworzenia obrazu o rozmiarze przekraczającym 4096 pikseli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HEIGHT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Wysokość obrazu w pikselach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Serwer może odrzucić żądanie utworzenia obrazu o rozmiarze przekraczającym 4096 pikseli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FORMAT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image/png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Usługa może wspierać inne formaty zapisu obrazu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TRANSPARENT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TRUE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Tło obrazka wyświetla się jako przezroczyste</w:t>
            </w:r>
          </w:p>
        </w:tc>
      </w:tr>
    </w:tbl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5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Podstawowe parametry wykorzystywane przez funkcję GetFeatureInfo określa tabela nr 12, a pozostałe wymagane parametry nieujęte w tabeli nr 12 są tożsame z parametrami funkcji GetMap przedstawionymi w tabeli nr 11.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Tabela 12</w:t>
      </w:r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9"/>
          <w:left w:type="dxa" w:w="69"/>
          <w:bottom w:type="dxa" w:w="69"/>
          <w:right w:type="dxa" w:w="69"/>
        </w:tblCellMar>
      </w:tblP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Parametr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Wymagane wartości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Uwagi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QUERY LAYERS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Nazwy warstw z tabeli nr 10</w:t>
            </w:r>
          </w:p>
        </w:tc>
        <w:tc>
          <w:p/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INFO FORMAT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text/xml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Dopuszcza się również wsparcie dla innych formatów, np. HTML, przy zachowaniu co najmniej tego samego zakresu treści odpowiedzi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FEATURE COUNT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Liczba obiektów, dla których zwrócone zostaną atrybuty</w:t>
            </w:r>
          </w:p>
        </w:tc>
        <w:tc>
          <w:p/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Numer kolumny piksela</w:t>
            </w:r>
          </w:p>
        </w:tc>
        <w:tc>
          <w:p/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j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Numer wiersza piksela</w:t>
            </w:r>
          </w:p>
        </w:tc>
        <w:tc>
          <w:p/>
        </w:tc>
      </w:tr>
    </w:tbl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6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Funkcja GetFeatureInfo dla warstw: Fundamentalna magnetyczna i Bazowa magnetyczna zwraca standardowo wartości atrybutów: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numer punktu;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klasa osnowy;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współrzędna x punktu w układzie PL-1992;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4) współrzędna y punktu w układzie PL-1992;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5) błąd położenia punktu;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6) wysokość H punktu w układzie PL-EVRF2007-NH;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7) błąd wysokości punktu w układzie PL-EVRF2007-NH;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8) wysokość H punktu w układzie PL-KRON86-NH;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9) błąd wysokości punktu w układzie PL-KRON86-NH;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10) typ stabilizacji;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11) stan znaku;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12) wartość deklinacji magnetycznej;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13) błąd wartość deklinacji magnetycznej;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14) wartość inklinacji magnetycznej;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15) błąd wartości inklinacji magnetycznej;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16) wartość natężenia pola magnetycznego;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17) błąd wartości natężenia pola magnetycznego;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18) epoka wyznaczenia;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19) URL pozwalający pobrać i wyświetlić plik graficzny zawierający opis topograficzny zakodowany w postaci &lt;![CDATA[&lt;a href="</w:t>
      </w: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 xml:space="preserve"> URL prowadzący do opisu topograficznego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'' target=" blank''&gt;Pobierz opis&lt;/a&gt;]]&gt;.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7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Strukturę odpowiedzi GetFeatureInfo w formacie XML określa poniższy schemat aplikacyjny.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(patrz oryginał)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Rozdział 5. Szczegółowe osnowy geodezyjne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1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Usługi publikujące dane z bazy danych szczegółowych osnów geodezyjnych są zgodne ze standardem Web Map Service (WMS) i Web Feature Service (WFS).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2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Usługi publikują dane w podziale na warstwy: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Osnowa pozioma;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Osnowa wysokościowa.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3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Szczegółową charakterystykę warstw i stosowanych symboli graficznych określa tabela nr 13.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Tabela 13</w:t>
      </w:r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9"/>
          <w:left w:type="dxa" w:w="69"/>
          <w:bottom w:type="dxa" w:w="69"/>
          <w:right w:type="dxa" w:w="69"/>
        </w:tblCellMar>
      </w:tblP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Tytuł warstwy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 warstwy w usłudze WMS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Symbol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Kolor bazowy (RGB)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Parametry prezentacji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Położenie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Zakres widoczności min/max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Osnowa pozioma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Osnowa pozioma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(patrz oryginał)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linie i krzyż w kolorze czarnym(0,0,0)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wypełnienie w kolorze żółtym (255,255,0).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wymiary 24x24 px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centralne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25px/m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pPr>
              <w:spacing w:after="0" w:before="0" w:lineRule="auto" w:line="240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do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0.1px/m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Etykiety osnowy poziomej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Osnowa pozioma etykiety</w:t>
            </w:r>
          </w:p>
        </w:tc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Czarny (0,0,0)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 czcionka prosta, justowanie UR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pPr>
              <w:spacing w:after="0" w:before="0" w:lineRule="auto" w:line="240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- rozmiar 10 px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pPr>
              <w:spacing w:after="0" w:before="0" w:lineRule="auto" w:line="240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- kodowanie UTF-8,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- efekt,,halo'' 2 px 255,255,255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poziome +12px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25px/m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pPr>
              <w:spacing w:after="0" w:before="0" w:lineRule="auto" w:line="240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do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0.1px/m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Osnowa wysokościowa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Osnowa wysokosciowa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(patrz oryginał)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linie w kolorze czarnym (0,0,0),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krzyż w kolorze białym (255,255,255) wypełnienie w kolorze niebieskim (0,0,255)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wymiary 24x24 px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centralne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25px/m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pPr>
              <w:spacing w:after="0" w:before="0" w:lineRule="auto" w:line="240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do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0.1px/m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Etykiety osnowy wysokościowej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Osnowa wysokosciowa etykiety</w:t>
            </w:r>
          </w:p>
        </w:tc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czarny (0,0,0)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 czcionka prosta, justowanie LR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pPr>
              <w:spacing w:after="0" w:before="0" w:lineRule="auto" w:line="240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- rozmiar 10 px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pPr>
              <w:spacing w:after="0" w:before="0" w:lineRule="auto" w:line="240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- kodowanie UTF-8,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- efekt,,halo'' 2 px 255,255,255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poziome +8px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25px/m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pPr>
              <w:spacing w:after="0" w:before="0" w:lineRule="auto" w:line="240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do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0.1px/m</w:t>
            </w:r>
          </w:p>
        </w:tc>
      </w:tr>
    </w:tbl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4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Szczegółową charakterystykę parametrów funkcji GetMap określa tabela nr 14.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Tabela 14</w:t>
      </w:r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9"/>
          <w:left w:type="dxa" w:w="69"/>
          <w:bottom w:type="dxa" w:w="69"/>
          <w:right w:type="dxa" w:w="69"/>
        </w:tblCellMar>
      </w:tblP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Parametr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Opis lub wartość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Uwagi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VERSION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1.3.0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Usługa może wspierać starsze wersje standardu WMS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LAYERS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Nazwy warstw z tabeli nr 13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Usługa może publikować także dodatkowe warstwy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STYLES</w:t>
            </w:r>
          </w:p>
        </w:tc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Usługa jako domyślne wspiera style przedstawione w tabeli nr 13.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Dopuszczalna jest obsługa dodatkowych stylów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SRS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EPSG:2180, EPSG:3857 oraz przynajmniej jedna wartość z poniższej listy: EPSG:2176, EPSG:2177, EPSG:2178, EPSG:2179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Usługa wspiera co najmniej układy współrzędnych PL-1992, Web Mercator oraz PL-2000, przy czym w przypadku układu PL-2000 usługa musi wspierać tę strefę układu, w której zostały określone współrzędne punktu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BBOX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minX, minY, maxX, maxY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Współrzędne ograniczające zakres przestrzenny zapytania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WIDTH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Szerokość obrazu w pikselach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Serwer może odrzucić żądanie utworzenia obrazu o rozmiarze przekraczającym 4096 pikseli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HEIGHT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Wysokość obrazu w pikselach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Serwer może odrzucić żądanie utworzenia obrazu o rozmiarze przekraczającym 4096 pikseli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FORMAT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image/png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Usługa może wspierać inne formaty zapisu obrazu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TRANSPARENT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TRUE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Tło obrazka wyświetla się jako przezroczyste</w:t>
            </w:r>
          </w:p>
        </w:tc>
      </w:tr>
    </w:tbl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5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Podstawowe parametry wykorzystywane przez funkcję GetFeatureInfo określa tabela nr 15, a pozostałe wymagane parametry nieujęte w tabeli nr 15 są tożsame z parametrami funkcji GetMap przedstawionymi w tabeli nr 14.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Tabela 15</w:t>
      </w:r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9"/>
          <w:left w:type="dxa" w:w="69"/>
          <w:bottom w:type="dxa" w:w="69"/>
          <w:right w:type="dxa" w:w="69"/>
        </w:tblCellMar>
      </w:tblP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Parametr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Wymagane wartości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Uwagi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QUERY LAYERS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Nazwy warstw z tabeli nr 13</w:t>
            </w:r>
          </w:p>
        </w:tc>
        <w:tc>
          <w:p/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INFO FORMAT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text/xml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Dopuszcza się również wsparcie dla innych formatów, np. HTML, przy zachowaniu co najmniej tego samego zakresu treści odpowiedzi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FEATURE COUNT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Liczba obiektów, dla których zostaną zwrócone atrybuty</w:t>
            </w:r>
          </w:p>
        </w:tc>
        <w:tc>
          <w:p/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Numer kolumny piksela</w:t>
            </w:r>
          </w:p>
        </w:tc>
        <w:tc>
          <w:p/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j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Numer wiersza piksela</w:t>
            </w:r>
          </w:p>
        </w:tc>
        <w:tc>
          <w:p/>
        </w:tc>
      </w:tr>
    </w:tbl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6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Funkcja GetFeatureInfo dla warstw: Osnowa pozioma i Osnowa wysokosciowa zwraca standardowo wartości atrybutów: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numer punktu;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rodzaj osnowy;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współrzędna x punktu w układzie PL-2000;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4) współrzędna y punktu w układzie PL-2000;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5) strefa układu PL-2000;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6) błąd położenia punktu;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7) wysokość H punktu w układzie PL-EVRF2007-NH;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8) błąd wysokości punktu w układzie PL-EVRF2007-NH;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9) wysokość H punktu w układzie PL-KRON86-NH;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10) błąd wysokości punktu w układzie PL-KRON86-NH;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11) typ stabilizacji;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12) stan znaku;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13) URL pozwalający pobrać i wyświetlić plik graficzny zawierający opis topograficzny zakodowany w postaci &lt;![CDATA[&lt;a href="</w:t>
      </w: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 xml:space="preserve"> uRl prowadzący do opisu topograficznego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'' target=" blank''&gt;Pobierz opis&lt;/a&gt;]]&gt;.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7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Strukturę odpowiedzi GetFeatureInfo w formacie XML określa poniższy schemat aplikacyjny.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(patrz oryginał)</w:t>
      </w:r>
    </w:p>
    <w:sectPr>
      <w:footerReference w:type="default" r:id="rId3"/>
      <w:pgSz w:w="12240" w:h="15840"/>
    </w:sectPr>
    <w:sectPr>
      <w:type w:val="nextColumn"/>
    </w:sectPr>
  </w:body>
</w:document>
</file>

<file path=word/footer1.xml><?xml version="1.0" encoding="utf-8"?>
<w:ftr xmlns:w="http://schemas.openxmlformats.org/wordprocessingml/2006/main">
  <w:p>
    <w:r>
      <w:t>Legalis</w:t>
    </w:r>
  </w:p>
</w:ftr>
</file>

<file path=word/footnotes.xml><?xml version="1.0" encoding="utf-8"?>
<w:footnotes xmlns:w="http://schemas.openxmlformats.org/wordprocessingml/2006/main">
  <w:footnote w:id="1">
    <w:p>
      <w:pPr>
        <w:pStyle w:val="FootnoteText"/>
        <w:jc w:val="both"/>
      </w:pPr>
      <w:r>
        <w:rPr>
          <w:rStyle w:val="FootnoteReference"/>
        </w:rPr>
        <w:footnoteRef/>
      </w:r>
      <w:r>
        <w:t xml:space="preserve"/>
      </w:r>
      <w:r>
        <w:rPr>
          <w:rFonts w:ascii="Helvetica" w:hAnsi="Helvetica" w:cs="Helvetica" w:eastAsia="Helvetica"/>
          <w:sz w:val="18"/>
        </w:rPr>
        <w:t xml:space="preserve"> Minister Rozwoju, Pracy i Technologii kieruje działem administracji rządowej - budownictwo, planowanie i zagospodarowanie przestrzenne oraz mieszkalnictwo, na podstawie § 1 ust. 2 pkt 1 rozporządzenia Prezesa Rady Ministrów z dnia 6 października 2020 r. w sprawie szczegółowego zakresu działania Ministra Rozwoju, Pracy i Technologii (Dz.U. poz. 1718).</w:t>
      </w:r>
    </w:p>
  </w:footnote>
  <w:footnote w:id="0">
    <w:p>
      <w:pPr>
        <w:pStyle w:val="FootnoteText"/>
        <w:jc w:val="both"/>
      </w:pPr>
      <w:r>
        <w:rPr>
          <w:rStyle w:val="FootnoteReference"/>
        </w:rPr>
        <w:footnoteRef/>
      </w:r>
      <w:r>
        <w:t xml:space="preserve"/>
      </w:r>
      <w:r>
        <w:rPr>
          <w:rFonts w:ascii="Helvetica" w:hAnsi="Helvetica" w:cs="Helvetica" w:eastAsia="Helvetica"/>
          <w:sz w:val="18"/>
        </w:rPr>
        <w:t xml:space="preserve"> Niniejsze rozporządzenie było poprzedzone rozporządzeniem Ministra Administracji i Cyfryzacji z dnia 14 lutego 2012 r. w sprawie osnów geodezyjnych, grawimetrycznych i magnetycznych (Dz.U. poz. 352), które traci moc z dniem wejścia w życie niniejszego rozporządzenia zgodnie z art. 19 ustawy z dnia 16 kwietnia 2020 r. o zmianie ustawy - Prawo geodezyjne i kartograficzne oraz niektórych innych ustaw (Dz.U. poz. 782).</w:t>
      </w:r>
    </w:p>
  </w:footnote>
</w:footnotes>
</file>

<file path=word/settings.xml><?xml version="1.0" encoding="utf-8"?>
<w:settings xmlns:w="http://schemas.openxmlformats.org/wordprocessingml/2006/main">
  <w:autoHyphenation/>
</w:settings>
</file>

<file path=word/styles.xml><?xml version="1.0" encoding="utf-8"?>
<w:styles xmlns:w="http://schemas.openxmlformats.org/wordprocessingml/2006/main">
  <w:style w:styleId="FootnoteReference" w:type="character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Pr>
      <w:sz w:val="20"/>
      <w:szCs w:val="20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footnotes.xml" Type="http://schemas.openxmlformats.org/officeDocument/2006/relationships/footnot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2025-08-28T06:02:12Z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isPPL">
    <vt:lpwstr>false</vt:lpwstr>
  </property>
</Properties>
</file>