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w10="urn:schemas-microsoft-com:office:word" xmlns:v="urn:schemas-microsoft-com:vml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body>
    <!-- Created by docx4j 11.4.11 (Apache licensed) using REFERENCE JAXB in Eclipse Adoptium Java 21.0.6 on Linux -->
    <w:p>
      <w:pPr>
        <w:pStyle w:val="TitleStyle"/>
      </w:pPr>
      <w:r>
        <w:t>Rodzaje prac geodezyjnych i kartograficznych mających znaczenie dla obronności i bezpieczeństwa państwa oraz sposób współdziałania Głównego Geodety Kraju z Ministrem Obrony Narodowej.</w:t>
      </w:r>
    </w:p>
    <w:p>
      <w:pPr>
        <w:pStyle w:val="NormalStyle"/>
      </w:pPr>
      <w:r>
        <w:t>Dz.U.2015.107 z dnia 2015.01.21</w:t>
      </w:r>
    </w:p>
    <w:p>
      <w:pPr>
        <w:pStyle w:val="NormalStyle"/>
      </w:pPr>
      <w:r>
        <w:t xml:space="preserve">Status: Akt obowiązujący </w:t>
      </w:r>
    </w:p>
    <w:p>
      <w:pPr>
        <w:pStyle w:val="NormalStyle"/>
      </w:pPr>
      <w:r>
        <w:t xml:space="preserve">Wersja od: 22 stycznia 2015r. </w:t>
      </w:r>
    </w:p>
    <w:p>
      <w:pPr>
        <w:spacing w:before="60" w:after="0"/>
        <w:ind w:left="0"/>
        <w:jc w:val="center"/>
        <w:textAlignment w:val="auto"/>
      </w:pPr>
      <w:r>
        <w:rPr>
          <w:rFonts w:ascii="Times New Roman"/>
          <w:b/>
          <w:i w:val="false"/>
          <w:color w:val="000000"/>
          <w:sz w:val="24"/>
          <w:lang w:val="pl-PL"/>
        </w:rPr>
        <w:t>ROZPORZĄDZENIE</w:t>
      </w:r>
    </w:p>
    <w:p>
      <w:pPr>
        <w:spacing w:after="0"/>
        <w:ind w:left="0"/>
        <w:jc w:val="center"/>
        <w:textAlignment w:val="auto"/>
      </w:pPr>
      <w:r>
        <w:rPr>
          <w:rFonts w:ascii="Times New Roman"/>
          <w:b/>
          <w:i w:val="false"/>
          <w:color w:val="000000"/>
          <w:sz w:val="24"/>
          <w:lang w:val="pl-PL"/>
        </w:rPr>
        <w:t xml:space="preserve">MINISTRA ADMINISTRACJI I CYFRYZACJI </w:t>
      </w:r>
      <w:r>
        <w:rPr>
          <w:rFonts w:ascii="Times New Roman"/>
          <w:b/>
          <w:i w:val="false"/>
          <w:color w:val="000000"/>
          <w:sz w:val="24"/>
          <w:lang w:val="pl-PL"/>
        </w:rPr>
        <w:t xml:space="preserve"> </w:t>
      </w:r>
    </w:p>
    <w:p>
      <w:pPr>
        <w:spacing w:before="80" w:after="0"/>
        <w:ind w:left="0"/>
        <w:jc w:val="center"/>
        <w:textAlignment w:val="auto"/>
      </w:pPr>
      <w:r>
        <w:rPr>
          <w:rFonts w:ascii="Times New Roman"/>
          <w:b/>
          <w:i w:val="false"/>
          <w:color w:val="000000"/>
          <w:sz w:val="24"/>
          <w:lang w:val="pl-PL"/>
        </w:rPr>
        <w:t>z dnia 16 stycznia 2015 r.</w:t>
      </w:r>
    </w:p>
    <w:p>
      <w:pPr>
        <w:spacing w:before="80" w:after="0"/>
        <w:ind w:left="0"/>
        <w:jc w:val="center"/>
        <w:textAlignment w:val="auto"/>
      </w:pPr>
      <w:r>
        <w:rPr>
          <w:rFonts w:ascii="Times New Roman"/>
          <w:b/>
          <w:i w:val="false"/>
          <w:color w:val="000000"/>
          <w:sz w:val="24"/>
          <w:lang w:val="pl-PL"/>
        </w:rPr>
        <w:t>w sprawie rodzajów prac geodezyjnych i kartograficznych mających znaczenie dla obronności i bezpieczeństwa państwa oraz sposobu współdziałania Głównego Geodety Kraju z Ministrem Obrony Narodowej</w:t>
      </w:r>
    </w:p>
    <w:p>
      <w:pPr>
        <w:spacing w:before="80" w:after="240"/>
        <w:ind w:left="0"/>
        <w:jc w:val="center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Na podstawie </w:t>
      </w:r>
      <w:r>
        <w:rPr>
          <w:rFonts w:ascii="Times New Roman"/>
          <w:b w:val="false"/>
          <w:i w:val="false"/>
          <w:color w:val="1b1b1b"/>
          <w:sz w:val="24"/>
          <w:lang w:val="pl-PL"/>
        </w:rPr>
        <w:t>art. 19 ust. 1 pkt 3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 ustawy z dnia 17 maja 1989 r. - Prawo geodezyjne i kartograficzne (Dz. U. z 2010 r. Nr 193, poz. 1287, z późn. zm.) zarządza się, co następuje:</w:t>
      </w:r>
    </w:p>
    <w:p>
      <w:pPr>
        <w:spacing w:before="26" w:after="240"/>
        <w:ind w:left="0"/>
        <w:jc w:val="left"/>
        <w:textAlignment w:val="auto"/>
      </w:pPr>
      <w:r>
        <w:rPr>
          <w:rFonts w:ascii="Times New Roman"/>
          <w:b/>
          <w:i w:val="false"/>
          <w:color w:val="000000"/>
          <w:sz w:val="24"/>
          <w:lang w:val="pl-PL"/>
        </w:rPr>
        <w:t>§  1.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Rozporządzenie określa rodzaje prac geodezyjnych i kartograficznych mających znaczenie dla obronności i bezpieczeństwa państwa oraz sposób współdziałania Głównego Geodety Kraju z Ministrem Obrony Narodowej w zakresie wykonywania tych prac, a także wzajemnego przekazywania materiałów.</w:t>
      </w:r>
    </w:p>
    <w:p>
      <w:pPr>
        <w:spacing w:before="26" w:after="0"/>
        <w:ind w:left="0"/>
        <w:jc w:val="left"/>
        <w:textAlignment w:val="auto"/>
      </w:pPr>
      <w:r>
        <w:rPr>
          <w:rFonts w:ascii="Times New Roman"/>
          <w:b/>
          <w:i w:val="false"/>
          <w:color w:val="000000"/>
          <w:sz w:val="24"/>
          <w:lang w:val="pl-PL"/>
        </w:rPr>
        <w:t>§  2.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Dla obronności i bezpieczeństwa państwa mają znaczenie następujące rodzaje prac geodezyjnych i kartograficznych:</w:t>
      </w:r>
    </w:p>
    <w:p>
      <w:pPr>
        <w:spacing w:before="26" w:after="0"/>
        <w:ind w:left="373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1)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projektowanie i wykonywanie pomiarów: geodezyjnych, grawimetrycznych, magnetycznych oraz astronomicznych, a także obliczanie i przetwarzanie wyników tych pomiarów, w związku z:</w:t>
      </w:r>
    </w:p>
    <w:p>
      <w:pPr>
        <w:spacing w:after="0"/>
        <w:ind w:left="746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a)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zakładaniem podstawowych osnów geodezyjnych, grawimetrycznych i magnetycznych oraz prowadzeniem państwowego rejestru tych osnów,</w:t>
      </w:r>
    </w:p>
    <w:p>
      <w:pPr>
        <w:spacing w:after="0"/>
        <w:ind w:left="746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b)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tworzeniem, prowadzeniem i udostępnianiem baz danych, o których mowa w </w:t>
      </w:r>
      <w:r>
        <w:rPr>
          <w:rFonts w:ascii="Times New Roman"/>
          <w:b w:val="false"/>
          <w:i w:val="false"/>
          <w:color w:val="1b1b1b"/>
          <w:sz w:val="24"/>
          <w:lang w:val="pl-PL"/>
        </w:rPr>
        <w:t>art. 4 ust. 1a pkt 8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 i </w:t>
      </w:r>
      <w:r>
        <w:rPr>
          <w:rFonts w:ascii="Times New Roman"/>
          <w:b w:val="false"/>
          <w:i w:val="false"/>
          <w:color w:val="1b1b1b"/>
          <w:sz w:val="24"/>
          <w:lang w:val="pl-PL"/>
        </w:rPr>
        <w:t>9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 ustawy z dnia 17 maja 1989 r. - Prawo geodezyjne i kartograficzne, zwanej dalej "ustawą",</w:t>
      </w:r>
    </w:p>
    <w:p>
      <w:pPr>
        <w:spacing w:after="0"/>
        <w:ind w:left="746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c)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wykonywaniem standardowych opracowań kartograficznych w skalach: 1:25 000, 1:50 000, 1:100 000, 1:250 000, 1:500 000 oraz 1:1 000 000;</w:t>
      </w:r>
    </w:p>
    <w:p>
      <w:pPr>
        <w:spacing w:before="26" w:after="0"/>
        <w:ind w:left="373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2)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projektowanie i wykonywanie zobrazowań lotniczych oraz zobrazowań satelitarnych w związku z realizacją zadań określonych w </w:t>
      </w:r>
      <w:r>
        <w:rPr>
          <w:rFonts w:ascii="Times New Roman"/>
          <w:b w:val="false"/>
          <w:i w:val="false"/>
          <w:color w:val="1b1b1b"/>
          <w:sz w:val="24"/>
          <w:lang w:val="pl-PL"/>
        </w:rPr>
        <w:t>ustawie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;</w:t>
      </w:r>
    </w:p>
    <w:p>
      <w:pPr>
        <w:spacing w:before="26" w:after="0"/>
        <w:ind w:left="373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3)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tworzenie zbiorów danych określonych w </w:t>
      </w:r>
      <w:r>
        <w:rPr>
          <w:rFonts w:ascii="Times New Roman"/>
          <w:b w:val="false"/>
          <w:i w:val="false"/>
          <w:color w:val="1b1b1b"/>
          <w:sz w:val="24"/>
          <w:lang w:val="pl-PL"/>
        </w:rPr>
        <w:t>art. 4 ust. 1a pkt 1-4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, </w:t>
      </w:r>
      <w:r>
        <w:rPr>
          <w:rFonts w:ascii="Times New Roman"/>
          <w:b w:val="false"/>
          <w:i w:val="false"/>
          <w:color w:val="1b1b1b"/>
          <w:sz w:val="24"/>
          <w:lang w:val="pl-PL"/>
        </w:rPr>
        <w:t>6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, </w:t>
      </w:r>
      <w:r>
        <w:rPr>
          <w:rFonts w:ascii="Times New Roman"/>
          <w:b w:val="false"/>
          <w:i w:val="false"/>
          <w:color w:val="1b1b1b"/>
          <w:sz w:val="24"/>
          <w:lang w:val="pl-PL"/>
        </w:rPr>
        <w:t>8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, </w:t>
      </w:r>
      <w:r>
        <w:rPr>
          <w:rFonts w:ascii="Times New Roman"/>
          <w:b w:val="false"/>
          <w:i w:val="false"/>
          <w:color w:val="1b1b1b"/>
          <w:sz w:val="24"/>
          <w:lang w:val="pl-PL"/>
        </w:rPr>
        <w:t>9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 i </w:t>
      </w:r>
      <w:r>
        <w:rPr>
          <w:rFonts w:ascii="Times New Roman"/>
          <w:b w:val="false"/>
          <w:i w:val="false"/>
          <w:color w:val="1b1b1b"/>
          <w:sz w:val="24"/>
          <w:lang w:val="pl-PL"/>
        </w:rPr>
        <w:t>11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 ustawy.</w:t>
      </w:r>
    </w:p>
    <w:p>
      <w:pPr>
        <w:spacing w:before="26" w:after="0"/>
        <w:ind w:left="0"/>
        <w:jc w:val="left"/>
        <w:textAlignment w:val="auto"/>
      </w:pPr>
      <w:r>
        <w:rPr>
          <w:rFonts w:ascii="Times New Roman"/>
          <w:b/>
          <w:i w:val="false"/>
          <w:color w:val="000000"/>
          <w:sz w:val="24"/>
          <w:lang w:val="pl-PL"/>
        </w:rPr>
        <w:t>§  3.</w:t>
      </w:r>
    </w:p>
    <w:p>
      <w:pPr>
        <w:spacing w:before="26"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1.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Współdziałanie Głównego Geodety Kraju z Ministrem Obrony Narodowej w zakresie prac geodezyjnych i kartograficznych mających znaczenie dla obronności i bezpieczeństwa państwa odbywa się z uwzględnieniem standardów obowiązujących w odniesieniu do państwowego zasobu geodezyjnego i kartograficznego lub wojskowego zasobu geograficznego.</w:t>
      </w:r>
    </w:p>
    <w:p>
      <w:pPr>
        <w:spacing w:before="26"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2.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Na potrzeby współdziałania, o którym mowa w ust. 1, Główny Geodeta Kraju i Minister Obrony Narodowej mogą zawierać porozumienia.</w:t>
      </w:r>
    </w:p>
    <w:p>
      <w:pPr>
        <w:spacing w:before="26" w:after="0"/>
        <w:ind w:left="0"/>
        <w:jc w:val="left"/>
        <w:textAlignment w:val="auto"/>
      </w:pPr>
      <w:r>
        <w:rPr>
          <w:rFonts w:ascii="Times New Roman"/>
          <w:b/>
          <w:i w:val="false"/>
          <w:color w:val="000000"/>
          <w:sz w:val="24"/>
          <w:lang w:val="pl-PL"/>
        </w:rPr>
        <w:t>§  4.</w:t>
      </w:r>
    </w:p>
    <w:p>
      <w:pPr>
        <w:spacing w:before="26"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1.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Główny Geodeta Kraju i Minister Obrony Narodowej mogą przekazywać sobie wzajemnie i nieodpłatnie materiały odpowiednio państwowego zasobu geodezyjnego i kartograficznego oraz wojskowego zasobu geograficznego.</w:t>
      </w:r>
    </w:p>
    <w:p>
      <w:pPr>
        <w:spacing w:before="26"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2.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Materiały, o których mowa w ust. 1, zostają włączone do państwowego zasobu geodezyjnego i kartograficznego albo wojskowego zasobu geograficznego z uwzględnieniem przepisów dotyczących odpowiednio gromadzenia materiałów w państwowym zasobie geodezyjnym i kartograficznym albo w wojskowym zasobie geograficznym.</w:t>
      </w:r>
    </w:p>
    <w:p>
      <w:pPr>
        <w:spacing w:before="26"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3.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Główny Geodeta Kraju i Minister Obrony Narodowej prowadzą na bieżąco, każdy w swoim zakresie, ewidencję przekazywanych wzajemnie opracowań i materiałów.</w:t>
      </w:r>
    </w:p>
    <w:p>
      <w:pPr>
        <w:spacing w:before="26" w:after="0"/>
        <w:ind w:left="0"/>
        <w:jc w:val="left"/>
        <w:textAlignment w:val="auto"/>
      </w:pPr>
      <w:r>
        <w:rPr>
          <w:rFonts w:ascii="Times New Roman"/>
          <w:b/>
          <w:i w:val="false"/>
          <w:color w:val="000000"/>
          <w:sz w:val="24"/>
          <w:lang w:val="pl-PL"/>
        </w:rPr>
        <w:t>§  5.</w:t>
      </w:r>
    </w:p>
    <w:p>
      <w:pPr>
        <w:spacing w:before="26"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1.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Główny Geodeta Kraju i Minister Obrony Narodowej informują się wzajemnie do dnia 31 października każdego roku o zamierzeniach na rok następny w zakresie wykonywania prac określonych w § 2.</w:t>
      </w:r>
    </w:p>
    <w:p>
      <w:pPr>
        <w:spacing w:before="26"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2.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Główny Geodeta Kraju i Minister Obrony Narodowej informują się wzajemnie do dnia 31 marca każdego roku o zakresie wykonania w roku poprzednim prac określonych w § 2.</w:t>
      </w:r>
    </w:p>
    <w:p>
      <w:pPr>
        <w:spacing w:before="26" w:after="240"/>
        <w:ind w:left="0"/>
        <w:jc w:val="left"/>
        <w:textAlignment w:val="auto"/>
      </w:pPr>
      <w:r>
        <w:rPr>
          <w:rFonts w:ascii="Times New Roman"/>
          <w:b/>
          <w:i w:val="false"/>
          <w:color w:val="000000"/>
          <w:sz w:val="24"/>
          <w:lang w:val="pl-PL"/>
        </w:rPr>
        <w:t>§  6.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Rozporządzenie wchodzi w życie z dniem następującym po dniu ogłoszenia.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 </w:t>
      </w:r>
    </w:p>
    <w:sectPr>
      <w:pgSz w:w="11907" w:h="16839" w:code="9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w10="urn:schemas-microsoft-com:office:word" xmlns:v="urn:schemas-microsoft-com:vml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/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w10="urn:schemas-microsoft-com:office:word" xmlns:v="urn:schemas-microsoft-com:vml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w10="urn:schemas-microsoft-com:office:word" xmlns:v="urn:schemas-microsoft-com:vml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docDefaults>
    <w:rPrDefault>
      <w:rPr>
        <w:rFonts w:ascii="Times New Roman" w:hAnsi="Times New Roman" w:eastAsia="Times New Roman" w:cs="Times New Roman" w:asciiTheme="minorHAnsi" w:hAnsiTheme="minorHAnsi" w:eastAsiaTheme="minorHAnsi" w:cstheme="minorBidi"/>
        <w:sz w:val="24"/>
        <w:szCs w:val="22"/>
        <w:lang w:val="pl-PL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  <w:rPr>
      <w:rFonts w:ascii="Times New Roman" w:hAnsi="Times New Roman" w:eastAsia="Times New Roman" w:cs="Times New Roman"/>
      <w:sz w:val="24"/>
      <w:lang w:val="pl-PL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erStyle">
    <w:name w:val="HeaderStyle"/>
    <w:pPr>
      <w:spacing w:line="240" w:lineRule="auto"/>
      <w:jc w:val="center"/>
    </w:pPr>
    <w:rPr>
      <w:rFonts w:ascii="Times New Roman" w:hAnsi="Times New Roman" w:eastAsia="Times New Roman" w:cs="Times New Roman"/>
      <w:b/>
      <w:color w:val="000000" w:themeColor="text1"/>
      <w:sz w:val="24"/>
    </w:rPr>
  </w:style>
  <w:style w:type="paragraph" w:styleId="TitleStyle">
    <w:name w:val="TitleStyle"/>
    <w:pPr>
      <w:spacing w:line="240" w:lineRule="auto"/>
      <w:jc w:val="left"/>
    </w:pPr>
    <w:rPr>
      <w:rFonts w:ascii="Times New Roman" w:hAnsi="Times New Roman" w:eastAsia="Times New Roman" w:cs="Times New Roman"/>
      <w:b/>
      <w:color w:val="000000" w:themeColor="text1"/>
      <w:sz w:val="24"/>
    </w:rPr>
  </w:style>
  <w:style w:type="paragraph" w:styleId="TitleCenterStyle">
    <w:name w:val="TitleCenterStyle"/>
    <w:pPr>
      <w:spacing w:line="240" w:lineRule="auto"/>
      <w:jc w:val="center"/>
    </w:pPr>
    <w:rPr>
      <w:rFonts w:ascii="Times New Roman" w:hAnsi="Times New Roman" w:eastAsia="Times New Roman" w:cs="Times New Roman"/>
      <w:b/>
      <w:color w:val="000000" w:themeColor="text1"/>
      <w:sz w:val="24"/>
    </w:rPr>
  </w:style>
  <w:style w:type="paragraph" w:styleId="NormalStyle">
    <w:name w:val="NormalStyle"/>
    <w:pPr>
      <w:spacing w:after="0" w:line="240" w:lineRule="auto"/>
      <w:jc w:val="left"/>
    </w:pPr>
    <w:rPr>
      <w:rFonts w:ascii="Times New Roman" w:hAnsi="Times New Roman" w:eastAsia="Times New Roman" w:cs="Times New Roman"/>
      <w:color w:val="000000" w:themeColor="text1"/>
      <w:sz w:val="24"/>
    </w:rPr>
  </w:style>
  <w:style w:type="paragraph" w:styleId="NormalSpacingStyle">
    <w:name w:val="NormalSpacingStyle"/>
    <w:pPr>
      <w:spacing w:line="240" w:lineRule="auto"/>
      <w:jc w:val="left"/>
    </w:pPr>
    <w:rPr>
      <w:rFonts w:ascii="Times New Roman" w:hAnsi="Times New Roman" w:eastAsia="Times New Roman" w:cs="Times New Roman"/>
      <w:color w:val="000000" w:themeColor="text1"/>
      <w:sz w:val="24"/>
    </w:rPr>
  </w:style>
  <w:style w:type="paragraph" w:styleId="BoldStyle">
    <w:name w:val="BoldStyle"/>
    <w:pPr>
      <w:spacing w:after="0" w:line="240" w:lineRule="auto"/>
      <w:jc w:val="left"/>
    </w:pPr>
    <w:rPr>
      <w:rFonts w:ascii="Times New Roman" w:hAnsi="Times New Roman" w:eastAsia="Times New Roman" w:cs="Times New Roman"/>
      <w:b/>
      <w:color w:val="000000" w:themeColor="text1"/>
      <w:sz w:val="24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