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4.11 (Apache licensed) using REFERENCE JAXB in Eclipse Adoptium Java 21.0.6 on Linux -->
    <w:p>
      <w:pPr>
        <w:pStyle w:val="TitleStyle"/>
      </w:pPr>
      <w:r>
        <w:t>Prawo geodezyjne i kartograficzne.</w:t>
      </w:r>
    </w:p>
    <w:p>
      <w:pPr>
        <w:pStyle w:val="NormalStyle"/>
      </w:pPr>
      <w:r>
        <w:t>Dz.U.2024.1151 t.j. z dnia 2024.07.31</w:t>
      </w:r>
    </w:p>
    <w:p>
      <w:pPr>
        <w:pStyle w:val="NormalStyle"/>
      </w:pPr>
      <w:r>
        <w:t xml:space="preserve">Status: Akt obowiązujący </w:t>
      </w:r>
    </w:p>
    <w:p>
      <w:pPr>
        <w:pStyle w:val="NormalStyle"/>
      </w:pPr>
      <w:r>
        <w:t xml:space="preserve">Wersja od: 12 sierpnia 2025r. </w:t>
      </w:r>
    </w:p>
    <w:p>
      <w:pPr>
        <w:spacing w:before="60" w:after="0"/>
        <w:ind w:left="0"/>
        <w:jc w:val="center"/>
        <w:textAlignment w:val="auto"/>
      </w:pPr>
      <w:r>
        <w:rPr>
          <w:rFonts w:ascii="Times New Roman"/>
          <w:b/>
          <w:i w:val="false"/>
          <w:color w:val="000000"/>
          <w:sz w:val="24"/>
          <w:lang w:val="pl-PL"/>
        </w:rPr>
        <w:t>USTAWA</w:t>
      </w:r>
    </w:p>
    <w:p>
      <w:pPr>
        <w:spacing w:before="80" w:after="0"/>
        <w:ind w:left="0"/>
        <w:jc w:val="center"/>
        <w:textAlignment w:val="auto"/>
      </w:pPr>
      <w:r>
        <w:rPr>
          <w:rFonts w:ascii="Times New Roman"/>
          <w:b/>
          <w:i w:val="false"/>
          <w:color w:val="000000"/>
          <w:sz w:val="24"/>
          <w:lang w:val="pl-PL"/>
        </w:rPr>
        <w:t>z dnia 17 maja 1989 r.</w:t>
      </w:r>
    </w:p>
    <w:p>
      <w:pPr>
        <w:spacing w:before="80" w:after="0"/>
        <w:ind w:left="0"/>
        <w:jc w:val="center"/>
        <w:textAlignment w:val="auto"/>
      </w:pPr>
      <w:r>
        <w:rPr>
          <w:rFonts w:ascii="Times New Roman"/>
          <w:b/>
          <w:i w:val="false"/>
          <w:color w:val="000000"/>
          <w:sz w:val="24"/>
          <w:lang w:val="pl-PL"/>
        </w:rPr>
        <w:t>Prawo geodezyjne i kartograficzne</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w:t>
      </w:r>
    </w:p>
    <w:p>
      <w:pPr>
        <w:spacing w:before="25" w:after="0"/>
        <w:ind w:left="0"/>
        <w:jc w:val="center"/>
        <w:textAlignment w:val="auto"/>
      </w:pPr>
      <w:r>
        <w:rPr>
          <w:rFonts w:ascii="Times New Roman"/>
          <w:b/>
          <w:i w:val="false"/>
          <w:color w:val="000000"/>
          <w:sz w:val="24"/>
          <w:lang w:val="pl-PL"/>
        </w:rPr>
        <w:t>Przepisy ogólne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w:t>
      </w:r>
      <w:r>
        <w:rPr>
          <w:rFonts w:ascii="Times New Roman"/>
          <w:b/>
          <w:i w:val="false"/>
          <w:color w:val="000000"/>
          <w:sz w:val="24"/>
          <w:lang w:val="pl-PL"/>
        </w:rPr>
        <w:t xml:space="preserve"> [Przedmiotowy zakres stosowania ustawy]</w:t>
      </w:r>
    </w:p>
    <w:p>
      <w:pPr>
        <w:spacing w:after="0"/>
        <w:ind w:left="0"/>
        <w:jc w:val="left"/>
        <w:textAlignment w:val="auto"/>
      </w:pPr>
      <w:r>
        <w:rPr>
          <w:rFonts w:ascii="Times New Roman"/>
          <w:b w:val="false"/>
          <w:i w:val="false"/>
          <w:color w:val="000000"/>
          <w:sz w:val="24"/>
          <w:lang w:val="pl-PL"/>
        </w:rPr>
        <w:t> Ustawa reguluje sprawy:</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krajowego systemu informacji o terenie;</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organizacji i zadań Służby Geodezyjnej i Kartograficznej;</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wykonywania prac geodezyjnych i kartograficznych;</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ewidencji gruntów i budynków;</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zintegrowanego systemu informacji o nieruchomościach;</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gleboznawczej klasyfikacji gruntów;</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rozgraniczania nieruchomości;</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geodezyjnej ewidencji sieci uzbrojenia terenu oraz koordynacji sytuowania tych sieci;</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państwowego zasobu geodezyjnego i kartograficznego;</w:t>
      </w:r>
    </w:p>
    <w:p>
      <w:pPr>
        <w:spacing w:before="26" w:after="0"/>
        <w:ind w:left="373"/>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xml:space="preserve"> uprawnień zawodowych w dziedzinie geodezji i kartografii;</w:t>
      </w:r>
    </w:p>
    <w:p>
      <w:pPr>
        <w:spacing w:before="26" w:after="0"/>
        <w:ind w:left="373"/>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xml:space="preserve"> ewidencji miejscowości, ulic i adresów.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w:t>
      </w:r>
      <w:r>
        <w:rPr>
          <w:rFonts w:ascii="Times New Roman"/>
          <w:b/>
          <w:i w:val="false"/>
          <w:color w:val="000000"/>
          <w:sz w:val="24"/>
          <w:lang w:val="pl-PL"/>
        </w:rPr>
        <w:t xml:space="preserve"> [Definicje pojęć ustawowych]</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Ilekroć w ustawie jest mowa o:</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pracach geodezyjnych - rozumie się przez to:</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projektowanie i wykonywanie pomiarów: geodezyjnych, grawimetrycznych, magnetycznych oraz astronomicznych, w związku z:</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realizacją zadań określonych w ustawie,</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opracowaniem dokumentacji geodezyjnej dotyczącej nieruchomości na potrzeby postępowań administracyjnych lub sądowych oraz czynności cywilnoprawnych,</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wykonywaniem opracowań geodezyjno-kartograficznych oraz czynności geodezyjnych na potrzeby budownictwa,</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projektowanie i wykonywanie zobrazowań lotniczych oraz zobrazowań satelitarnych w związku z realizacją zadań określonych w ustawie lub na potrzeby pomiarów i opracowań, o których mowa w lit. a,</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obliczanie lub przetwarzanie wyników pomiarów, opracowań i zobrazowań, o których mowa w lit. a i b,</w:t>
      </w:r>
    </w:p>
    <w:p>
      <w:pPr>
        <w:spacing w:after="0"/>
        <w:ind w:left="746"/>
        <w:jc w:val="left"/>
        <w:textAlignment w:val="auto"/>
      </w:pPr>
      <w:r>
        <w:rPr>
          <w:rFonts w:ascii="Times New Roman"/>
          <w:b w:val="false"/>
          <w:i w:val="false"/>
          <w:color w:val="000000"/>
          <w:sz w:val="24"/>
          <w:lang w:val="pl-PL"/>
        </w:rPr>
        <w:t>d)</w:t>
      </w:r>
      <w:r>
        <w:rPr>
          <w:rFonts w:ascii="Times New Roman"/>
          <w:b w:val="false"/>
          <w:i w:val="false"/>
          <w:color w:val="000000"/>
          <w:sz w:val="24"/>
          <w:lang w:val="pl-PL"/>
        </w:rPr>
        <w:t xml:space="preserve"> tworzenie określonych w ustawie zbiorów danych, ortofotomapy oraz dokumentacji geodezyjnej na potrzeby postępowań administracyjnych, postępowań sądowych oraz czynności cywilnoprawnych związanych z nieruchomościami, a także wykonywanie opracowań geodezyjno-kartograficznych na potrzeby budownictwa;</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pracach kartograficznych - rozumie się przez to wykonywanie map topograficznych, map ogólnogeograficznych oraz kartograficznych opracowań tematycznych i specjalnych;</w:t>
      </w:r>
    </w:p>
    <w:p>
      <w:pPr>
        <w:spacing w:before="26" w:after="0"/>
        <w:ind w:left="373"/>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xml:space="preserve"> czynnościach geodezyjnych na potrzeby budownictwa - rozumie się przez to wykonywanie geodezyjnych pomiarów sytuacyjnych i wysokościowych podczas projektowania, budowy, utrzymania i rozbiórki obiektów budowlanych, w szczególności związanych z opracowaniem mapy do celów projektowych, wytyczeniem obiektów budowlanych w terenie, geodezyjną inwentaryzacją powykonawczą obiektów budowlanych, geodezyjną obsługą budowy i montażu obiektów budowlanych oraz pomiarami przemieszczeń i odkształceń obiektów budowlanych, skutkujących sporządzeniem dokumentacji geodezyjnej;</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osnowach geodezyjnych - rozumie się przez to usystematyzowane zbiory jednoznacznie identyfikowalnych punktów, które zostały oznaczone w terenie znakami geodezyjnymi oraz których położenie wyznaczone zostało w państwowym systemie odniesień przestrzennych w sposób właściwy dla danego rodzaju osnowy i umożliwiający określenie dokładności tego wyznaczenia;</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znakach geodezyjnych - rozumie się przez to znaki z trwałego materiału, określające położenie punktów osnowy geodezyjnej;</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mapie topograficznej - rozumie się przez to opracowanie kartograficzne o treści przedstawiającej elementy środowiska geograficznego powierzchni Ziemi i ich przestrzenne związki;</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mapie zasadniczej - rozumie się przez to wielkoskalowe opracowanie kartograficzne, zawierające informacje o przestrzennym usytuowaniu: punktów osnowy geodezyjnej, działek ewidencyjnych, budynków, konturów użytków gruntowych, konturów klasyfikacyjnych, sieci uzbrojenia terenu, budowli i urządzeń budowlanych oraz innych obiektów topograficznych, a także wybrane informacje opisowe dotyczące tych obiektów;</w:t>
      </w:r>
    </w:p>
    <w:p>
      <w:pPr>
        <w:spacing w:before="26" w:after="0"/>
        <w:ind w:left="373"/>
        <w:jc w:val="left"/>
        <w:textAlignment w:val="auto"/>
      </w:pPr>
      <w:r>
        <w:rPr>
          <w:rFonts w:ascii="Times New Roman"/>
          <w:b w:val="false"/>
          <w:i w:val="false"/>
          <w:color w:val="000000"/>
          <w:sz w:val="24"/>
          <w:lang w:val="pl-PL"/>
        </w:rPr>
        <w:t>7a)</w:t>
      </w:r>
      <w:r>
        <w:rPr>
          <w:rFonts w:ascii="Times New Roman"/>
          <w:b w:val="false"/>
          <w:i w:val="false"/>
          <w:color w:val="000000"/>
          <w:sz w:val="24"/>
          <w:lang w:val="pl-PL"/>
        </w:rPr>
        <w:t xml:space="preserve"> mapie do celów projektowych - rozumie się przez to opracowanie kartograficzne, wykonane z wykorzystaniem wyników pomiarów geodezyjnych i materiałów państwowego zasobu geodezyjnego i kartograficznego, zawierające elementy stanowiące treść mapy zasadniczej lub mapy, o której mowa w art. 4 ust. 2, a także informacje niezbędne do sporządzenia dokumentacji projektowej oraz, z uwzględnieniem art. 12c ust. 1 pkt 1, klauzulę urzędową, o której mowa w art. 40 ust. 3g pkt 3, stanowiącą potwierdzenie przyjęcia do państwowego zasobu geodezyjnego i kartograficznego zbiorów danych lub dokumentów, o których mowa w art. 12a ust. 1, w oparciu o które mapa do celów projektowych została sporządzona, albo oświadczenie wykonawcy prac geodezyjnych o uzyskaniu pozytywnego wyniku weryfikacji;</w:t>
      </w:r>
    </w:p>
    <w:p>
      <w:pPr>
        <w:spacing w:before="26" w:after="0"/>
        <w:ind w:left="373"/>
        <w:jc w:val="left"/>
        <w:textAlignment w:val="auto"/>
      </w:pPr>
      <w:r>
        <w:rPr>
          <w:rFonts w:ascii="Times New Roman"/>
          <w:b w:val="false"/>
          <w:i w:val="false"/>
          <w:color w:val="000000"/>
          <w:sz w:val="24"/>
          <w:lang w:val="pl-PL"/>
        </w:rPr>
        <w:t>7b)</w:t>
      </w:r>
      <w:r>
        <w:rPr>
          <w:rFonts w:ascii="Times New Roman"/>
          <w:b w:val="false"/>
          <w:i w:val="false"/>
          <w:color w:val="000000"/>
          <w:sz w:val="24"/>
          <w:lang w:val="pl-PL"/>
        </w:rPr>
        <w:t xml:space="preserve"> geodezyjnej inwentaryzacji powykonawczej obiektów budowlanych - rozumie się przez to wykonanie pomiarów sytuacyjnych i wysokościowych mających na celu zebranie aktualnych danych o przestrzennym rozmieszczeniu elementów zagospodarowania terenu objętego zamierzeniem budowlanym i sporządzenie dokumentacji geodezyjnej zawierającej wyniki tych pomiarów, w tym mapę opatrzoną, z uwzględnieniem art. 12c ust. 1 pkt 1, klauzulą urzędową, o której mowa w art. 40 ust. 3g pkt 3, stanowiącą potwierdzenie przyjęcia do państwowego zasobu geodezyjnego i kartograficznego zbiorów danych lub dokumentów, o których mowa w art. 12a ust. 1, w oparciu o które mapa ta została sporządzona, albo oświadczenie wykonawcy prac geodezyjnych o uzyskaniu pozytywnego wyniku weryfikacji;</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ewidencji gruntów i budynków (katastrze nieruchomości) - rozumie się przez to system informacyjny zapewniający gromadzenie, aktualizację oraz udostępnianie, w sposób jednolity dla kraju, informacji o gruntach, budynkach i lokalach, ich właścicielach oraz o innych podmiotach władających lub gospodarujących tymi gruntami, budynkami lub lokalami;</w:t>
      </w:r>
    </w:p>
    <w:p>
      <w:pPr>
        <w:spacing w:before="26" w:after="0"/>
        <w:ind w:left="373"/>
        <w:jc w:val="left"/>
        <w:textAlignment w:val="auto"/>
      </w:pPr>
      <w:r>
        <w:rPr>
          <w:rFonts w:ascii="Times New Roman"/>
          <w:b w:val="false"/>
          <w:i w:val="false"/>
          <w:color w:val="000000"/>
          <w:sz w:val="24"/>
          <w:lang w:val="pl-PL"/>
        </w:rPr>
        <w:t>8a)</w:t>
      </w:r>
      <w:r>
        <w:rPr>
          <w:rFonts w:ascii="Times New Roman"/>
          <w:b w:val="false"/>
          <w:i w:val="false"/>
          <w:color w:val="000000"/>
          <w:sz w:val="24"/>
          <w:lang w:val="pl-PL"/>
        </w:rPr>
        <w:t xml:space="preserve"> operacie opisowo-kartograficznym - rozumie się przez to bazę danych ewidencyjnych, utworzoną z wykorzystaniem wyników prac geodezyjnych wykonanych w procesie modernizacji ewidencji gruntów i budynków, oraz utworzone na podstawie danych tej bazy rejestry, kartoteki oraz mapę ewidencyjną;</w:t>
      </w:r>
    </w:p>
    <w:p>
      <w:pPr>
        <w:spacing w:before="26" w:after="0"/>
        <w:ind w:left="373"/>
        <w:jc w:val="left"/>
        <w:textAlignment w:val="auto"/>
      </w:pPr>
      <w:r>
        <w:rPr>
          <w:rFonts w:ascii="Times New Roman"/>
          <w:b w:val="false"/>
          <w:i w:val="false"/>
          <w:color w:val="000000"/>
          <w:sz w:val="24"/>
          <w:lang w:val="pl-PL"/>
        </w:rPr>
        <w:t>8b)</w:t>
      </w:r>
      <w:r>
        <w:rPr>
          <w:rFonts w:ascii="Times New Roman"/>
          <w:b w:val="false"/>
          <w:i w:val="false"/>
          <w:color w:val="000000"/>
          <w:sz w:val="24"/>
          <w:lang w:val="pl-PL"/>
        </w:rPr>
        <w:t xml:space="preserve"> lokalu - rozumie się przez to samodzielny lokal mieszkalny, a także lokal o innym przeznaczeniu, w rozumieniu przepisów </w:t>
      </w:r>
      <w:r>
        <w:rPr>
          <w:rFonts w:ascii="Times New Roman"/>
          <w:b w:val="false"/>
          <w:i w:val="false"/>
          <w:color w:val="1b1b1b"/>
          <w:sz w:val="24"/>
          <w:lang w:val="pl-PL"/>
        </w:rPr>
        <w:t>art. 2</w:t>
      </w:r>
      <w:r>
        <w:rPr>
          <w:rFonts w:ascii="Times New Roman"/>
          <w:b w:val="false"/>
          <w:i w:val="false"/>
          <w:color w:val="000000"/>
          <w:sz w:val="24"/>
          <w:lang w:val="pl-PL"/>
        </w:rPr>
        <w:t xml:space="preserve"> ustawy z dnia 24 czerwca 1994 r. o własności lokali (Dz. U. z 2021 r. poz. 1048 oraz z 2023 r. poz. 1688);</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terenach zamkniętych - rozumie się przez to tereny o charakterze zastrzeżonym ze względu na obronność i bezpieczeństwo państwa, określone przez właściwych ministrów i kierowników urzędów centralnych;</w:t>
      </w:r>
    </w:p>
    <w:p>
      <w:pPr>
        <w:spacing w:before="26" w:after="0"/>
        <w:ind w:left="373"/>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xml:space="preserve"> państwowym zasobie geodezyjnym i kartograficznym - rozumie się przez to zbiory danych prowadzone na podstawie ustawy przez organy Służby Geodezyjnej i Kartograficznej, utworzone na podstawie tych zbiorów danych opracowania kartograficzne, rejestry, wykazy i zestawienia, dokumentację zawierającą wyniki prac geodezyjnych lub prac kartograficznych lub dokumenty utworzone w wyniku tych prac, a także zobrazowania lotnicze i satelitarne;</w:t>
      </w:r>
    </w:p>
    <w:p>
      <w:pPr>
        <w:spacing w:before="26" w:after="0"/>
        <w:ind w:left="373"/>
        <w:jc w:val="left"/>
        <w:textAlignment w:val="auto"/>
      </w:pPr>
      <w:r>
        <w:rPr>
          <w:rFonts w:ascii="Times New Roman"/>
          <w:b w:val="false"/>
          <w:i w:val="false"/>
          <w:color w:val="000000"/>
          <w:sz w:val="24"/>
          <w:lang w:val="pl-PL"/>
        </w:rPr>
        <w:t>10a)</w:t>
      </w:r>
      <w:r>
        <w:rPr>
          <w:rFonts w:ascii="Times New Roman"/>
          <w:b w:val="false"/>
          <w:i w:val="false"/>
          <w:color w:val="000000"/>
          <w:sz w:val="24"/>
          <w:lang w:val="pl-PL"/>
        </w:rPr>
        <w:t xml:space="preserve"> centralnym zasobie geodezyjnym i kartograficznym - rozumie się przez to centralną część państwowego zasobu geodezyjnego i kartograficznego prowadzoną przez Głównego Geodetę Kraju;</w:t>
      </w:r>
    </w:p>
    <w:p>
      <w:pPr>
        <w:spacing w:before="26" w:after="0"/>
        <w:ind w:left="373"/>
        <w:jc w:val="left"/>
        <w:textAlignment w:val="auto"/>
      </w:pPr>
      <w:r>
        <w:rPr>
          <w:rFonts w:ascii="Times New Roman"/>
          <w:b w:val="false"/>
          <w:i w:val="false"/>
          <w:color w:val="000000"/>
          <w:sz w:val="24"/>
          <w:lang w:val="pl-PL"/>
        </w:rPr>
        <w:t>10b)</w:t>
      </w:r>
      <w:r>
        <w:rPr>
          <w:rFonts w:ascii="Times New Roman"/>
          <w:b w:val="false"/>
          <w:i w:val="false"/>
          <w:color w:val="000000"/>
          <w:sz w:val="24"/>
          <w:lang w:val="pl-PL"/>
        </w:rPr>
        <w:t xml:space="preserve"> wojewódzkim zasobie geodezyjnym i kartograficznym - rozumie się przez to wojewódzką część państwowego zasobu geodezyjnego i kartograficznego prowadzoną przez marszałków województw przy pomocy geodetów województw;</w:t>
      </w:r>
    </w:p>
    <w:p>
      <w:pPr>
        <w:spacing w:before="26" w:after="0"/>
        <w:ind w:left="373"/>
        <w:jc w:val="left"/>
        <w:textAlignment w:val="auto"/>
      </w:pPr>
      <w:r>
        <w:rPr>
          <w:rFonts w:ascii="Times New Roman"/>
          <w:b w:val="false"/>
          <w:i w:val="false"/>
          <w:color w:val="000000"/>
          <w:sz w:val="24"/>
          <w:lang w:val="pl-PL"/>
        </w:rPr>
        <w:t>10c)</w:t>
      </w:r>
      <w:r>
        <w:rPr>
          <w:rFonts w:ascii="Times New Roman"/>
          <w:b w:val="false"/>
          <w:i w:val="false"/>
          <w:color w:val="000000"/>
          <w:sz w:val="24"/>
          <w:lang w:val="pl-PL"/>
        </w:rPr>
        <w:t xml:space="preserve"> powiatowym zasobie geodezyjnym i kartograficznym - rozumie się przez to powiatową część państwowego zasobu geodezyjnego i kartograficznego prowadzoną przez starostów i prezydentów miast na prawach powiatu przy pomocy geodetów powiatowych;</w:t>
      </w:r>
    </w:p>
    <w:p>
      <w:pPr>
        <w:spacing w:before="26" w:after="0"/>
        <w:ind w:left="373"/>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xml:space="preserve"> sieci uzbrojenia terenu - rozumie się przez to wszelkiego rodzaju nadziemne, naziemne i podziemne przewody i urządzenia: wodociągowe, kanalizacyjne, gazowe, cieplne, telekomunikacyjne, elektroenergetyczne i inne, z wyłączeniem urządzeń melioracji szczegółowych, a także podziemne budowle, które w rozumieniu przepisów o statystyce publicznej nie są budynkami;</w:t>
      </w:r>
    </w:p>
    <w:p>
      <w:pPr>
        <w:spacing w:before="26" w:after="0"/>
        <w:ind w:left="373"/>
        <w:jc w:val="left"/>
        <w:textAlignment w:val="auto"/>
      </w:pPr>
      <w:r>
        <w:rPr>
          <w:rFonts w:ascii="Times New Roman"/>
          <w:b w:val="false"/>
          <w:i w:val="false"/>
          <w:color w:val="000000"/>
          <w:sz w:val="24"/>
          <w:lang w:val="pl-PL"/>
        </w:rPr>
        <w:t>12)</w:t>
      </w:r>
      <w:r>
        <w:rPr>
          <w:rFonts w:ascii="Times New Roman"/>
          <w:b w:val="false"/>
          <w:i w:val="false"/>
          <w:color w:val="000000"/>
          <w:sz w:val="24"/>
          <w:lang w:val="pl-PL"/>
        </w:rPr>
        <w:t xml:space="preserve"> gleboznawczej klasyfikacji gruntów - rozumie się przez to podział gleb na klasy bonitacyjne ze względu na ich jakość produkcyjną, ustaloną na podstawie cech genetycznych gleb;</w:t>
      </w:r>
    </w:p>
    <w:p>
      <w:pPr>
        <w:spacing w:before="26" w:after="0"/>
        <w:ind w:left="373"/>
        <w:jc w:val="left"/>
        <w:textAlignment w:val="auto"/>
      </w:pPr>
      <w:r>
        <w:rPr>
          <w:rFonts w:ascii="Times New Roman"/>
          <w:b w:val="false"/>
          <w:i w:val="false"/>
          <w:color w:val="000000"/>
          <w:sz w:val="24"/>
          <w:lang w:val="pl-PL"/>
        </w:rPr>
        <w:t>13)</w:t>
      </w:r>
      <w:r>
        <w:rPr>
          <w:rFonts w:ascii="Times New Roman"/>
          <w:b w:val="false"/>
          <w:i w:val="false"/>
          <w:color w:val="000000"/>
          <w:sz w:val="24"/>
          <w:lang w:val="pl-PL"/>
        </w:rPr>
        <w:t xml:space="preserve"> powszechnej taksacji nieruchomości - rozumie się przez to wycenę nieruchomości, realizowaną według odrębnych przepisów;</w:t>
      </w:r>
    </w:p>
    <w:p>
      <w:pPr>
        <w:spacing w:before="26" w:after="0"/>
        <w:ind w:left="373"/>
        <w:jc w:val="left"/>
        <w:textAlignment w:val="auto"/>
      </w:pPr>
      <w:r>
        <w:rPr>
          <w:rFonts w:ascii="Times New Roman"/>
          <w:b w:val="false"/>
          <w:i w:val="false"/>
          <w:color w:val="000000"/>
          <w:sz w:val="24"/>
          <w:lang w:val="pl-PL"/>
        </w:rPr>
        <w:t>14)</w:t>
      </w:r>
      <w:r>
        <w:rPr>
          <w:rFonts w:ascii="Times New Roman"/>
          <w:b w:val="false"/>
          <w:i w:val="false"/>
          <w:color w:val="000000"/>
          <w:sz w:val="24"/>
          <w:lang w:val="pl-PL"/>
        </w:rPr>
        <w:t xml:space="preserve"> geodezyjnej ewidencji sieci uzbrojenia terenu - rozumie się przez to system informacyjny zapewniający gromadzenie, aktualizację i udostępnianie informacji o sieciach uzbrojenia terenu, w sposób jednolity dla obszaru całego kraju;</w:t>
      </w:r>
    </w:p>
    <w:p>
      <w:pPr>
        <w:spacing w:before="26" w:after="0"/>
        <w:ind w:left="373"/>
        <w:jc w:val="left"/>
        <w:textAlignment w:val="auto"/>
      </w:pPr>
      <w:r>
        <w:rPr>
          <w:rFonts w:ascii="Times New Roman"/>
          <w:b w:val="false"/>
          <w:i w:val="false"/>
          <w:color w:val="000000"/>
          <w:sz w:val="24"/>
          <w:lang w:val="pl-PL"/>
        </w:rPr>
        <w:t>14a)</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14b)</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15)</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16)</w:t>
      </w:r>
      <w:r>
        <w:rPr>
          <w:rFonts w:ascii="Times New Roman"/>
          <w:b w:val="false"/>
          <w:i w:val="false"/>
          <w:color w:val="000000"/>
          <w:sz w:val="24"/>
          <w:lang w:val="pl-PL"/>
        </w:rPr>
        <w:t xml:space="preserve"> harmonizacji zbiorów danych - rozumie się przez to działania o charakterze prawnym, technicznym i organizacyjnym, mające na celu doprowadzenie do wzajemnej spójności tych zbiorów oraz ich przystosowanie do wspólnego i łącznego wykorzystywania.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w:t>
      </w:r>
      <w:r>
        <w:rPr>
          <w:rFonts w:ascii="Times New Roman"/>
          <w:b/>
          <w:i w:val="false"/>
          <w:color w:val="000000"/>
          <w:sz w:val="24"/>
          <w:lang w:val="pl-PL"/>
        </w:rPr>
        <w:t xml:space="preserve"> [Osnowy jako podstawa wykonywania prac geodezyjnych i kartograficznych]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Podstawę do wykonywania prac geodezyjnych i kartograficznych stanowią osnowy geodezyjne opracowane w państwowym systemie odniesień przestrzennych.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Osnowy geodezyjne zakłada się i aktualizuje dla obszaru całego kraju.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Projekty osnów geodezyjnych są zatwierdzane przez:</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Głównego Geodetę Kraju w porozumieniu z Ministrem Obrony Narodowej - w zakresie osnów podstawowych;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starostów - w zakresie osnów szczegółowych.</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Przepisy ust. 1, 2 i ust. 3 pkt 1 stosuje się odpowiednio do osnów grawimetrycznych i magnetycznych.</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Rada Ministrów określi, w drodze rozporządzenia, państwowy system odniesień przestrzennych obowiązujący na terenie całego kraju, uwzględniając jego parametry techniczne oraz warunki stosowania.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w:t>
      </w:r>
      <w:r>
        <w:rPr>
          <w:rFonts w:ascii="Times New Roman"/>
          <w:b/>
          <w:i w:val="false"/>
          <w:color w:val="000000"/>
          <w:sz w:val="24"/>
          <w:lang w:val="pl-PL"/>
        </w:rPr>
        <w:t xml:space="preserve"> [Obowiązek zakładania i prowadzenia wskazanych baz danych przestrzennych; ustalanie terenów zamkniętych]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Dla obszaru całego kraju zakłada się i prowadzi w systemie teleinformatycznym bazy danych, obejmujące zbiory danych przestrzennych infrastruktury informacji przestrzennej, dotyczące: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państwowego rejestru podstawowych osnów geodezyjnych, grawimetrycznych i magnetycznych;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ewidencji gruntów i budynków (katastru nieruchomości);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geodezyjnej ewidencji sieci uzbrojenia terenu;</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państwowego rejestru granic i powierzchni jednostek podziałów terytorialnych kraju;</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państwowego rejestru nazw geograficznych;</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ewidencji miejscowości, ulic i adresów;</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rejestru cen nieruchomości;</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obiektów topograficznych o szczegółowości zapewniającej tworzenie standardowych opracowań kartograficznych w skalach 1:10 000-1:100 000, w tym kartograficznych opracowań numerycznego modelu rzeźby terenu;</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obiektów ogólnogeograficznych o szczegółowości zapewniającej tworzenie standardowych opracowań kartograficznych w skalach 1:250 000 i mniejszych, w tym kartograficznych opracowań numerycznego modelu rzeźby terenu;</w:t>
      </w:r>
    </w:p>
    <w:p>
      <w:pPr>
        <w:spacing w:before="26" w:after="0"/>
        <w:ind w:left="373"/>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xml:space="preserve"> szczegółowych osnów geodezyjnych;</w:t>
      </w:r>
    </w:p>
    <w:p>
      <w:pPr>
        <w:spacing w:before="26" w:after="0"/>
        <w:ind w:left="373"/>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xml:space="preserve"> zobrazowań lotniczych i satelitarnych oraz ortofotomapy i numerycznego modelu terenu;</w:t>
      </w:r>
    </w:p>
    <w:p>
      <w:pPr>
        <w:spacing w:before="26" w:after="0"/>
        <w:ind w:left="373"/>
        <w:jc w:val="left"/>
        <w:textAlignment w:val="auto"/>
      </w:pPr>
      <w:r>
        <w:rPr>
          <w:rFonts w:ascii="Times New Roman"/>
          <w:b w:val="false"/>
          <w:i w:val="false"/>
          <w:color w:val="000000"/>
          <w:sz w:val="24"/>
          <w:lang w:val="pl-PL"/>
        </w:rPr>
        <w:t>12)</w:t>
      </w:r>
      <w:r>
        <w:rPr>
          <w:rFonts w:ascii="Times New Roman"/>
          <w:b w:val="false"/>
          <w:i w:val="false"/>
          <w:color w:val="000000"/>
          <w:sz w:val="24"/>
          <w:lang w:val="pl-PL"/>
        </w:rPr>
        <w:t xml:space="preserve"> obiektów topograficznych o szczegółowości zapewniającej tworzenie standardowych opracowań kartograficznych w skalach 1:500-1:5000.</w:t>
      </w:r>
    </w:p>
    <w:p>
      <w:pPr>
        <w:spacing w:before="26" w:after="0"/>
        <w:ind w:left="0"/>
        <w:jc w:val="left"/>
        <w:textAlignment w:val="auto"/>
      </w:pPr>
      <w:r>
        <w:rPr>
          <w:rFonts w:ascii="Times New Roman"/>
          <w:b w:val="false"/>
          <w:i w:val="false"/>
          <w:color w:val="000000"/>
          <w:sz w:val="24"/>
          <w:lang w:val="pl-PL"/>
        </w:rPr>
        <w:t>1aa.</w:t>
      </w:r>
      <w:r>
        <w:rPr>
          <w:rFonts w:ascii="Times New Roman"/>
          <w:b w:val="false"/>
          <w:i w:val="false"/>
          <w:color w:val="000000"/>
          <w:sz w:val="24"/>
          <w:lang w:val="pl-PL"/>
        </w:rPr>
        <w:t xml:space="preserve"> Bazy danych, o których mowa w ust. 1a pkt 2, 3, 6, 7, 10 i 12, są zakładane i prowadzone dla obszaru kraju z wyjątkiem morza terytorialnego, o którym mowa w </w:t>
      </w:r>
      <w:r>
        <w:rPr>
          <w:rFonts w:ascii="Times New Roman"/>
          <w:b w:val="false"/>
          <w:i w:val="false"/>
          <w:color w:val="1b1b1b"/>
          <w:sz w:val="24"/>
          <w:lang w:val="pl-PL"/>
        </w:rPr>
        <w:t>art. 2 ust. 1 pkt 2</w:t>
      </w:r>
      <w:r>
        <w:rPr>
          <w:rFonts w:ascii="Times New Roman"/>
          <w:b w:val="false"/>
          <w:i w:val="false"/>
          <w:color w:val="000000"/>
          <w:sz w:val="24"/>
          <w:lang w:val="pl-PL"/>
        </w:rPr>
        <w:t xml:space="preserve"> ustawy z dnia 21 marca 1991 r. o obszarach morskich Rzeczypospolitej Polskiej i administracji morskiej (Dz. U. z 2023 r. poz. 960, 1688 i 2029 oraz z 2024 r. poz. 731 i 834).</w:t>
      </w:r>
    </w:p>
    <w:p>
      <w:pPr>
        <w:spacing w:before="26" w:after="0"/>
        <w:ind w:left="0"/>
        <w:jc w:val="left"/>
        <w:textAlignment w:val="auto"/>
      </w:pPr>
      <w:r>
        <w:rPr>
          <w:rFonts w:ascii="Times New Roman"/>
          <w:b w:val="false"/>
          <w:i w:val="false"/>
          <w:color w:val="000000"/>
          <w:sz w:val="24"/>
          <w:lang w:val="pl-PL"/>
        </w:rPr>
        <w:t>1b.</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1ba.</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1c.</w:t>
      </w:r>
      <w:r>
        <w:rPr>
          <w:rFonts w:ascii="Times New Roman"/>
          <w:b w:val="false"/>
          <w:i w:val="false"/>
          <w:color w:val="000000"/>
          <w:sz w:val="24"/>
          <w:lang w:val="pl-PL"/>
        </w:rPr>
        <w:t xml:space="preserve"> Dla zbiorów danych objętych bazami danych, o których mowa w ust. 1a, oraz dla związanych z nimi usług tworzy się metadane opisujące te zbiory i usługi zgodnie z </w:t>
      </w:r>
      <w:r>
        <w:rPr>
          <w:rFonts w:ascii="Times New Roman"/>
          <w:b w:val="false"/>
          <w:i w:val="false"/>
          <w:color w:val="1b1b1b"/>
          <w:sz w:val="24"/>
          <w:lang w:val="pl-PL"/>
        </w:rPr>
        <w:t>art. 5</w:t>
      </w:r>
      <w:r>
        <w:rPr>
          <w:rFonts w:ascii="Times New Roman"/>
          <w:b w:val="false"/>
          <w:i w:val="false"/>
          <w:color w:val="000000"/>
          <w:sz w:val="24"/>
          <w:lang w:val="pl-PL"/>
        </w:rPr>
        <w:t xml:space="preserve"> ustawy z dnia 4 marca 2010 r. o infrastrukturze informacji przestrzennej (Dz. U. z 2021 r. poz. 214).</w:t>
      </w:r>
    </w:p>
    <w:p>
      <w:pPr>
        <w:spacing w:before="26" w:after="0"/>
        <w:ind w:left="0"/>
        <w:jc w:val="left"/>
        <w:textAlignment w:val="auto"/>
      </w:pPr>
      <w:r>
        <w:rPr>
          <w:rFonts w:ascii="Times New Roman"/>
          <w:b w:val="false"/>
          <w:i w:val="false"/>
          <w:color w:val="000000"/>
          <w:sz w:val="24"/>
          <w:lang w:val="pl-PL"/>
        </w:rPr>
        <w:t>1d.</w:t>
      </w:r>
      <w:r>
        <w:rPr>
          <w:rFonts w:ascii="Times New Roman"/>
          <w:b w:val="false"/>
          <w:i w:val="false"/>
          <w:color w:val="000000"/>
          <w:sz w:val="24"/>
          <w:lang w:val="pl-PL"/>
        </w:rPr>
        <w:t xml:space="preserve"> Bazy danych, o których mowa w ust. 1a, aktualizuje się i prowadzi w sposób zapewniający interoperacyjność zawartych w nich zbiorów danych i związanych z nimi usług, w rozumieniu </w:t>
      </w:r>
      <w:r>
        <w:rPr>
          <w:rFonts w:ascii="Times New Roman"/>
          <w:b w:val="false"/>
          <w:i w:val="false"/>
          <w:color w:val="1b1b1b"/>
          <w:sz w:val="24"/>
          <w:lang w:val="pl-PL"/>
        </w:rPr>
        <w:t>ustawy</w:t>
      </w:r>
      <w:r>
        <w:rPr>
          <w:rFonts w:ascii="Times New Roman"/>
          <w:b w:val="false"/>
          <w:i w:val="false"/>
          <w:color w:val="000000"/>
          <w:sz w:val="24"/>
          <w:lang w:val="pl-PL"/>
        </w:rPr>
        <w:t xml:space="preserve"> z dnia 4 marca 2010 r. o infrastrukturze informacji przestrzennej.</w:t>
      </w:r>
    </w:p>
    <w:p>
      <w:pPr>
        <w:spacing w:before="26" w:after="0"/>
        <w:ind w:left="0"/>
        <w:jc w:val="left"/>
        <w:textAlignment w:val="auto"/>
      </w:pPr>
      <w:r>
        <w:rPr>
          <w:rFonts w:ascii="Times New Roman"/>
          <w:b w:val="false"/>
          <w:i w:val="false"/>
          <w:color w:val="000000"/>
          <w:sz w:val="24"/>
          <w:lang w:val="pl-PL"/>
        </w:rPr>
        <w:t>1e.</w:t>
      </w:r>
      <w:r>
        <w:rPr>
          <w:rFonts w:ascii="Times New Roman"/>
          <w:b w:val="false"/>
          <w:i w:val="false"/>
          <w:color w:val="000000"/>
          <w:sz w:val="24"/>
          <w:lang w:val="pl-PL"/>
        </w:rPr>
        <w:t> Standardowymi opracowaniami kartograficznymi, tworzonymi na podstawie odpowiednich zbiorów danych zawartych w bazach danych, o których mowa w ust. 1a, są:</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mapy ewidencyjne w skalach: 1:500, 1:1000, 1:2000, 1:5000;</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mapy zasadnicze w skalach: 1:500, 1:1000, 1:2000, 1:5000;</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mapy topograficzne w skalach: 1:10 000, 1:25 000, 1:50 000, 1:100 000;</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mapy ogólnogeograficzne w skalach: 1:250 000, 1:500 000, 1:1 000 000.</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Dla terenów zamkniętych, zamiast mapy zasadniczej, sporządza się odrębne mapy zawierające w swojej treści również sieć podziemnego uzbrojenia terenu. Sporządzanie i aktualizowanie tych map oraz ustalanie granic terenów zamkniętych należy do właściwych ministrów i kierowników urzędów centralnych.</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Tereny zamknięte są ustalane przez właściwych ministrów i kierowników urzędów centralnych w drodze decyzji. W decyzji tej określane są również granice terenu zamkniętego. Dokumentacja geodezyjna określająca przebieg granic i powierzchnię terenu zamkniętego przekazywana jest przez organy wydające decyzje o zamknięciu terenu właściwym terytorialnie starostom w trybie art. 22.</w:t>
      </w:r>
    </w:p>
    <w:p>
      <w:pPr>
        <w:spacing w:before="26" w:after="0"/>
        <w:ind w:left="0"/>
        <w:jc w:val="left"/>
        <w:textAlignment w:val="auto"/>
      </w:pPr>
      <w:r>
        <w:rPr>
          <w:rFonts w:ascii="Times New Roman"/>
          <w:b w:val="false"/>
          <w:i w:val="false"/>
          <w:color w:val="000000"/>
          <w:sz w:val="24"/>
          <w:lang w:val="pl-PL"/>
        </w:rPr>
        <w:t>2b.</w:t>
      </w:r>
      <w:r>
        <w:rPr>
          <w:rFonts w:ascii="Times New Roman"/>
          <w:b w:val="false"/>
          <w:i w:val="false"/>
          <w:color w:val="000000"/>
          <w:sz w:val="24"/>
          <w:lang w:val="pl-PL"/>
        </w:rPr>
        <w:t> Właściwi ministrowie i kierownicy urzędów centralnych zawiadamiają Głównego Geodetę Kraju o ustaleniu terenu zamkniętego oraz podają klauzulę tajności informacji dotyczących obiektów znajdujących się na tym terenie.</w:t>
      </w:r>
    </w:p>
    <w:p>
      <w:pPr>
        <w:spacing w:before="26" w:after="0"/>
        <w:ind w:left="0"/>
        <w:jc w:val="left"/>
        <w:textAlignment w:val="auto"/>
      </w:pPr>
      <w:r>
        <w:rPr>
          <w:rFonts w:ascii="Times New Roman"/>
          <w:b w:val="false"/>
          <w:i w:val="false"/>
          <w:color w:val="000000"/>
          <w:sz w:val="24"/>
          <w:lang w:val="pl-PL"/>
        </w:rPr>
        <w:t>2c.</w:t>
      </w:r>
      <w:r>
        <w:rPr>
          <w:rFonts w:ascii="Times New Roman"/>
          <w:b w:val="false"/>
          <w:i w:val="false"/>
          <w:color w:val="000000"/>
          <w:sz w:val="24"/>
          <w:lang w:val="pl-PL"/>
        </w:rPr>
        <w:t> Jeżeli teren utracił charakter terenu zamkniętego, zarządzający nim obowiązany jest przekazać właściwemu staroście dokumentację geodezyjną i kartograficzną oraz sporządzone mapy w celu włączenia ich do państwowego zasobu geodezyjnego i kartograficznego.</w:t>
      </w:r>
    </w:p>
    <w:p>
      <w:pPr>
        <w:spacing w:before="26" w:after="0"/>
        <w:ind w:left="0"/>
        <w:jc w:val="left"/>
        <w:textAlignment w:val="auto"/>
      </w:pPr>
      <w:r>
        <w:rPr>
          <w:rFonts w:ascii="Times New Roman"/>
          <w:b w:val="false"/>
          <w:i w:val="false"/>
          <w:color w:val="000000"/>
          <w:sz w:val="24"/>
          <w:lang w:val="pl-PL"/>
        </w:rPr>
        <w:t>2d.</w:t>
      </w:r>
      <w:r>
        <w:rPr>
          <w:rFonts w:ascii="Times New Roman"/>
          <w:b w:val="false"/>
          <w:i w:val="false"/>
          <w:color w:val="000000"/>
          <w:sz w:val="24"/>
          <w:lang w:val="pl-PL"/>
        </w:rPr>
        <w:t> Nadzór nad pracami geodezyjnymi i kartograficznymi na terenach zamkniętych sprawuje właściwy minister lub kierownik urzędu centralnego.</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Koszty zakładania osnów geodezyjnych, sporządzania mapy zasadniczej, ewidencji gruntów i budynków oraz map topograficznych pokrywa się z budżetu państwa oraz ze środków Funduszu Gospodarki Zasobem Geodezyjnym i Kartograficznym. W kosztach tych, celem realizacji zadań własnych, mogą uczestniczyć jednostki samorządu terytorialnego lub inni inwestorzy.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w:t>
      </w:r>
      <w:r>
        <w:rPr>
          <w:rFonts w:ascii="Times New Roman"/>
          <w:b/>
          <w:i w:val="false"/>
          <w:color w:val="000000"/>
          <w:sz w:val="24"/>
          <w:lang w:val="pl-PL"/>
        </w:rPr>
        <w:t xml:space="preserve"> [Krajowy system informacji o terenie]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Zbiory danych gromadzone w bazach danych, o których mowa w art. 4 ust. 1a, stanowią podstawę krajowego systemu informacji o terenie, będącego częścią składową infrastruktury informacji przestrzennej, o której mowa w </w:t>
      </w:r>
      <w:r>
        <w:rPr>
          <w:rFonts w:ascii="Times New Roman"/>
          <w:b w:val="false"/>
          <w:i w:val="false"/>
          <w:color w:val="1b1b1b"/>
          <w:sz w:val="24"/>
          <w:lang w:val="pl-PL"/>
        </w:rPr>
        <w:t>art. 3 pkt 2</w:t>
      </w:r>
      <w:r>
        <w:rPr>
          <w:rFonts w:ascii="Times New Roman"/>
          <w:b w:val="false"/>
          <w:i w:val="false"/>
          <w:color w:val="000000"/>
          <w:sz w:val="24"/>
          <w:lang w:val="pl-PL"/>
        </w:rPr>
        <w:t xml:space="preserve"> ustawy z dnia 4 marca 2010 r. o infrastrukturze informacji przestrzennej.</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Organy Służby Geodezyjnej i Kartograficznej mogą, w drodze porozumień, tworzyć i utrzymywać wspólne elementy infrastruktury technicznej przeznaczonej do przechowywania i udostępniania zbiorów danych, o których mowa w art. 4 ust. 1a, mając na względzie minimalizację kosztów budowy i utrzymania tej infrastruktury oraz optymalizację dostępności do danych, ich bezpieczeństwa i jakości.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Organy Służby Geodezyjnej i Kartograficznej współdziałają przy tworzeniu i utrzymywaniu krajowego systemu informacji o terenie.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5a.</w:t>
      </w:r>
      <w:r>
        <w:rPr>
          <w:rFonts w:ascii="Times New Roman"/>
          <w:b/>
          <w:i w:val="false"/>
          <w:color w:val="000000"/>
          <w:sz w:val="24"/>
          <w:lang w:val="pl-PL"/>
        </w:rPr>
        <w:t xml:space="preserve"> [Ograniczenie prawa dostępu do informacji o źródle danych osobowych; okres przechowywania i zabezpieczenie informacji o źródle danych osobowych]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 związku z przetwarzaniem przez Głównego Geodetę Kraju, marszałków województw, starostów albo prezydentów miast na prawach powiatu, wojewodów, organów i podmiotów tworzących i utrzymujących zintegrowany system informacji o nieruchomościach oraz wojewódzkich inspektorów nadzoru geodezyjnego i kartograficznego danych osobowych uzyskanych odpowiednio przy:</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prowadzeniu państwowego zasobu geodezyjnego i kartograficznego,</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przechowywaniu kopii zabezpieczających baz danych, o którym mowa w art. 7b ust. 1 pkt 4,</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koordynacji usytuowania projektowanych sieci uzbrojenia terenu,</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tworzeniu i utrzymywaniu zintegrowanego systemu informacji o nieruchomościach,</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prowadzeniu postępowań kontrolnych, o których mowa w art. 9,</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wydawaniu dzienników praktyki zawodowej, o których mowa w art. 44b ust. 5, oraz prowadzeniu rejestrów wydanych dzienników praktyki zawodowej,</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nadawaniu uprawnień zawodowych w dziedzinie geodezji i kartografii oraz prowadzeniu centralnego rejestru osób posiadających uprawnienia zawodowe w dziedzinie geodezji i kartografii,</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prowadzeniu postępowań dyscyplinarnych</w:t>
      </w:r>
    </w:p>
    <w:p>
      <w:pPr>
        <w:spacing w:before="25" w:after="0"/>
        <w:ind w:left="0"/>
        <w:jc w:val="left"/>
        <w:textAlignment w:val="auto"/>
      </w:pPr>
      <w:r>
        <w:rPr>
          <w:rFonts w:ascii="Times New Roman"/>
          <w:b w:val="false"/>
          <w:i w:val="false"/>
          <w:color w:val="000000"/>
          <w:sz w:val="24"/>
          <w:lang w:val="pl-PL"/>
        </w:rPr>
        <w:t xml:space="preserve">– prawo, o którym mowa w </w:t>
      </w:r>
      <w:r>
        <w:rPr>
          <w:rFonts w:ascii="Times New Roman"/>
          <w:b w:val="false"/>
          <w:i w:val="false"/>
          <w:color w:val="1b1b1b"/>
          <w:sz w:val="24"/>
          <w:lang w:val="pl-PL"/>
        </w:rPr>
        <w:t>art. 15 ust. 1 lit. g</w:t>
      </w:r>
      <w:r>
        <w:rPr>
          <w:rFonts w:ascii="Times New Roman"/>
          <w:b w:val="false"/>
          <w:i w:val="false"/>
          <w:color w:val="000000"/>
          <w:sz w:val="24"/>
          <w:lang w:val="pl-PL"/>
        </w:rPr>
        <w:t xml:space="preserve">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 z 04.05.2016, str. 1, z późn. zm.), w zakresie wystąpień zawierających dane osobowe osób trzecich, które nie skutkują wszczęciem postępowania administracyjnego, przysługuje w zakresie, w jakim nie ma wpływu na ochronę praw i wolności osób, od których dane pozyskano.</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Podmioty, o których mowa w ust. 1, informują o ograniczeniu, o którym mowa w ust. 1, przy pierwszej czynności skierowanej do osoby, której dane są przetwarzane.</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 przypadku gdy okres przechowywania danych osobowych, o których mowa w ust. 1, nie wynika z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14 lipca 1983 r. o narodowym zasobie archiwalnym i archiwach (Dz. U. z 2020 r. poz. 164) albo przepisów odrębnych, podmioty, o których mowa w ust. 1, przechowują dane przez okres ustalony zgodnie z przepisami wydanymi na podstawie </w:t>
      </w:r>
      <w:r>
        <w:rPr>
          <w:rFonts w:ascii="Times New Roman"/>
          <w:b w:val="false"/>
          <w:i w:val="false"/>
          <w:color w:val="1b1b1b"/>
          <w:sz w:val="24"/>
          <w:lang w:val="pl-PL"/>
        </w:rPr>
        <w:t>art. 6 ust. 2</w:t>
      </w:r>
      <w:r>
        <w:rPr>
          <w:rFonts w:ascii="Times New Roman"/>
          <w:b w:val="false"/>
          <w:i w:val="false"/>
          <w:color w:val="000000"/>
          <w:sz w:val="24"/>
          <w:lang w:val="pl-PL"/>
        </w:rPr>
        <w:t xml:space="preserve"> i </w:t>
      </w:r>
      <w:r>
        <w:rPr>
          <w:rFonts w:ascii="Times New Roman"/>
          <w:b w:val="false"/>
          <w:i w:val="false"/>
          <w:color w:val="1b1b1b"/>
          <w:sz w:val="24"/>
          <w:lang w:val="pl-PL"/>
        </w:rPr>
        <w:t>2b</w:t>
      </w:r>
      <w:r>
        <w:rPr>
          <w:rFonts w:ascii="Times New Roman"/>
          <w:b w:val="false"/>
          <w:i w:val="false"/>
          <w:color w:val="000000"/>
          <w:sz w:val="24"/>
          <w:lang w:val="pl-PL"/>
        </w:rPr>
        <w:t xml:space="preserve"> ustawy z dnia 14 lipca 1983 r. o narodowym zasobie archiwalnym i archiwach.</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Dane osobowe, o których mowa w ust. 1, podlegają zabezpieczeniom zapobiegającym nadużyciom lub niezgodnemu z prawem dostępowi lub przekazaniu polegającym co najmniej na: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dopuszczeniu do przetwarzania danych osobowych wyłącznie osób posiadających pisemne upoważnienie wydane przez administratora danych;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pisemnym zobowiązaniu osób upoważnionych do przetwarzania danych osobowych do zachowania ich w tajemnicy.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5b.</w:t>
      </w:r>
      <w:r>
        <w:rPr>
          <w:rFonts w:ascii="Times New Roman"/>
          <w:b/>
          <w:i w:val="false"/>
          <w:color w:val="000000"/>
          <w:sz w:val="24"/>
          <w:lang w:val="pl-PL"/>
        </w:rPr>
        <w:t xml:space="preserve"> [Żądanie ograniczenia przetwarzania danych osobowych a realizacja zadań ustawowych]</w:t>
      </w:r>
    </w:p>
    <w:p>
      <w:pPr>
        <w:spacing w:after="0"/>
        <w:ind w:left="0"/>
        <w:jc w:val="left"/>
        <w:textAlignment w:val="auto"/>
      </w:pPr>
      <w:r>
        <w:rPr>
          <w:rFonts w:ascii="Times New Roman"/>
          <w:b w:val="false"/>
          <w:i w:val="false"/>
          <w:color w:val="000000"/>
          <w:sz w:val="24"/>
          <w:lang w:val="pl-PL"/>
        </w:rPr>
        <w:t xml:space="preserve"> Wystąpienie z żądaniem, o którym mowa w </w:t>
      </w:r>
      <w:r>
        <w:rPr>
          <w:rFonts w:ascii="Times New Roman"/>
          <w:b w:val="false"/>
          <w:i w:val="false"/>
          <w:color w:val="1b1b1b"/>
          <w:sz w:val="24"/>
          <w:lang w:val="pl-PL"/>
        </w:rPr>
        <w:t>art. 18 ust. 1</w:t>
      </w:r>
      <w:r>
        <w:rPr>
          <w:rFonts w:ascii="Times New Roman"/>
          <w:b w:val="false"/>
          <w:i w:val="false"/>
          <w:color w:val="000000"/>
          <w:sz w:val="24"/>
          <w:lang w:val="pl-PL"/>
        </w:rPr>
        <w:t xml:space="preserve"> rozporządzenia Parlamentu Europejskiego i Rady (UE) 2016/679 z dnia 27 kwietnia 2016 r. w sprawie ochrony osób fizycznych w związku z przetwarzaniem danych osobowych i w sprawie swobodnego przepływu takich danych oraz uchylenia </w:t>
      </w:r>
      <w:r>
        <w:rPr>
          <w:rFonts w:ascii="Times New Roman"/>
          <w:b w:val="false"/>
          <w:i w:val="false"/>
          <w:color w:val="1b1b1b"/>
          <w:sz w:val="24"/>
          <w:lang w:val="pl-PL"/>
        </w:rPr>
        <w:t>dyrektywy</w:t>
      </w:r>
      <w:r>
        <w:rPr>
          <w:rFonts w:ascii="Times New Roman"/>
          <w:b w:val="false"/>
          <w:i w:val="false"/>
          <w:color w:val="000000"/>
          <w:sz w:val="24"/>
          <w:lang w:val="pl-PL"/>
        </w:rPr>
        <w:t xml:space="preserve"> 95/46/WE (ogólne rozporządzenie o ochronie danych), nie wpływa na realizację zadań wskazanych w art. 5a ust. 1 pkt 1-5, 7 i 8.</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2</w:t>
      </w:r>
    </w:p>
    <w:p>
      <w:pPr>
        <w:spacing w:before="25" w:after="0"/>
        <w:ind w:left="0"/>
        <w:jc w:val="center"/>
        <w:textAlignment w:val="auto"/>
      </w:pPr>
      <w:r>
        <w:rPr>
          <w:rFonts w:ascii="Times New Roman"/>
          <w:b/>
          <w:i w:val="false"/>
          <w:color w:val="000000"/>
          <w:sz w:val="24"/>
          <w:lang w:val="pl-PL"/>
        </w:rPr>
        <w:t>Służba Geodezyjna i Kartograficzna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w:t>
      </w:r>
      <w:r>
        <w:rPr>
          <w:rFonts w:ascii="Times New Roman"/>
          <w:b/>
          <w:i w:val="false"/>
          <w:color w:val="000000"/>
          <w:sz w:val="24"/>
          <w:lang w:val="pl-PL"/>
        </w:rPr>
        <w:t xml:space="preserve"> [Główny Geodeta Kraju; Główny Urząd Geodezji i Kartografii]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Centralnym organem administracji rządowej właściwym w sprawach geodezji i kartografii jest Główny Geodeta Kraju.</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Nadzór nad Głównym Geodetą Kraju sprawuje minister właściwy do spraw budownictwa, planowania i zagospodarowania przestrzennego oraz mieszkalnictwa.</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Główny Geodeta Kraju wykonuje swoje zadania przy pomocy Głównego Urzędu Geodezji i Kartografii.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Organizację Głównego Urzędu Geodezji i Kartografii określa statut nadany przez Prezesa Rady Ministrów, w drodze rozporządzenia.</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Organizację wewnętrzną i szczegółowy zakres zadań Głównego Urzędu Geodezji i Kartografii określa Główny Geodeta Kraju w regulaminie organizacyjnym.</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6a.</w:t>
      </w:r>
      <w:r>
        <w:rPr>
          <w:rFonts w:ascii="Times New Roman"/>
          <w:b/>
          <w:i w:val="false"/>
          <w:color w:val="000000"/>
          <w:sz w:val="24"/>
          <w:lang w:val="pl-PL"/>
        </w:rPr>
        <w:t xml:space="preserve"> [Struktura organizacyjna Służby Geodezyjnej i Kartograficznej]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Służbę Geodezyjną i Kartograficzną stanowią:</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organy nadzoru geodezyjnego i kartograficznego:</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Główny Geodeta Kraju,</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wojewoda wykonujący zadania przy pomocy wojewódzkiego inspektora nadzoru geodezyjnego i kartograficznego jako kierownika inspekcji geodezyjnej i kartograficznej, wchodzącej w skład zespolonej administracji rządowej w województwie;</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organy administracji geodezyjnej i kartograficznej:</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marszałek województwa wykonujący zadania przy pomocy geodety województwa wchodzącego w skład urzędu marszałkowskiego,</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starosta wykonujący zadania przy pomocy geodety powiatowego wchodzącego w skład starostwa powiatowego.</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Wojewódzki inspektor nadzoru geodezyjnego i kartograficznego wykonuje w imieniu wojewody zadania i kompetencje Służby Geodezyjnej i Kartograficznej określone w ustawie i przepisach odrębnych.</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Wojewódzkiego inspektora nadzoru geodezyjnego i kartograficznego powołuje i odwołuje wojewoda, za zgodą Głównego Geodety Kraju.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Zadania organów określonych w ust. 1 pkt 2 wykonywane są jako zadania z zakresu administracji rządowej.</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xml:space="preserve"> Organ Służby Geodezyjnej i Kartograficznej prowadzący państwowy zasób geodezyjny i kartograficzny może upoważnić pracowników obsługujących ten organ do załatwiania spraw, do których nie stosuje się przepisów </w:t>
      </w:r>
      <w:r>
        <w:rPr>
          <w:rFonts w:ascii="Times New Roman"/>
          <w:b w:val="false"/>
          <w:i w:val="false"/>
          <w:color w:val="1b1b1b"/>
          <w:sz w:val="24"/>
          <w:lang w:val="pl-PL"/>
        </w:rPr>
        <w:t>ustawy</w:t>
      </w:r>
      <w:r>
        <w:rPr>
          <w:rFonts w:ascii="Times New Roman"/>
          <w:b w:val="false"/>
          <w:i w:val="false"/>
          <w:color w:val="000000"/>
          <w:sz w:val="24"/>
          <w:lang w:val="pl-PL"/>
        </w:rPr>
        <w:t xml:space="preserve"> - Kodeks postępowania administracyjnego, w jego imieniu w ustalonym zakresie, przy czym udzielenie upoważnienia przez organ administracji geodezyjnej i kartograficznej następuje na wniosek odpowiednio geodety województwa albo geodety powiatowego, wskazujący zakres upoważnienia i osobę, której ma zostać udzielone.</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Starosta na wniosek gminy powierza wójtowi (burmistrzowi, prezydentowi miasta), w drodze porozumienia, prowadzenie spraw należących do zakresu jego zadań i kompetencji, w tym wydawanie decyzji administracyjnych, po spełnieniu warunków, o których mowa w ust. 6.</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Wójt (burmistrz, prezydent miasta) prowadzi sprawy powierzone na podstawie ust. 4 przy pomocy geodety gminnego wchodzącego w skład urzędu gminy.</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Minister właściwy do spraw budownictwa, planowania i zagospodarowania przestrzennego oraz mieszkalnictwa określi, w drodze rozporządzenia, szczegółowe warunki organizacyjne, kadrowe i techniczne, jakie powinny zostać spełnione przez gminy wnioskujące o przejęcie określonych w ustawie zadań i kompetencji, mając na uwadze konieczność zapewnienia przez gminę prawidłowego poziomu merytorycznego i technicznego wykonywania pełnego zakresu zadań.</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6b.</w:t>
      </w:r>
      <w:r>
        <w:rPr>
          <w:rFonts w:ascii="Times New Roman"/>
          <w:b/>
          <w:i w:val="false"/>
          <w:color w:val="000000"/>
          <w:sz w:val="24"/>
          <w:lang w:val="pl-PL"/>
        </w:rPr>
        <w:t xml:space="preserve"> [Tryb powoływania Głównego Geodety Kraju i jego zastępców]</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Głównego Geodetę Kraju powołuje, spośród osób wyłonionych w drodze otwartego i konkurencyjnego naboru, Prezes Rady Ministrów, na wniosek ministra właściwego do spraw budownictwa, planowania i zagospodarowania przestrzennego oraz mieszkalnictwa. Prezes Rady Ministrów odwołuje Głównego Geodetę Kraju.</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Minister właściwy do spraw budownictwa, planowania i zagospodarowania przestrzennego oraz mieszkalnictwa, na wniosek Głównego Geodety Kraju, powołuje jego zastępców, spośród osób wyłonionych w drodze otwartego i konkurencyjnego naboru. Minister właściwy do spraw budownictwa, planowania i zagospodarowania przestrzennego oraz mieszkalnictwa odwołuje, na wniosek Głównego Geodety Kraju, jego zastępców.</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Stanowisko Głównego Geodety Kraju może zajmować osoba, która: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posiada tytuł zawodowy magistra lub równorzędny;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jest obywatelem polskim;</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korzysta z pełni praw publicznych;</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nie była skazana prawomocnym wyrokiem za umyślne przestępstwo lub umyślne przestępstwo skarbowe;</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posiada kompetencje kierownicze;</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posiada co najmniej 6-letni staż pracy, w tym co najmniej 3-letni staż pracy na stanowisku kierowniczym;</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posiada wykształcenie i wiedzę z zakresu spraw należących do właściwości Głównego Geodety Kraju.</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Informację o naborze na stanowisko ogłasza się przez umieszczenie ogłoszenia w miejscu powszechnie dostępnym w siedzibie urzędu oraz w Biuletynie Informacji Publicznej urzędu i Biuletynie Informacji Publicznej Kancelarii Prezesa Rady Ministrów. Ogłoszenie powinno zawierać:</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nazwę i adres urzędu;</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określenie stanowiska;</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wymagania związane ze stanowiskiem wynikające z przepisów prawa;</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zakres zadań wykonywanych na stanowisku;</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wskazanie wymaganych dokumentów;</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termin i miejsce składania dokumentów;</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informację o metodach i technikach naboru.</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Termin, o którym mowa w ust. 4 pkt 6, nie może być krótszy niż 10 dni od dnia opublikowania ogłoszenia w Biuletynie Informacji Publicznej Kancelarii Prezesa Rady Ministrów.</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Nabór na stanowisko Głównego Geodety Kraju przeprowadza zespół, powołany przez ministra właściwego do spraw budownictwa, planowania i zagospodarowania przestrzennego oraz mieszkalnictwa, liczący co najmniej 3 osoby, których wiedza i doświadczenie dają rękojmię wyłonienia najlepszych kandydatów. W toku naboru ocenia się doświadczenie zawodowe kandydata, wiedzę niezbędną do wykonywania zadań na stanowisku, na które jest przeprowadzany nabór, oraz kompetencje kierownicze.</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Ocena wiedzy i kompetencji kierowniczych, o których mowa w ust. 6, może być dokonana na zlecenie zespołu przez osobę niebędącą członkiem zespołu, która posiada odpowiednie kwalifikacje do dokonania tej oceny.</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Członek zespołu oraz osoba, o której mowa w ust. 7, mają obowiązek zachowania w tajemnicy informacji dotyczących osób ubiegających się o stanowisko, uzyskanych w trakcie naboru.</w:t>
      </w:r>
    </w:p>
    <w:p>
      <w:pPr>
        <w:spacing w:before="26" w:after="0"/>
        <w:ind w:left="0"/>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W toku naboru zespół wyłania nie więcej niż 3 kandydatów, których przedstawia ministrowi właściwemu do spraw budownictwa, planowania i zagospodarowania przestrzennego oraz mieszkalnictwa.</w:t>
      </w:r>
    </w:p>
    <w:p>
      <w:pPr>
        <w:spacing w:before="26" w:after="0"/>
        <w:ind w:left="0"/>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Z przeprowadzonego naboru zespół sporządza protokół zawierający:</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nazwę i adres urzędu;</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określenie stanowiska, na które był prowadzony nabór, oraz liczbę kandydatów;</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imiona, nazwiska i adresy nie więcej niż 3 najlepszych kandydatów uszeregowanych według poziomu spełniania przez nich wymagań określonych w ogłoszeniu o naborze;</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informację o zastosowanych metodach i technikach naboru;</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uzasadnienie dokonanego wyboru albo powody niewyłonienia kandydata;</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skład zespołu.</w:t>
      </w:r>
    </w:p>
    <w:p>
      <w:pPr>
        <w:spacing w:before="26" w:after="0"/>
        <w:ind w:left="0"/>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Wynik naboru ogłasza się niezwłocznie przez umieszczenie informacji w Biuletynie Informacji Publicznej urzędu i Biuletynie Informacji Publicznej Kancelarii Prezesa Rady Ministrów. Informacja o wyniku naboru zawiera: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nazwę i adres urzędu;</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określenie stanowiska, na które był prowadzony nabór;</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imiona, nazwiska wybranych kandydatów oraz ich miejsca zamieszkania w rozumieniu przepisów </w:t>
      </w:r>
      <w:r>
        <w:rPr>
          <w:rFonts w:ascii="Times New Roman"/>
          <w:b w:val="false"/>
          <w:i w:val="false"/>
          <w:color w:val="1b1b1b"/>
          <w:sz w:val="24"/>
          <w:lang w:val="pl-PL"/>
        </w:rPr>
        <w:t>Kodeksu cywilnego</w:t>
      </w:r>
      <w:r>
        <w:rPr>
          <w:rFonts w:ascii="Times New Roman"/>
          <w:b w:val="false"/>
          <w:i w:val="false"/>
          <w:color w:val="000000"/>
          <w:sz w:val="24"/>
          <w:lang w:val="pl-PL"/>
        </w:rPr>
        <w:t xml:space="preserve"> albo informację o niewyłonieniu kandydata.</w:t>
      </w:r>
    </w:p>
    <w:p>
      <w:pPr>
        <w:spacing w:before="26" w:after="0"/>
        <w:ind w:left="0"/>
        <w:jc w:val="left"/>
        <w:textAlignment w:val="auto"/>
      </w:pPr>
      <w:r>
        <w:rPr>
          <w:rFonts w:ascii="Times New Roman"/>
          <w:b w:val="false"/>
          <w:i w:val="false"/>
          <w:color w:val="000000"/>
          <w:sz w:val="24"/>
          <w:lang w:val="pl-PL"/>
        </w:rPr>
        <w:t>12.</w:t>
      </w:r>
      <w:r>
        <w:rPr>
          <w:rFonts w:ascii="Times New Roman"/>
          <w:b w:val="false"/>
          <w:i w:val="false"/>
          <w:color w:val="000000"/>
          <w:sz w:val="24"/>
          <w:lang w:val="pl-PL"/>
        </w:rPr>
        <w:t> Umieszczenie w Biuletynie Informacji Publicznej Kancelarii Prezesa Rady Ministrów ogłoszenia o naborze oraz o wyniku tego naboru jest bezpłatne.</w:t>
      </w:r>
    </w:p>
    <w:p>
      <w:pPr>
        <w:spacing w:before="26" w:after="0"/>
        <w:ind w:left="0"/>
        <w:jc w:val="left"/>
        <w:textAlignment w:val="auto"/>
      </w:pPr>
      <w:r>
        <w:rPr>
          <w:rFonts w:ascii="Times New Roman"/>
          <w:b w:val="false"/>
          <w:i w:val="false"/>
          <w:color w:val="000000"/>
          <w:sz w:val="24"/>
          <w:lang w:val="pl-PL"/>
        </w:rPr>
        <w:t>13.</w:t>
      </w:r>
      <w:r>
        <w:rPr>
          <w:rFonts w:ascii="Times New Roman"/>
          <w:b w:val="false"/>
          <w:i w:val="false"/>
          <w:color w:val="000000"/>
          <w:sz w:val="24"/>
          <w:lang w:val="pl-PL"/>
        </w:rPr>
        <w:t> Zespół przeprowadzający nabór na stanowiska, o których mowa w ust. 2, powołuje Główny Geodeta Kraju.</w:t>
      </w:r>
    </w:p>
    <w:p>
      <w:pPr>
        <w:spacing w:before="26" w:after="0"/>
        <w:ind w:left="0"/>
        <w:jc w:val="left"/>
        <w:textAlignment w:val="auto"/>
      </w:pPr>
      <w:r>
        <w:rPr>
          <w:rFonts w:ascii="Times New Roman"/>
          <w:b w:val="false"/>
          <w:i w:val="false"/>
          <w:color w:val="000000"/>
          <w:sz w:val="24"/>
          <w:lang w:val="pl-PL"/>
        </w:rPr>
        <w:t>14.</w:t>
      </w:r>
      <w:r>
        <w:rPr>
          <w:rFonts w:ascii="Times New Roman"/>
          <w:b w:val="false"/>
          <w:i w:val="false"/>
          <w:color w:val="000000"/>
          <w:sz w:val="24"/>
          <w:lang w:val="pl-PL"/>
        </w:rPr>
        <w:t> Do sposobu przeprowadzania naboru na stanowiska, o których mowa w ust. 2, stosuje się odpowiednio ust. 3-12.</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6c.</w:t>
      </w:r>
      <w:r>
        <w:rPr>
          <w:rFonts w:ascii="Times New Roman"/>
          <w:b/>
          <w:i w:val="false"/>
          <w:color w:val="000000"/>
          <w:sz w:val="24"/>
          <w:lang w:val="pl-PL"/>
        </w:rPr>
        <w:t xml:space="preserve"> [Wymagania wobec wojewódzkich inspektorów nadzoru geodezyjnego i kartograficznego, geodetów województw, geodetów powiatowych oraz gminnych]</w:t>
      </w:r>
    </w:p>
    <w:p>
      <w:pPr>
        <w:spacing w:after="0"/>
        <w:ind w:left="0"/>
        <w:jc w:val="left"/>
        <w:textAlignment w:val="auto"/>
      </w:pPr>
      <w:r>
        <w:rPr>
          <w:rFonts w:ascii="Times New Roman"/>
          <w:b w:val="false"/>
          <w:i w:val="false"/>
          <w:color w:val="000000"/>
          <w:sz w:val="24"/>
          <w:lang w:val="pl-PL"/>
        </w:rPr>
        <w:t> Minister właściwy do spraw budownictwa, planowania i zagospodarowania przestrzennego oraz mieszkalnictwa określi, w drodze rozporządzenia, wymagania, jakim powinni odpowiadać wojewódzcy inspektorzy nadzoru geodezyjnego i kartograficznego, geodeci województw, geodeci powiatowi i geodeci gminni, uwzględniając konieczność posiadania odpowiednich kwalifikacji zawodowych do zakresu wykonywanych zadań.</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w:t>
      </w:r>
      <w:r>
        <w:rPr>
          <w:rFonts w:ascii="Times New Roman"/>
          <w:b/>
          <w:i w:val="false"/>
          <w:color w:val="000000"/>
          <w:sz w:val="24"/>
          <w:lang w:val="pl-PL"/>
        </w:rPr>
        <w:t xml:space="preserve"> [Zadania Służby Geodezyjnej i Kartograficznej]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Do zadań Służby Geodezyjnej i Kartograficznej należy w szczególności: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realizacja polityki państwa w zakresie geodezji i kartografii;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organizowanie i finansowanie prac geodezyjnych i kartograficznych, w tym:</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rejestracji stanów prawnych i faktycznych nieruchomości (kataster),</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pomiarów geodezyjnych i opracowań kartograficznych,</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fotogrametrycznych zdjęć powierzchni kraju i opracowań fotogrametrycznych,</w:t>
      </w:r>
    </w:p>
    <w:p>
      <w:pPr>
        <w:spacing w:after="0"/>
        <w:ind w:left="746"/>
        <w:jc w:val="left"/>
        <w:textAlignment w:val="auto"/>
      </w:pPr>
      <w:r>
        <w:rPr>
          <w:rFonts w:ascii="Times New Roman"/>
          <w:b w:val="false"/>
          <w:i w:val="false"/>
          <w:color w:val="000000"/>
          <w:sz w:val="24"/>
          <w:lang w:val="pl-PL"/>
        </w:rPr>
        <w:t>d)</w:t>
      </w:r>
      <w:r>
        <w:rPr>
          <w:rFonts w:ascii="Times New Roman"/>
          <w:b w:val="false"/>
          <w:i w:val="false"/>
          <w:color w:val="000000"/>
          <w:sz w:val="24"/>
          <w:lang w:val="pl-PL"/>
        </w:rPr>
        <w:t xml:space="preserve"> wydawania urzędowych map i atlasów terytorium Polski,</w:t>
      </w:r>
    </w:p>
    <w:p>
      <w:pPr>
        <w:spacing w:after="0"/>
        <w:ind w:left="746"/>
        <w:jc w:val="left"/>
        <w:textAlignment w:val="auto"/>
      </w:pPr>
      <w:r>
        <w:rPr>
          <w:rFonts w:ascii="Times New Roman"/>
          <w:b w:val="false"/>
          <w:i w:val="false"/>
          <w:color w:val="000000"/>
          <w:sz w:val="24"/>
          <w:lang w:val="pl-PL"/>
        </w:rPr>
        <w:t>e)</w:t>
      </w:r>
      <w:r>
        <w:rPr>
          <w:rFonts w:ascii="Times New Roman"/>
          <w:b w:val="false"/>
          <w:i w:val="false"/>
          <w:color w:val="000000"/>
          <w:sz w:val="24"/>
          <w:lang w:val="pl-PL"/>
        </w:rPr>
        <w:t xml:space="preserve"> prowadzenia krajowego systemu informacji o terenie;</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prowadzenie państwowego zasobu geodezyjnego i kartograficznego w tym jego tworzenie, ewidencjonowanie i utrzymywanie oraz aktualizacja i udostępnianie danych;</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kontrolowanie urzędów, instytucji publicznych i przedsiębiorców w zakresie przestrzegania przepisów dotyczących geodezji i kartografii;</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prowadzenie państwowego rejestru granic oraz powierzchni jednostek podziałów terytorialnych kraju;</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sporządzanie map topograficznych i tematycznych kraju oraz mapy zasadniczej;</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nadawanie, do czasu utworzenia odpowiednich samorządów zawodowych, uprawnień zawodowych w dziedzinie geodezji i kartografii, prowadzenie rejestru osób uprawnionych oraz współpraca z tymi samorządami zawodowymi;</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współpraca z wyspecjalizowanymi w dziedzinie geodezji i kartografii organizacjami krajowymi, międzynarodowymi i regionalnymi oraz organami i urzędami innych krajów;</w:t>
      </w:r>
    </w:p>
    <w:p>
      <w:pPr>
        <w:spacing w:before="26" w:after="0"/>
        <w:ind w:left="373"/>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xml:space="preserve"> inicjowanie prac naukowych i badawczo-rozwojowych w zakresie standardów organizacyjno-technicznych oraz zastosowania metod informatycznych, fotogrametrycznych i satelitarnych w dziedzinie geodezji i kartografii oraz w krajowym systemie informacji o terenie;</w:t>
      </w:r>
    </w:p>
    <w:p>
      <w:pPr>
        <w:spacing w:before="26" w:after="0"/>
        <w:ind w:left="373"/>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xml:space="preserve"> prowadzenie spraw związanych z ochroną informacji niejawnych w działalności geodezyjnej i kartograficznej;</w:t>
      </w:r>
    </w:p>
    <w:p>
      <w:pPr>
        <w:spacing w:before="26" w:after="0"/>
        <w:ind w:left="373"/>
        <w:jc w:val="left"/>
        <w:textAlignment w:val="auto"/>
      </w:pPr>
      <w:r>
        <w:rPr>
          <w:rFonts w:ascii="Times New Roman"/>
          <w:b w:val="false"/>
          <w:i w:val="false"/>
          <w:color w:val="000000"/>
          <w:sz w:val="24"/>
          <w:lang w:val="pl-PL"/>
        </w:rPr>
        <w:t>12)</w:t>
      </w:r>
      <w:r>
        <w:rPr>
          <w:rFonts w:ascii="Times New Roman"/>
          <w:b w:val="false"/>
          <w:i w:val="false"/>
          <w:color w:val="000000"/>
          <w:sz w:val="24"/>
          <w:lang w:val="pl-PL"/>
        </w:rPr>
        <w:t xml:space="preserve"> przygotowanie organizacyjno-techniczne i wdrożenie katastru.</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Minister właściwy do spraw budownictwa, planowania i zagospodarowania przestrzennego oraz mieszkalnictwa w porozumieniu z Ministrem Obrony Narodowej określi, w drodze rozporządzenia, rodzaje materiałów geodezyjnych i kartograficznych, które podlegają ochronie zgodnie z przepisami o ochronie informacji niejawnych, uwzględniając przy tym potrzeby ochrony informacji niejawnych w działalności geodezyjnej i kartograficznej.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7a.</w:t>
      </w:r>
      <w:r>
        <w:rPr>
          <w:rFonts w:ascii="Times New Roman"/>
          <w:b/>
          <w:i w:val="false"/>
          <w:color w:val="000000"/>
          <w:sz w:val="24"/>
          <w:lang w:val="pl-PL"/>
        </w:rPr>
        <w:t xml:space="preserve"> [Zadania Głównego Geodety Kraju]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Główny Geodeta Kraju wykonuje zadania określone w ustawie, a w szczególności: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nadzoruje realizację polityki państwa w zakresie geodezji i kartografii;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pełni funkcję organu wyższego stopnia w rozumieniu </w:t>
      </w:r>
      <w:r>
        <w:rPr>
          <w:rFonts w:ascii="Times New Roman"/>
          <w:b w:val="false"/>
          <w:i w:val="false"/>
          <w:color w:val="1b1b1b"/>
          <w:sz w:val="24"/>
          <w:lang w:val="pl-PL"/>
        </w:rPr>
        <w:t>Kodeksu postępowania administracyjnego</w:t>
      </w:r>
      <w:r>
        <w:rPr>
          <w:rFonts w:ascii="Times New Roman"/>
          <w:b w:val="false"/>
          <w:i w:val="false"/>
          <w:color w:val="000000"/>
          <w:sz w:val="24"/>
          <w:lang w:val="pl-PL"/>
        </w:rPr>
        <w:t xml:space="preserve"> w stosunku do wojewódzkich inspektorów nadzoru geodezyjnego i kartograficznego, a także nadzoruje i kontroluje ich działania;</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prowadzi centralny zasób geodezyjny i kartograficzny oraz dysponuje środkami Funduszu Gospodarki Zasobem Geodezyjnym i Kartograficznym;</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zakłada podstawowe osnowy geodezyjne, grawimetryczne i magnetyczne i prowadzi w oparciu o bazę danych, o której mowa w art. 4 ust. 1a pkt 1, państwowy rejestr podstawowych osnów geodezyjnych, grawimetrycznych i magnetycznych;</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inicjuje i koordynuje działania w zakresie tworzenia zintegrowanego systemu informacji o nieruchomościach oraz tworzy i utrzymuje, we współpracy z innymi organami administracji publicznej, infrastrukturę techniczną tego systemu;</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zakłada i prowadzi, we współpracy z właściwymi organami administracji publicznej, bazę danych, o której mowa w art. 4 ust. 1a pkt 4, oraz prowadzi na podstawie tej bazy, państwowy rejestr granic i powierzchni jednostek podziałów terytorialnych kraju, zintegrowany z ewidencją gruntów i budynków oraz ewidencją miejscowości, ulic i adresów, umożliwiający gromadzenie, aktualizowanie i udostępnianie danych dotyczących:</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granic państwa,</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granic jednostek podziałów terytorialnych kraju, w tym w szczególności:</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zasadniczego trójstopniowego podziału terytorialnego państwa,</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podziału kraju na potrzeby ewidencji gruntów i budynków,</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podziału kraju na potrzeby statystyki publicznej,</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podziału kraju ze względu na właściwość miejscową sądów,</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podziału kraju ze względu na właściwość miejscową organów i jednostek organizacyjnych administracji specjalnej, w szczególności: archiwów państwowych, urzędów skarbowych, izb administracji skarbowej, nadleśnictw, regionalnych dyrekcji Lasów Państwowych, zarządów zlewni Państwowego Gospodarstwa Wodnego Wody Polskie, regionalnych zarządów gospodarki wodnej Państwowego Gospodarstwa Wodnego Wody Polskie, urzędów morskich,</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granic pasa nadbrzeżnego, granic portów i przystani morskich, morskiej linii brzegowej, linii podstawowej i granicy morza terytorialnego Rzeczypospolitej Polskiej,</w:t>
      </w:r>
    </w:p>
    <w:p>
      <w:pPr>
        <w:spacing w:after="0"/>
        <w:ind w:left="746"/>
        <w:jc w:val="left"/>
        <w:textAlignment w:val="auto"/>
      </w:pPr>
      <w:r>
        <w:rPr>
          <w:rFonts w:ascii="Times New Roman"/>
          <w:b w:val="false"/>
          <w:i w:val="false"/>
          <w:color w:val="000000"/>
          <w:sz w:val="24"/>
          <w:lang w:val="pl-PL"/>
        </w:rPr>
        <w:t>d)</w:t>
      </w:r>
      <w:r>
        <w:rPr>
          <w:rFonts w:ascii="Times New Roman"/>
          <w:b w:val="false"/>
          <w:i w:val="false"/>
          <w:color w:val="000000"/>
          <w:sz w:val="24"/>
          <w:lang w:val="pl-PL"/>
        </w:rPr>
        <w:t xml:space="preserve"> pola powierzchni jednostek zasadniczego trójstopniowego podziału terytorialnego państwa, pola powierzchni obszarów morskich Rzeczypospolitej Polskiej oraz pola powierzchni jednostek podziału kraju na potrzeby ewidencji gruntów i budynków,</w:t>
      </w:r>
    </w:p>
    <w:p>
      <w:pPr>
        <w:spacing w:after="0"/>
        <w:ind w:left="746"/>
        <w:jc w:val="left"/>
        <w:textAlignment w:val="auto"/>
      </w:pPr>
      <w:r>
        <w:rPr>
          <w:rFonts w:ascii="Times New Roman"/>
          <w:b w:val="false"/>
          <w:i w:val="false"/>
          <w:color w:val="000000"/>
          <w:sz w:val="24"/>
          <w:lang w:val="pl-PL"/>
        </w:rPr>
        <w:t>e)</w:t>
      </w:r>
      <w:r>
        <w:rPr>
          <w:rFonts w:ascii="Times New Roman"/>
          <w:b w:val="false"/>
          <w:i w:val="false"/>
          <w:color w:val="000000"/>
          <w:sz w:val="24"/>
          <w:lang w:val="pl-PL"/>
        </w:rPr>
        <w:t xml:space="preserve"> adresów i ich lokalizacji przestrzennej;</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współpracuje z wyspecjalizowanymi w dziedzinie geodezji i kartografii organizacjami międzynarodowymi, regionalnymi oraz organami i urzędami innych krajów;</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inicjuje prace naukowe i badawczo-rozwojowe w zakresie standardów organizacyjno-technicznych oraz zastosowania metod informatycznych, fotogrametrycznych i satelitarnych w dziedzinie geodezji i kartografii oraz w krajowym systemie informacji o terenie;</w:t>
      </w:r>
    </w:p>
    <w:p>
      <w:pPr>
        <w:spacing w:before="26" w:after="0"/>
        <w:ind w:left="373"/>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xml:space="preserve"> nadaje uprawnienia zawodowe w dziedzinie geodezji i kartografii, prowadzi rejestr osób uprawnionych oraz współpracuje z samorządami i organizacjami zawodowymi geodetów i kartografów;</w:t>
      </w:r>
    </w:p>
    <w:p>
      <w:pPr>
        <w:spacing w:before="26" w:after="0"/>
        <w:ind w:left="373"/>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xml:space="preserve"> prowadzi sprawy związane z ochroną informacji niejawnych w działalności geodezyjnej i kartograficznej;</w:t>
      </w:r>
    </w:p>
    <w:p>
      <w:pPr>
        <w:spacing w:before="26" w:after="0"/>
        <w:ind w:left="373"/>
        <w:jc w:val="left"/>
        <w:textAlignment w:val="auto"/>
      </w:pPr>
      <w:r>
        <w:rPr>
          <w:rFonts w:ascii="Times New Roman"/>
          <w:b w:val="false"/>
          <w:i w:val="false"/>
          <w:color w:val="000000"/>
          <w:sz w:val="24"/>
          <w:lang w:val="pl-PL"/>
        </w:rPr>
        <w:t>12)</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13)</w:t>
      </w:r>
      <w:r>
        <w:rPr>
          <w:rFonts w:ascii="Times New Roman"/>
          <w:b w:val="false"/>
          <w:i w:val="false"/>
          <w:color w:val="000000"/>
          <w:sz w:val="24"/>
          <w:lang w:val="pl-PL"/>
        </w:rPr>
        <w:t xml:space="preserve"> koordynuje działania organów administracji publicznej oraz innych podmiotów realizujących zadania publiczne dotyczące baz danych, o których mowa w art. 4 ust. 1a, oraz standardowych opracowań kartograficznych, o których mowa w art. 4 ust. 1e, a także współdziała, na podstawie odrębnych porozumień, w zakresie merytorycznym i finansowym w ich realizacji;</w:t>
      </w:r>
    </w:p>
    <w:p>
      <w:pPr>
        <w:spacing w:before="26" w:after="0"/>
        <w:ind w:left="373"/>
        <w:jc w:val="left"/>
        <w:textAlignment w:val="auto"/>
      </w:pPr>
      <w:r>
        <w:rPr>
          <w:rFonts w:ascii="Times New Roman"/>
          <w:b w:val="false"/>
          <w:i w:val="false"/>
          <w:color w:val="000000"/>
          <w:sz w:val="24"/>
          <w:lang w:val="pl-PL"/>
        </w:rPr>
        <w:t>14)</w:t>
      </w:r>
      <w:r>
        <w:rPr>
          <w:rFonts w:ascii="Times New Roman"/>
          <w:b w:val="false"/>
          <w:i w:val="false"/>
          <w:color w:val="000000"/>
          <w:sz w:val="24"/>
          <w:lang w:val="pl-PL"/>
        </w:rPr>
        <w:t xml:space="preserve"> tworzy, prowadzi i udostępnia:</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bazę danych, o której mowa w art. 4 ust. 1a pkt 9,</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zintegrowane kopie baz danych, o których mowa w art. 4 ust. 1a pkt 8,</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bazę zobrazowań lotniczych i satelitarnych oraz ortofotomapy i numerycznego modelu terenu, o której mowa w art. 4 ust. 1a pkt 11,</w:t>
      </w:r>
    </w:p>
    <w:p>
      <w:pPr>
        <w:spacing w:after="0"/>
        <w:ind w:left="746"/>
        <w:jc w:val="left"/>
        <w:textAlignment w:val="auto"/>
      </w:pPr>
      <w:r>
        <w:rPr>
          <w:rFonts w:ascii="Times New Roman"/>
          <w:b w:val="false"/>
          <w:i w:val="false"/>
          <w:color w:val="000000"/>
          <w:sz w:val="24"/>
          <w:lang w:val="pl-PL"/>
        </w:rPr>
        <w:t>d)</w:t>
      </w:r>
      <w:r>
        <w:rPr>
          <w:rFonts w:ascii="Times New Roman"/>
          <w:b w:val="false"/>
          <w:i w:val="false"/>
          <w:color w:val="000000"/>
          <w:sz w:val="24"/>
          <w:lang w:val="pl-PL"/>
        </w:rPr>
        <w:t xml:space="preserve"> standardowe opracowania kartograficzne w skalach: 1:25 000, 1:50 000, 1:100 000, 1:250 000, 1:500 000, 1:1 000 000,</w:t>
      </w:r>
    </w:p>
    <w:p>
      <w:pPr>
        <w:spacing w:after="0"/>
        <w:ind w:left="746"/>
        <w:jc w:val="left"/>
        <w:textAlignment w:val="auto"/>
      </w:pPr>
      <w:r>
        <w:rPr>
          <w:rFonts w:ascii="Times New Roman"/>
          <w:b w:val="false"/>
          <w:i w:val="false"/>
          <w:color w:val="000000"/>
          <w:sz w:val="24"/>
          <w:lang w:val="pl-PL"/>
        </w:rPr>
        <w:t>e)</w:t>
      </w:r>
      <w:r>
        <w:rPr>
          <w:rFonts w:ascii="Times New Roman"/>
          <w:b w:val="false"/>
          <w:i w:val="false"/>
          <w:color w:val="000000"/>
          <w:sz w:val="24"/>
          <w:lang w:val="pl-PL"/>
        </w:rPr>
        <w:t xml:space="preserve"> kartograficzne opracowania tematyczne i specjalne;</w:t>
      </w:r>
    </w:p>
    <w:p>
      <w:pPr>
        <w:spacing w:before="26" w:after="0"/>
        <w:ind w:left="373"/>
        <w:jc w:val="left"/>
        <w:textAlignment w:val="auto"/>
      </w:pPr>
      <w:r>
        <w:rPr>
          <w:rFonts w:ascii="Times New Roman"/>
          <w:b w:val="false"/>
          <w:i w:val="false"/>
          <w:color w:val="000000"/>
          <w:sz w:val="24"/>
          <w:lang w:val="pl-PL"/>
        </w:rPr>
        <w:t>15)</w:t>
      </w:r>
      <w:r>
        <w:rPr>
          <w:rFonts w:ascii="Times New Roman"/>
          <w:b w:val="false"/>
          <w:i w:val="false"/>
          <w:color w:val="000000"/>
          <w:sz w:val="24"/>
          <w:lang w:val="pl-PL"/>
        </w:rPr>
        <w:t xml:space="preserve"> prowadzi sprawy związane ze standaryzacją polskojęzycznego nazewnictwa obiektów geograficznych położonych poza granicami Rzeczypospolitej Polskiej oraz bazę danych państwowego rejestru nazw geograficznych, o której mowa w art. 4 ust. 1a pkt 5, zawierającą aktualne i historyczne informacje dotyczące:</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nazw miejscowości i ich części oraz obiektów fizjograficznych, o których mowa w </w:t>
      </w:r>
      <w:r>
        <w:rPr>
          <w:rFonts w:ascii="Times New Roman"/>
          <w:b w:val="false"/>
          <w:i w:val="false"/>
          <w:color w:val="1b1b1b"/>
          <w:sz w:val="24"/>
          <w:lang w:val="pl-PL"/>
        </w:rPr>
        <w:t>ustawie</w:t>
      </w:r>
      <w:r>
        <w:rPr>
          <w:rFonts w:ascii="Times New Roman"/>
          <w:b w:val="false"/>
          <w:i w:val="false"/>
          <w:color w:val="000000"/>
          <w:sz w:val="24"/>
          <w:lang w:val="pl-PL"/>
        </w:rPr>
        <w:t xml:space="preserve"> z dnia 29 sierpnia 2003 r. o urzędowych nazwach miejscowości i obiektów fizjograficznych (Dz. U. z 2019 r. poz. 1443),</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polskojęzycznego brzmienia nazw obiektów geograficznych położonych poza granicami Rzeczypospolitej Polskiej;</w:t>
      </w:r>
    </w:p>
    <w:p>
      <w:pPr>
        <w:spacing w:before="26" w:after="0"/>
        <w:ind w:left="373"/>
        <w:jc w:val="left"/>
        <w:textAlignment w:val="auto"/>
      </w:pPr>
      <w:r>
        <w:rPr>
          <w:rFonts w:ascii="Times New Roman"/>
          <w:b w:val="false"/>
          <w:i w:val="false"/>
          <w:color w:val="000000"/>
          <w:sz w:val="24"/>
          <w:lang w:val="pl-PL"/>
        </w:rPr>
        <w:t>16)</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16a)</w:t>
      </w:r>
      <w:r>
        <w:rPr>
          <w:rFonts w:ascii="Times New Roman"/>
          <w:b w:val="false"/>
          <w:i w:val="false"/>
          <w:color w:val="000000"/>
          <w:sz w:val="24"/>
          <w:lang w:val="pl-PL"/>
        </w:rPr>
        <w:t xml:space="preserve"> zakłada i prowadzi dla obszaru kraju bazę danych geodezyjnej ewidencji sieci uzbrojenia terenu, o której mowa w art. 4 ust. 1a pkt 3, zwaną dalej "krajową bazą GESUT";</w:t>
      </w:r>
    </w:p>
    <w:p>
      <w:pPr>
        <w:spacing w:before="26" w:after="0"/>
        <w:ind w:left="373"/>
        <w:jc w:val="left"/>
        <w:textAlignment w:val="auto"/>
      </w:pPr>
      <w:r>
        <w:rPr>
          <w:rFonts w:ascii="Times New Roman"/>
          <w:b w:val="false"/>
          <w:i w:val="false"/>
          <w:color w:val="000000"/>
          <w:sz w:val="24"/>
          <w:lang w:val="pl-PL"/>
        </w:rPr>
        <w:t>17)</w:t>
      </w:r>
      <w:r>
        <w:rPr>
          <w:rFonts w:ascii="Times New Roman"/>
          <w:b w:val="false"/>
          <w:i w:val="false"/>
          <w:color w:val="000000"/>
          <w:sz w:val="24"/>
          <w:lang w:val="pl-PL"/>
        </w:rPr>
        <w:t xml:space="preserve"> opracowuje i przedkłada Radzie Ministrów, za pośrednictwem ministra właściwego do spraw budownictwa, planowania i zagospodarowania przestrzennego oraz mieszkalnictwa, projekty rządowych programów realizacji zadań z dziedziny geodezji i kartografii, a w szczególności w zakresie: modernizacji ewidencji gruntów i budynków (katastru nieruchomości), tworzenia baz danych obiektów topograficznych i ogólnogeograficznych wraz z numerycznymi modelami rzeźby terenu, opracowań tematycznych i specjalnych, zobrazowań lotniczych i satelitarnych oraz ortofotomapy i numerycznego modelu terenu;</w:t>
      </w:r>
    </w:p>
    <w:p>
      <w:pPr>
        <w:spacing w:before="26" w:after="0"/>
        <w:ind w:left="373"/>
        <w:jc w:val="left"/>
        <w:textAlignment w:val="auto"/>
      </w:pPr>
      <w:r>
        <w:rPr>
          <w:rFonts w:ascii="Times New Roman"/>
          <w:b w:val="false"/>
          <w:i w:val="false"/>
          <w:color w:val="000000"/>
          <w:sz w:val="24"/>
          <w:lang w:val="pl-PL"/>
        </w:rPr>
        <w:t>18)</w:t>
      </w:r>
      <w:r>
        <w:rPr>
          <w:rFonts w:ascii="Times New Roman"/>
          <w:b w:val="false"/>
          <w:i w:val="false"/>
          <w:color w:val="000000"/>
          <w:sz w:val="24"/>
          <w:lang w:val="pl-PL"/>
        </w:rPr>
        <w:t xml:space="preserve"> tworzy system i program szkoleń w dziedzinie geodezji i kartografii oraz współdziała z ośrodkami naukowymi, badawczo-rozwojowymi i organizacjami zawodowymi w realizacji tych szkoleń;</w:t>
      </w:r>
    </w:p>
    <w:p>
      <w:pPr>
        <w:spacing w:before="26" w:after="0"/>
        <w:ind w:left="373"/>
        <w:jc w:val="left"/>
        <w:textAlignment w:val="auto"/>
      </w:pPr>
      <w:r>
        <w:rPr>
          <w:rFonts w:ascii="Times New Roman"/>
          <w:b w:val="false"/>
          <w:i w:val="false"/>
          <w:color w:val="000000"/>
          <w:sz w:val="24"/>
          <w:lang w:val="pl-PL"/>
        </w:rPr>
        <w:t>19)</w:t>
      </w:r>
      <w:r>
        <w:rPr>
          <w:rFonts w:ascii="Times New Roman"/>
          <w:b w:val="false"/>
          <w:i w:val="false"/>
          <w:color w:val="000000"/>
          <w:sz w:val="24"/>
          <w:lang w:val="pl-PL"/>
        </w:rPr>
        <w:t xml:space="preserve"> utrzymuje i rozbudowuje infrastrukturę i systemy teleinformatyczne umożliwiające dostęp do danych przestrzennych centralnego zasobu geodezyjnego i kartograficznego oraz usług związanych z tymi danymi.</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Główny Geodeta Kraju oraz Minister Obrony Narodowej współdziałają przy realizacji zadań w zakresie geodezji i kartografii mających znaczenie dla obronności państwa, w tym przy tworzeniu standardowych opracowań kartograficznych w skalach: 1:25 000, 1:50 000, 1:100 000, 1:250 000, 1:500 000 oraz 1:1 000 000.</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7b.</w:t>
      </w:r>
      <w:r>
        <w:rPr>
          <w:rFonts w:ascii="Times New Roman"/>
          <w:b/>
          <w:i w:val="false"/>
          <w:color w:val="000000"/>
          <w:sz w:val="24"/>
          <w:lang w:val="pl-PL"/>
        </w:rPr>
        <w:t xml:space="preserve"> [Zadania wojewódzkiego inspektora nadzoru geodezyjnego i kartograficznego]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Wojewódzki inspektor nadzoru geodezyjnego i kartograficznego działający w imieniu wojewody wykonuje zadania niezastrzeżone na rzecz organów administracji geodezyjnej i kartograficznej, a w szczególności: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kontroluje przestrzeganie i stosowanie przepisów ustawy, a w szczególności:</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zgodność wykonywania prac geodezyjnych i kartograficznych z przepisami ustawy,</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posiadanie uprawnień zawodowych przez osoby wykonujące samodzielne funkcje w dziedzinie geodezji i kartografii;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kontroluje działania administracji geodezyjnej i kartograficznej;</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współdziała z Głównym Geodetą Kraju oraz organami kontroli państwowej w zakresie właściwości nadzoru geodezyjnego i kartograficznego;</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przechowuje kopie zabezpieczające baz danych, w szczególności bazy danych ewidencji gruntów i budynków;</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na wniosek starosty wyraża opinię o przygotowaniu gminy do przejęcia zadań w trybie art. 6a ust. 4.</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 rozumieniu </w:t>
      </w:r>
      <w:r>
        <w:rPr>
          <w:rFonts w:ascii="Times New Roman"/>
          <w:b w:val="false"/>
          <w:i w:val="false"/>
          <w:color w:val="1b1b1b"/>
          <w:sz w:val="24"/>
          <w:lang w:val="pl-PL"/>
        </w:rPr>
        <w:t>Kodeksu postępowania administracyjnego</w:t>
      </w:r>
      <w:r>
        <w:rPr>
          <w:rFonts w:ascii="Times New Roman"/>
          <w:b w:val="false"/>
          <w:i w:val="false"/>
          <w:color w:val="000000"/>
          <w:sz w:val="24"/>
          <w:lang w:val="pl-PL"/>
        </w:rPr>
        <w:t xml:space="preserve"> wojewódzki inspektor nadzoru geodezyjnego i kartograficznego jest organem:</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pierwszej instancji w sprawach określonych w ustawie;</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wyższego stopnia w stosunku do organów administracji geodezyjnej i kartograficznej.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7c.</w:t>
      </w:r>
      <w:r>
        <w:rPr>
          <w:rFonts w:ascii="Times New Roman"/>
          <w:b/>
          <w:i w:val="false"/>
          <w:color w:val="000000"/>
          <w:sz w:val="24"/>
          <w:lang w:val="pl-PL"/>
        </w:rPr>
        <w:t xml:space="preserve"> [Zadania marszałka województwa w zakresie geodezji i kartografii]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Do zadań marszałka województwa należy w szczególności: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prowadzenie wojewódzkiego zasobu geodezyjnego i kartograficznego;</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wykonywanie i udostępnianie kartograficznych opracowań tematycznych dla obszaru województwa;</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tworzenie, w uzgodnieniu z Głównym Geodetą Kraju, oraz prowadzenie i udostępnianie bazy danych, o której mowa w art. 4 ust. 1a pkt 8, oraz standardowych opracowań kartograficznych w skali 1:10 000, o których mowa w art. 4 ust. 1e pkt 3;</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analiza zmian w strukturze agrarnej oraz programowanie i koordynacja prac urządzeniowo-rolnych;</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monitorowanie zmian w sposobie użytkowania gruntów oraz ich bonitacji;</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współdziałanie z Głównym Geodetą Kraju w prowadzeniu państwowego rejestru granic i powierzchni jednostek podziałów terytorialnych kraju, w tym prowadzeniu bazy danych, o której mowa w art. 4 ust. 1a pkt 4, w części dotyczącej obszaru województwa.</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Wykonywanie kartograficznych opracowań tematycznych, o których mowa w przepisach wydanych na podstawie art. 9a, następuje w uzgodnieniu z Głównym Geodetą Kraju.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Marszałek województwa może zawierać z Głównym Geodetą Kraju porozumienia dotyczące merytorycznego i finansowego współdziałania przy opracowaniu dla określonego obszaru województwa map topograficznych w skali 1:25 000 lub 1:50 000.</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Marszałek województwa informuje Głównego Geodetę Kraju, w terminie do 30 listopada każdego roku, o zaplanowanych na kolejny rok działaniach w zakresie: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aktualizacji bazy danych, o której mowa w art. 4 ust. 1a pkt 8;</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tworzenia standardowych opracowań kartograficznych w skali 1:10 000, o których mowa w art. 4 ust. 1e pkt 3.</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7d.</w:t>
      </w:r>
      <w:r>
        <w:rPr>
          <w:rFonts w:ascii="Times New Roman"/>
          <w:b/>
          <w:i w:val="false"/>
          <w:color w:val="000000"/>
          <w:sz w:val="24"/>
          <w:lang w:val="pl-PL"/>
        </w:rPr>
        <w:t xml:space="preserve"> [Zadania starosty w zakresie geodezji i kartografii]</w:t>
      </w:r>
    </w:p>
    <w:p>
      <w:pPr>
        <w:spacing w:after="0"/>
        <w:ind w:left="0"/>
        <w:jc w:val="left"/>
        <w:textAlignment w:val="auto"/>
      </w:pPr>
      <w:r>
        <w:rPr>
          <w:rFonts w:ascii="Times New Roman"/>
          <w:b w:val="false"/>
          <w:i w:val="false"/>
          <w:color w:val="000000"/>
          <w:sz w:val="24"/>
          <w:lang w:val="pl-PL"/>
        </w:rPr>
        <w:t> Do zadań starosty należy w szczególności: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prowadzenie powiatowego zasobu geodezyjnego i kartograficznego, w tym:</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prowadzenie dla obszaru powiatu:</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ewidencji gruntów i budynków, w tym bazy danych, o której mowa w art. 4 ust. 1a pkt 2,</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geodezyjnej ewidencji sieci uzbrojenia terenu, w tym bazy danych, o której mowa w art. 4 ust. 1a pkt 3, zwanej dalej "powiatową bazą GESUT",</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gleboznawczej klasyfikacji gruntów,</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tworzenie, prowadzenie i udostępnianie dla obszaru powiatu baz danych, o których mowa w art. 4 ust. 1a pkt 7, 10 i 12,</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tworzenie i udostępnianie dla obszaru powiatu standardowych opracowań kartograficznych, co najmniej w jednej ze skal, o których mowa w art. 4 ust. 1e pkt 1 i 2;</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koordynacja usytuowania projektowanych sieci uzbrojenia terenu;</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zakładanie osnów szczegółowych;</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przeprowadzanie powszechnej taksacji nieruchomości oraz opracowywanie i prowadzenie map i tabel taksacyjnych dotyczących nieruchomości;</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ochrona znaków geodezyjnych, grawimetrycznych i magnetycznych;</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7e.</w:t>
      </w:r>
      <w:r>
        <w:rPr>
          <w:rFonts w:ascii="Times New Roman"/>
          <w:b/>
          <w:i w:val="false"/>
          <w:color w:val="000000"/>
          <w:sz w:val="24"/>
          <w:lang w:val="pl-PL"/>
        </w:rPr>
        <w:t xml:space="preserve"> [Zasady współpracy Służby Geodezyjnej i Kartograficznej z Szefem Krajowego Centrum Informacji Kryminalnych]</w:t>
      </w:r>
    </w:p>
    <w:p>
      <w:pPr>
        <w:spacing w:after="0"/>
        <w:ind w:left="0"/>
        <w:jc w:val="left"/>
        <w:textAlignment w:val="auto"/>
      </w:pPr>
      <w:r>
        <w:rPr>
          <w:rFonts w:ascii="Times New Roman"/>
          <w:b w:val="false"/>
          <w:i w:val="false"/>
          <w:color w:val="000000"/>
          <w:sz w:val="24"/>
          <w:lang w:val="pl-PL"/>
        </w:rPr>
        <w:t> Służba Geodezyjna i Kartograficzna współpracuje z Szefem Krajowego Centrum Informacji Kryminalnych w zakresie niezbędnym do realizacji jego zadań ustawowych.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8.</w:t>
      </w:r>
      <w:r>
        <w:rPr>
          <w:rFonts w:ascii="Times New Roman"/>
          <w:b/>
          <w:i w:val="false"/>
          <w:color w:val="000000"/>
          <w:sz w:val="24"/>
          <w:lang w:val="pl-PL"/>
        </w:rPr>
        <w:t xml:space="preserve"> [Organy doradcze i opiniodawcze Głównego Geodety Kraju]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Przy Głównym Geodecie Kraju działają:</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Państwowa Rada Geodezyjna i Kartograficzna jako organ doradczy i opiniodawczy;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Komisja Standaryzacji Nazw Geograficznych poza Granicami Rzeczypospolitej Polskiej.</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Główny Geodeta Kraju określa skład osobowy Rady i Komisji, o których mowa w ust. 1 i 3.</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Minister właściwy do spraw budownictwa, planowania i zagospodarowania przestrzennego oraz mieszkalnictwa określi, w drodze rozporządzenia, tryb i zakres działania Państwowej Rady Geodezyjnej i Kartograficznej i Komisji Standaryzacji Nazw Geograficznych poza Granicami Rzeczypospolitej Polskiej oraz zasady wynagradzania ich członków, mając na uwadze konieczność zapewnienia odpowiedniego poziomu przedstawianych Głównemu Geodecie Kraju opracowań i opinii.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w:t>
      </w:r>
      <w:r>
        <w:rPr>
          <w:rFonts w:ascii="Times New Roman"/>
          <w:b/>
          <w:i w:val="false"/>
          <w:color w:val="000000"/>
          <w:sz w:val="24"/>
          <w:lang w:val="pl-PL"/>
        </w:rPr>
        <w:t xml:space="preserve"> [Zasady prowadzenia kontroli przez Głównego Geodetę Kraju oraz wojewódzkich inspektorów nadzoru geodezyjnego i kartograficznego]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Główny Geodeta Kraju kontroluje działalność wojewódzkich inspektorów nadzoru geodezyjnego i kartograficznego.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Wojewódzcy inspektorzy nadzoru geodezyjnego i kartograficznego przeprowadzają kontrolę działalności organów administracji geodezyjnej i kartograficznej oraz wykonujących prace geodezyjne przedsiębiorców, a także państwowych i samorządowych jednostek organizacyjnych nieposiadających osobowości prawnej, zwanych dalej "jednostkami organizacyjnymi".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Kontrole, o których mowa w ust. 1 i 2, przeprowadza się w zakresie legalności i rzetelności, a w odniesieniu do organów Służby Geodezyjnej i Kartograficznej również w zakresie celowości.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Główny Geodeta Kraju w ramach kontroli działalności wojewódzkich inspektorów nadzoru geodezyjnego i kartograficznego może objąć kontrolą działalność organów administracji geodezyjnej i kartograficznej oraz przedsiębiorców i jednostek organizacyjnych.</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Do kontroli działalności organów administracji geodezyjnej i kartograficznej oraz jednostek organizacyjnych stosuje się przepisy </w:t>
      </w:r>
      <w:r>
        <w:rPr>
          <w:rFonts w:ascii="Times New Roman"/>
          <w:b w:val="false"/>
          <w:i w:val="false"/>
          <w:color w:val="1b1b1b"/>
          <w:sz w:val="24"/>
          <w:lang w:val="pl-PL"/>
        </w:rPr>
        <w:t>art. 11-57</w:t>
      </w:r>
      <w:r>
        <w:rPr>
          <w:rFonts w:ascii="Times New Roman"/>
          <w:b w:val="false"/>
          <w:i w:val="false"/>
          <w:color w:val="000000"/>
          <w:sz w:val="24"/>
          <w:lang w:val="pl-PL"/>
        </w:rPr>
        <w:t xml:space="preserve"> ustawy z dnia 15 lipca 2011 r. o kontroli w administracji rządowej (Dz. U. z 2020 r. poz. 224).</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Okresowy plan kontroli, o którym mowa w </w:t>
      </w:r>
      <w:r>
        <w:rPr>
          <w:rFonts w:ascii="Times New Roman"/>
          <w:b w:val="false"/>
          <w:i w:val="false"/>
          <w:color w:val="1b1b1b"/>
          <w:sz w:val="24"/>
          <w:lang w:val="pl-PL"/>
        </w:rPr>
        <w:t>art. 12 ust. 1</w:t>
      </w:r>
      <w:r>
        <w:rPr>
          <w:rFonts w:ascii="Times New Roman"/>
          <w:b w:val="false"/>
          <w:i w:val="false"/>
          <w:color w:val="000000"/>
          <w:sz w:val="24"/>
          <w:lang w:val="pl-PL"/>
        </w:rPr>
        <w:t xml:space="preserve"> ustawy z dnia 15 lipca 2011 r. o kontroli w administracji rządowej, opracowany przez wojewódzkiego inspektora nadzoru geodezyjnego i kartograficznego, przed jego zatwierdzeniem przez wojewodę, podlega uzgodnieniu z Głównym Geodetą Kraju.</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Do kontroli działalności gospodarczej przedsiębiorcy stosuje się przepisy rozdziału 5 </w:t>
      </w:r>
      <w:r>
        <w:rPr>
          <w:rFonts w:ascii="Times New Roman"/>
          <w:b w:val="false"/>
          <w:i w:val="false"/>
          <w:color w:val="1b1b1b"/>
          <w:sz w:val="24"/>
          <w:lang w:val="pl-PL"/>
        </w:rPr>
        <w:t>ustawy</w:t>
      </w:r>
      <w:r>
        <w:rPr>
          <w:rFonts w:ascii="Times New Roman"/>
          <w:b w:val="false"/>
          <w:i w:val="false"/>
          <w:color w:val="000000"/>
          <w:sz w:val="24"/>
          <w:lang w:val="pl-PL"/>
        </w:rPr>
        <w:t xml:space="preserve"> z dnia 6 marca 2018 r. - Prawo przedsiębiorców (Dz. U. z 2024 r. poz. 236).</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Kontrola działalności przedsiębiorcy oraz jednostki organizacyjnej, w zakresie wykonywania prac geodezyjnych, może dotyczyć:</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zgłaszania prac geodezyjnych;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przekazywania do państwowego zasobu geodezyjnego i kartograficznego wyników prac geodezyjnych;</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przestrzegania przepisów dotyczących wykonywania samodzielnych funkcji w zakresie geodezji i kartografii;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rzetelności wykonywania prac geodezyjnych.</w:t>
      </w:r>
    </w:p>
    <w:p>
      <w:pPr>
        <w:spacing w:before="26" w:after="0"/>
        <w:ind w:left="0"/>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Z wyników kontroli, o której mowa w ust. 7, osoby kontrolujące sporządzają i podpisują protokół w dwóch jednobrzmiących egzemplarzach.</w:t>
      </w:r>
    </w:p>
    <w:p>
      <w:pPr>
        <w:spacing w:before="26" w:after="0"/>
        <w:ind w:left="0"/>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W protokole kontroli zamieszcza się w szczególności: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nazwę organu przeprowadzającego kontrolę;</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nazwę i siedzibę przedsiębiorcy;</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datę rozpoczęcia i zakończenia kontroli;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przedmiot, zakres kontroli oraz okres objęty kontrolą;</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imiona i nazwiska osób kontrolujących oraz datę i numer upoważnienia do przeprowadzenia kontroli;</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opis stanu faktycznego ze wskazaniem dokumentacji wykorzystanej podczas kontroli;</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ustalone nieprawidłowości - jeżeli zostały stwierdzone;</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wnioski z kontroli;</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spis załączników do protokołu;</w:t>
      </w:r>
    </w:p>
    <w:p>
      <w:pPr>
        <w:spacing w:before="26" w:after="0"/>
        <w:ind w:left="373"/>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xml:space="preserve"> datę i miejscowość podpisania protokołu;</w:t>
      </w:r>
    </w:p>
    <w:p>
      <w:pPr>
        <w:spacing w:before="26" w:after="0"/>
        <w:ind w:left="373"/>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xml:space="preserve"> pouczenie przedsiębiorcy o prawie do złożenia zastrzeżeń do protokołu;</w:t>
      </w:r>
    </w:p>
    <w:p>
      <w:pPr>
        <w:spacing w:before="26" w:after="0"/>
        <w:ind w:left="373"/>
        <w:jc w:val="left"/>
        <w:textAlignment w:val="auto"/>
      </w:pPr>
      <w:r>
        <w:rPr>
          <w:rFonts w:ascii="Times New Roman"/>
          <w:b w:val="false"/>
          <w:i w:val="false"/>
          <w:color w:val="000000"/>
          <w:sz w:val="24"/>
          <w:lang w:val="pl-PL"/>
        </w:rPr>
        <w:t>12)</w:t>
      </w:r>
      <w:r>
        <w:rPr>
          <w:rFonts w:ascii="Times New Roman"/>
          <w:b w:val="false"/>
          <w:i w:val="false"/>
          <w:color w:val="000000"/>
          <w:sz w:val="24"/>
          <w:lang w:val="pl-PL"/>
        </w:rPr>
        <w:t xml:space="preserve"> informację o wynikach rozpatrzenia przez organ przeprowadzający kontrolę złożonych przez przedsiębiorcę zastrzeżeń do protokołu - jeżeli zostały złożone;</w:t>
      </w:r>
    </w:p>
    <w:p>
      <w:pPr>
        <w:spacing w:before="26" w:after="0"/>
        <w:ind w:left="373"/>
        <w:jc w:val="left"/>
        <w:textAlignment w:val="auto"/>
      </w:pPr>
      <w:r>
        <w:rPr>
          <w:rFonts w:ascii="Times New Roman"/>
          <w:b w:val="false"/>
          <w:i w:val="false"/>
          <w:color w:val="000000"/>
          <w:sz w:val="24"/>
          <w:lang w:val="pl-PL"/>
        </w:rPr>
        <w:t>13)</w:t>
      </w:r>
      <w:r>
        <w:rPr>
          <w:rFonts w:ascii="Times New Roman"/>
          <w:b w:val="false"/>
          <w:i w:val="false"/>
          <w:color w:val="000000"/>
          <w:sz w:val="24"/>
          <w:lang w:val="pl-PL"/>
        </w:rPr>
        <w:t xml:space="preserve"> wzmiankę o odmowie podpisania protokołu przez przedsiębiorcę - jeżeli została stwierdzona.</w:t>
      </w:r>
    </w:p>
    <w:p>
      <w:pPr>
        <w:spacing w:before="26" w:after="0"/>
        <w:ind w:left="0"/>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Przedsiębiorca przed podpisaniem protokołu kontroli może zgłosić do organu przeprowadzającego kontrolę pisemne zastrzeżenia w terminie 7 dni od dnia jego otrzymania.</w:t>
      </w:r>
    </w:p>
    <w:p>
      <w:pPr>
        <w:spacing w:before="26" w:after="0"/>
        <w:ind w:left="0"/>
        <w:jc w:val="left"/>
        <w:textAlignment w:val="auto"/>
      </w:pPr>
      <w:r>
        <w:rPr>
          <w:rFonts w:ascii="Times New Roman"/>
          <w:b w:val="false"/>
          <w:i w:val="false"/>
          <w:color w:val="000000"/>
          <w:sz w:val="24"/>
          <w:lang w:val="pl-PL"/>
        </w:rPr>
        <w:t>12.</w:t>
      </w:r>
      <w:r>
        <w:rPr>
          <w:rFonts w:ascii="Times New Roman"/>
          <w:b w:val="false"/>
          <w:i w:val="false"/>
          <w:color w:val="000000"/>
          <w:sz w:val="24"/>
          <w:lang w:val="pl-PL"/>
        </w:rPr>
        <w:t> W przypadku zgłoszenia zastrzeżeń do protokołu kontroli organ przeprowadzający kontrolę rozpatruje je w terminie 14 dni od dnia ich otrzymania.</w:t>
      </w:r>
    </w:p>
    <w:p>
      <w:pPr>
        <w:spacing w:before="26" w:after="0"/>
        <w:ind w:left="0"/>
        <w:jc w:val="left"/>
        <w:textAlignment w:val="auto"/>
      </w:pPr>
      <w:r>
        <w:rPr>
          <w:rFonts w:ascii="Times New Roman"/>
          <w:b w:val="false"/>
          <w:i w:val="false"/>
          <w:color w:val="000000"/>
          <w:sz w:val="24"/>
          <w:lang w:val="pl-PL"/>
        </w:rPr>
        <w:t>13.</w:t>
      </w:r>
      <w:r>
        <w:rPr>
          <w:rFonts w:ascii="Times New Roman"/>
          <w:b w:val="false"/>
          <w:i w:val="false"/>
          <w:color w:val="000000"/>
          <w:sz w:val="24"/>
          <w:lang w:val="pl-PL"/>
        </w:rPr>
        <w:t> W razie uwzględnienia zastrzeżeń do protokołu kontroli osoby kontrolujące korygują protokół i ponownie doręczają go przedsiębiorcy.</w:t>
      </w:r>
    </w:p>
    <w:p>
      <w:pPr>
        <w:spacing w:before="26" w:after="0"/>
        <w:ind w:left="0"/>
        <w:jc w:val="left"/>
        <w:textAlignment w:val="auto"/>
      </w:pPr>
      <w:r>
        <w:rPr>
          <w:rFonts w:ascii="Times New Roman"/>
          <w:b w:val="false"/>
          <w:i w:val="false"/>
          <w:color w:val="000000"/>
          <w:sz w:val="24"/>
          <w:lang w:val="pl-PL"/>
        </w:rPr>
        <w:t>14.</w:t>
      </w:r>
      <w:r>
        <w:rPr>
          <w:rFonts w:ascii="Times New Roman"/>
          <w:b w:val="false"/>
          <w:i w:val="false"/>
          <w:color w:val="000000"/>
          <w:sz w:val="24"/>
          <w:lang w:val="pl-PL"/>
        </w:rPr>
        <w:t> Przedsiębiorca podpisuje skorygowany protokół kontroli w terminie 7 dni od dnia jego doręczenia. Niepodpisanie skorygowanego protokołu we wskazanym terminie oznacza odmowę jego podpisania.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9a.</w:t>
      </w:r>
      <w:r>
        <w:rPr>
          <w:rFonts w:ascii="Times New Roman"/>
          <w:b/>
          <w:i w:val="false"/>
          <w:color w:val="000000"/>
          <w:sz w:val="24"/>
          <w:lang w:val="pl-PL"/>
        </w:rPr>
        <w:t xml:space="preserve"> [Delegacja ustawowa - rodzaje kartograficznych opracowań tematycznych i specjalnych wykonywanych i udostępnianych przez Głównego Geodetę Kraju]</w:t>
      </w:r>
    </w:p>
    <w:p>
      <w:pPr>
        <w:spacing w:after="0"/>
        <w:ind w:left="0"/>
        <w:jc w:val="left"/>
        <w:textAlignment w:val="auto"/>
      </w:pPr>
      <w:r>
        <w:rPr>
          <w:rFonts w:ascii="Times New Roman"/>
          <w:b w:val="false"/>
          <w:i w:val="false"/>
          <w:color w:val="000000"/>
          <w:sz w:val="24"/>
          <w:lang w:val="pl-PL"/>
        </w:rPr>
        <w:t> Rada Ministrów określi, w drodze rozporządzenia, rodzaje kartograficznych opracowań tematycznych i specjalnych, których wykonywanie i udostępnianie należy do obowiązków Głównego Geodety Kraju oraz organizację i tryb współdziałania z Głównym Geodetą Kraju innych organów administracji publicznej przy realizacji tych zadań, mając na względzie potrzeby państwa i obywateli, a także odpowiednie wykorzystanie informacji zgromadzonych przez organy administracji publicznej.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10.</w:t>
      </w:r>
      <w:r>
        <w:rPr>
          <w:rFonts w:ascii="Times New Roman"/>
          <w:b/>
          <w:i w:val="false"/>
          <w:color w:val="000000"/>
          <w:sz w:val="24"/>
          <w:lang w:val="pl-PL"/>
        </w:rPr>
        <w:t xml:space="preserve"> [Delegacja ustawowa - określenie terenów zamkniętych niezbędnych dla obronności państwa]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Minister Obrony Narodowej w porozumieniu z zainteresowanymi ministrami i kierownikami urzędów centralnych określi, w drodze rozporządzenia, tereny zamknięte niezbędne dla obronności państwa, na których nadzoruje prace geodezyjne i kartograficzne.</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Minister Obrony Narodowej, w porozumieniu z ministrem właściwym do spraw budownictwa, planowania i zagospodarowania przestrzennego oraz mieszkalnictwa, określi, w drodze rozporządzenia, zakres i tryb sprawowania nadzoru nad pracami geodezyjnymi i kartograficznymi na terenach zamkniętych, a w szczególności określi rodzaje prac, nad którymi sprawowany jest nadzór, uwzględniając potrzeby obronności i bezpieczeństwa państwa oraz ochrony informacji niejawnych.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Materiały geodezyjne lub kartograficzne, o których mowa w przepisach wydanych na podstawie art. 7 ust. 2, mogą wykonywać wyłącznie podmioty posiadające odpowiednią zdolność do ochrony informacji niejawnych w rozumieniu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5 sierpnia 2010 r. o ochronie informacji niejawnych (Dz. U. z 2024 r. poz. 632).</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Na wniosek podmiotu, który planuje wykonywać dla określonego obszaru zobrazowania lotnicze, Główny Geodeta Kraju w terminie 7 dni roboczych od dnia otrzymania wniosku udziela informacji, czy w granicach tego obszaru znajdują się tereny zamknięte, zawierające obiekty, o których informacje objęte są klauzulą tajności.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Podmiotowi, który posiada odpowiednią zdolność do ochrony informacji niejawnych, Główny Geodeta Kraju udziela ponadto na jego wniosek informacji o granicach terenów zamkniętych oraz przekazuje wytyczne dotyczące zasad przetwarzania zobrazowań lotniczych zawierających informacje niejawne do postaci jawnej.</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Do jednostek organizacyjnych podległych Ministrowi Obrony Narodowej, wykonujących prace geodezyjne lub prace kartograficzne, oraz innych wykonawców działających na zlecenie tych jednostek nie stosuje się przepisów art. 6, art. 7 ust. 1, art. 9, art. 12-12b, art. 12c ust. 1, art. 12d, art. 19 ust. 2, art. 42-46w, art. 49 i art. 50 ust. 2.</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3</w:t>
      </w:r>
    </w:p>
    <w:p>
      <w:pPr>
        <w:spacing w:before="25" w:after="0"/>
        <w:ind w:left="0"/>
        <w:jc w:val="center"/>
        <w:textAlignment w:val="auto"/>
      </w:pPr>
      <w:r>
        <w:rPr>
          <w:rFonts w:ascii="Times New Roman"/>
          <w:b/>
          <w:i w:val="false"/>
          <w:color w:val="000000"/>
          <w:sz w:val="24"/>
          <w:lang w:val="pl-PL"/>
        </w:rPr>
        <w:t>Prace geodezyjne i kartograficzne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11.</w:t>
      </w:r>
      <w:r>
        <w:rPr>
          <w:rFonts w:ascii="Times New Roman"/>
          <w:b/>
          <w:i w:val="false"/>
          <w:color w:val="000000"/>
          <w:sz w:val="24"/>
          <w:lang w:val="pl-PL"/>
        </w:rPr>
        <w:t xml:space="preserve"> [Wykonawcy prac geodezyjnych lub prac kartograficznych]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Wykonawcą prac geodezyjnych lub prac kartograficznych może być przedsiębiorca, jednostka organizacyjna, a także osoba legitymująca się uprawnieniami zawodowymi w dziedzinie geodezji i kartografii w przypadku wykonywania przez tę osobę funkcji biegłego sądowego lub mierniczego górniczego.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Wykonawca prac geodezyjnych podlegających obowiązkowi zgłoszenia organowi Służby Geodezyjnej i Kartograficznej ustanawia legitymującego się odpowiednimi uprawnieniami zawodowymi kierownika prac geodezyjnych.</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 przypadku gdy wykonawcą prac geodezyjnych jest osoba wykonująca funkcję biegłego sądowego lub mierniczego górniczego, uznaje się ją za pełniącą funkcję kierownika prac geodezyjnych.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w:t>
      </w:r>
      <w:r>
        <w:rPr>
          <w:rFonts w:ascii="Times New Roman"/>
          <w:b/>
          <w:i w:val="false"/>
          <w:color w:val="000000"/>
          <w:sz w:val="24"/>
          <w:lang w:val="pl-PL"/>
        </w:rPr>
        <w:t xml:space="preserve"> [Zgłoszenie prac geodezyjnych lub prac kartograficznych; uzupełnienie zgłoszenia prac geodezyjnych]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Wykonawca prac geodezyjnych zgłasza prace geodezyjne lub prace kartograficzne przed ich rozpoczęciem:</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Głównemu Geodecie Kraju, jeżeli celem tych prac jest:</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(uchylona),</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wykonanie zobrazowań lotniczych, numerycznego modelu terenu lub ortofotomapy, z wyjątkiem tych prac wykonywanych na zamówienie Głównego Geodety Kraju;</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(uchylona);</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właściwym miejscowo starostom, jeżeli celem tych prac jest:</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(uchylona),</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wznowienie znaków granicznych, wyznaczenie punktów granicznych lub ustalenie przebiegu granic działek ewidencyjnych,</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geodezyjna inwentaryzacja powykonawcza obiektów budowlanych,</w:t>
      </w:r>
    </w:p>
    <w:p>
      <w:pPr>
        <w:spacing w:after="0"/>
        <w:ind w:left="746"/>
        <w:jc w:val="left"/>
        <w:textAlignment w:val="auto"/>
      </w:pPr>
      <w:r>
        <w:rPr>
          <w:rFonts w:ascii="Times New Roman"/>
          <w:b w:val="false"/>
          <w:i w:val="false"/>
          <w:color w:val="000000"/>
          <w:sz w:val="24"/>
          <w:lang w:val="pl-PL"/>
        </w:rPr>
        <w:t>d)</w:t>
      </w:r>
      <w:r>
        <w:rPr>
          <w:rFonts w:ascii="Times New Roman"/>
          <w:b w:val="false"/>
          <w:i w:val="false"/>
          <w:color w:val="000000"/>
          <w:sz w:val="24"/>
          <w:lang w:val="pl-PL"/>
        </w:rPr>
        <w:t xml:space="preserve"> (uchylona),</w:t>
      </w:r>
    </w:p>
    <w:p>
      <w:pPr>
        <w:spacing w:after="0"/>
        <w:ind w:left="746"/>
        <w:jc w:val="left"/>
        <w:textAlignment w:val="auto"/>
      </w:pPr>
      <w:r>
        <w:rPr>
          <w:rFonts w:ascii="Times New Roman"/>
          <w:b w:val="false"/>
          <w:i w:val="false"/>
          <w:color w:val="000000"/>
          <w:sz w:val="24"/>
          <w:lang w:val="pl-PL"/>
        </w:rPr>
        <w:t>e)</w:t>
      </w:r>
      <w:r>
        <w:rPr>
          <w:rFonts w:ascii="Times New Roman"/>
          <w:b w:val="false"/>
          <w:i w:val="false"/>
          <w:color w:val="000000"/>
          <w:sz w:val="24"/>
          <w:lang w:val="pl-PL"/>
        </w:rPr>
        <w:t xml:space="preserve"> (uchylona).</w:t>
      </w:r>
    </w:p>
    <w:p>
      <w:pPr>
        <w:spacing w:after="0"/>
        <w:ind w:left="746"/>
        <w:jc w:val="left"/>
        <w:textAlignment w:val="auto"/>
      </w:pPr>
      <w:r>
        <w:rPr>
          <w:rFonts w:ascii="Times New Roman"/>
          <w:b w:val="false"/>
          <w:i w:val="false"/>
          <w:color w:val="000000"/>
          <w:sz w:val="24"/>
          <w:lang w:val="pl-PL"/>
        </w:rPr>
        <w:t>f)</w:t>
      </w:r>
      <w:r>
        <w:rPr>
          <w:rFonts w:ascii="Times New Roman"/>
          <w:b w:val="false"/>
          <w:i w:val="false"/>
          <w:color w:val="000000"/>
          <w:sz w:val="24"/>
          <w:lang w:val="pl-PL"/>
        </w:rPr>
        <w:t xml:space="preserve"> sporządzenie mapy z projektem podziału nieruchomości,</w:t>
      </w:r>
    </w:p>
    <w:p>
      <w:pPr>
        <w:spacing w:after="0"/>
        <w:ind w:left="746"/>
        <w:jc w:val="left"/>
        <w:textAlignment w:val="auto"/>
      </w:pPr>
      <w:r>
        <w:rPr>
          <w:rFonts w:ascii="Times New Roman"/>
          <w:b w:val="false"/>
          <w:i w:val="false"/>
          <w:color w:val="000000"/>
          <w:sz w:val="24"/>
          <w:lang w:val="pl-PL"/>
        </w:rPr>
        <w:t>g)</w:t>
      </w:r>
      <w:r>
        <w:rPr>
          <w:rFonts w:ascii="Times New Roman"/>
          <w:b w:val="false"/>
          <w:i w:val="false"/>
          <w:color w:val="000000"/>
          <w:sz w:val="24"/>
          <w:lang w:val="pl-PL"/>
        </w:rPr>
        <w:t xml:space="preserve"> sporządzenie projektu scalenia i podziału nieruchomości,</w:t>
      </w:r>
    </w:p>
    <w:p>
      <w:pPr>
        <w:spacing w:after="0"/>
        <w:ind w:left="746"/>
        <w:jc w:val="left"/>
        <w:textAlignment w:val="auto"/>
      </w:pPr>
      <w:r>
        <w:rPr>
          <w:rFonts w:ascii="Times New Roman"/>
          <w:b w:val="false"/>
          <w:i w:val="false"/>
          <w:color w:val="000000"/>
          <w:sz w:val="24"/>
          <w:lang w:val="pl-PL"/>
        </w:rPr>
        <w:t>h)</w:t>
      </w:r>
      <w:r>
        <w:rPr>
          <w:rFonts w:ascii="Times New Roman"/>
          <w:b w:val="false"/>
          <w:i w:val="false"/>
          <w:color w:val="000000"/>
          <w:sz w:val="24"/>
          <w:lang w:val="pl-PL"/>
        </w:rPr>
        <w:t xml:space="preserve"> sporządzenie innej niż wymienione w lit. f oraz g mapy do celów prawnych,</w:t>
      </w:r>
    </w:p>
    <w:p>
      <w:pPr>
        <w:spacing w:after="0"/>
        <w:ind w:left="746"/>
        <w:jc w:val="left"/>
        <w:textAlignment w:val="auto"/>
      </w:pPr>
      <w:r>
        <w:rPr>
          <w:rFonts w:ascii="Times New Roman"/>
          <w:b w:val="false"/>
          <w:i w:val="false"/>
          <w:color w:val="000000"/>
          <w:sz w:val="24"/>
          <w:lang w:val="pl-PL"/>
        </w:rPr>
        <w:t>i)</w:t>
      </w:r>
      <w:r>
        <w:rPr>
          <w:rFonts w:ascii="Times New Roman"/>
          <w:b w:val="false"/>
          <w:i w:val="false"/>
          <w:color w:val="000000"/>
          <w:sz w:val="24"/>
          <w:lang w:val="pl-PL"/>
        </w:rPr>
        <w:t xml:space="preserve"> sporządzenie mapy do celów projektowych,</w:t>
      </w:r>
    </w:p>
    <w:p>
      <w:pPr>
        <w:spacing w:after="0"/>
        <w:ind w:left="746"/>
        <w:jc w:val="left"/>
        <w:textAlignment w:val="auto"/>
      </w:pPr>
      <w:r>
        <w:rPr>
          <w:rFonts w:ascii="Times New Roman"/>
          <w:b w:val="false"/>
          <w:i w:val="false"/>
          <w:color w:val="000000"/>
          <w:sz w:val="24"/>
          <w:lang w:val="pl-PL"/>
        </w:rPr>
        <w:t>j)</w:t>
      </w:r>
      <w:r>
        <w:rPr>
          <w:rFonts w:ascii="Times New Roman"/>
          <w:b w:val="false"/>
          <w:i w:val="false"/>
          <w:color w:val="000000"/>
          <w:sz w:val="24"/>
          <w:lang w:val="pl-PL"/>
        </w:rPr>
        <w:t xml:space="preserve"> sporządzenie projektu scalenia lub wymiany gruntów,</w:t>
      </w:r>
    </w:p>
    <w:p>
      <w:pPr>
        <w:spacing w:after="0"/>
        <w:ind w:left="746"/>
        <w:jc w:val="left"/>
        <w:textAlignment w:val="auto"/>
      </w:pPr>
      <w:r>
        <w:rPr>
          <w:rFonts w:ascii="Times New Roman"/>
          <w:b w:val="false"/>
          <w:i w:val="false"/>
          <w:color w:val="000000"/>
          <w:sz w:val="24"/>
          <w:lang w:val="pl-PL"/>
        </w:rPr>
        <w:t>k)</w:t>
      </w:r>
      <w:r>
        <w:rPr>
          <w:rFonts w:ascii="Times New Roman"/>
          <w:b w:val="false"/>
          <w:i w:val="false"/>
          <w:color w:val="000000"/>
          <w:sz w:val="24"/>
          <w:lang w:val="pl-PL"/>
        </w:rPr>
        <w:t xml:space="preserve"> sporządzenie dokumentacji geodezyjnej na potrzeby rozgraniczenia nieruchomości,</w:t>
      </w:r>
    </w:p>
    <w:p>
      <w:pPr>
        <w:spacing w:after="0"/>
        <w:ind w:left="746"/>
        <w:jc w:val="left"/>
        <w:textAlignment w:val="auto"/>
      </w:pPr>
      <w:r>
        <w:rPr>
          <w:rFonts w:ascii="Times New Roman"/>
          <w:b w:val="false"/>
          <w:i w:val="false"/>
          <w:color w:val="000000"/>
          <w:sz w:val="24"/>
          <w:lang w:val="pl-PL"/>
        </w:rPr>
        <w:t>l)</w:t>
      </w:r>
      <w:r>
        <w:rPr>
          <w:rFonts w:ascii="Times New Roman"/>
          <w:b w:val="false"/>
          <w:i w:val="false"/>
          <w:color w:val="000000"/>
          <w:sz w:val="24"/>
          <w:lang w:val="pl-PL"/>
        </w:rPr>
        <w:t xml:space="preserve"> wykonanie innych niż wymienione w lit. b, c oraz f-k czynności lub dokumentacji geodezyjnej w postaci map, rejestrów lub wykazów, których wykonanie może skutkować zmianą w bazach danych, o których mowa w art. 4 ust. 1a pkt 2, 3, 10 lub 12, z wyjątkiem prac wykonywanych na zamówienie organu Służby Geodezyjnej i Kartograficznej.</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Zgłoszenie prac geodezyjnych, zwane dalej "zgłoszeniem prac", może nastąpić po ich rozpoczęciu, jednak nie później niż w terminie 5 dni roboczych od dnia rozpoczęcia tych prac.</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Zgłoszenie prac zawiera: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dane identyfikujące:</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wykonawcę zgłaszanych prac geodezyjnych,</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kierownika zgłaszanych prac geodezyjnych, w tym numer jego uprawnień zawodowych;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cel zgłaszanych prac geodezyjnych;</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dane określające obszar objęty zgłaszanymi pracami geodezyjnymi;</w:t>
      </w:r>
    </w:p>
    <w:p>
      <w:pPr>
        <w:spacing w:before="26" w:after="0"/>
        <w:ind w:left="373"/>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xml:space="preserve"> termin rozpoczęcia zgłaszanych prac geodezyjnych;</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przewidywany termin przekazania do organu Służby Geodezyjnej i Kartograficznej zbiorów danych lub dokumentów, o których mowa w art. 12a ust. 1, nie dłuższy niż rok od dnia rozpoczęcia zgłaszanych prac geodezyjnych.</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(uchylony).</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W przypadku prac, o których mowa w ust. 1 pkt 3 lit. j, przewidywany termin przekazania do organu Służby Geodezyjnej i Kartograficznej zbiorów danych lub dokumentów, o których mowa w art. 12a ust. 1, może być dłuższy niż rok od dnia rozpoczęcia tych prac.</w:t>
      </w:r>
    </w:p>
    <w:p>
      <w:pPr>
        <w:spacing w:before="26" w:after="0"/>
        <w:ind w:left="0"/>
        <w:jc w:val="left"/>
        <w:textAlignment w:val="auto"/>
      </w:pPr>
      <w:r>
        <w:rPr>
          <w:rFonts w:ascii="Times New Roman"/>
          <w:b w:val="false"/>
          <w:i w:val="false"/>
          <w:color w:val="000000"/>
          <w:sz w:val="24"/>
          <w:lang w:val="pl-PL"/>
        </w:rPr>
        <w:t>2b.</w:t>
      </w:r>
      <w:r>
        <w:rPr>
          <w:rFonts w:ascii="Times New Roman"/>
          <w:b w:val="false"/>
          <w:i w:val="false"/>
          <w:color w:val="000000"/>
          <w:sz w:val="24"/>
          <w:lang w:val="pl-PL"/>
        </w:rPr>
        <w:t> Zgłoszenie prac obejmuje prace: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wykonywane na obszarze jednego powiatu;</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służące realizacji jednego celu, z uwzględnieniem ust. 2c pkt 4.</w:t>
      </w:r>
    </w:p>
    <w:p>
      <w:pPr>
        <w:spacing w:before="26" w:after="0"/>
        <w:ind w:left="0"/>
        <w:jc w:val="left"/>
        <w:textAlignment w:val="auto"/>
      </w:pPr>
      <w:r>
        <w:rPr>
          <w:rFonts w:ascii="Times New Roman"/>
          <w:b w:val="false"/>
          <w:i w:val="false"/>
          <w:color w:val="000000"/>
          <w:sz w:val="24"/>
          <w:lang w:val="pl-PL"/>
        </w:rPr>
        <w:t>2c.</w:t>
      </w:r>
      <w:r>
        <w:rPr>
          <w:rFonts w:ascii="Times New Roman"/>
          <w:b w:val="false"/>
          <w:i w:val="false"/>
          <w:color w:val="000000"/>
          <w:sz w:val="24"/>
          <w:lang w:val="pl-PL"/>
        </w:rPr>
        <w:t> W trakcie wykonywania prac geodezyjnych dopuszcza się uzupełnianie zgłoszenia prac przez:</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zwiększenie obszaru objętego tym zgłoszeniem o obszar bezpośrednio do niego przyległy;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wydłużenie przewidywanego terminu przekazania do organu Służby Geodezyjnej i Kartograficznej zbiorów danych lub dokumentów, o których mowa w art. 12a ust. 1;</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zmianę kierownika zgłoszonych prac geodezyjnych;</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zgłoszenie wznowienia znaków granicznych, wyznaczenia punktów granicznych lub ustalenia przebiegu granic działek ewidencyjnych, o ile prace te są niezbędne do realizacji celu zgłoszonych prac geodezyjnych.</w:t>
      </w:r>
    </w:p>
    <w:p>
      <w:pPr>
        <w:spacing w:before="26" w:after="0"/>
        <w:ind w:left="0"/>
        <w:jc w:val="left"/>
        <w:textAlignment w:val="auto"/>
      </w:pPr>
      <w:r>
        <w:rPr>
          <w:rFonts w:ascii="Times New Roman"/>
          <w:b w:val="false"/>
          <w:i w:val="false"/>
          <w:color w:val="000000"/>
          <w:sz w:val="24"/>
          <w:lang w:val="pl-PL"/>
        </w:rPr>
        <w:t>2d.</w:t>
      </w:r>
      <w:r>
        <w:rPr>
          <w:rFonts w:ascii="Times New Roman"/>
          <w:b w:val="false"/>
          <w:i w:val="false"/>
          <w:color w:val="000000"/>
          <w:sz w:val="24"/>
          <w:lang w:val="pl-PL"/>
        </w:rPr>
        <w:t> Wydłużenie, o którym mowa w ust. 2c pkt 2, nie może być dłuższe niż rok, licząc od dnia dokonania przez wykonawcę prac geodezyjnych uzupełnienia zgłoszenia tych prac. Za dzień dokonania uzupełnienia zgłoszenia prac rozumie się dzień złożenia do organu Służby Geodezyjnej i Kartograficznej uzupełnienia zgłoszenia prac przez wykonawcę prac geodezyjnych lub dzień nadania uzupełnienia zgłoszenia prac w placówce pocztowej operatora wyznaczonego w rozumieniu przepisów prawa pocztowego.</w:t>
      </w:r>
    </w:p>
    <w:p>
      <w:pPr>
        <w:spacing w:before="26" w:after="0"/>
        <w:ind w:left="0"/>
        <w:jc w:val="left"/>
        <w:textAlignment w:val="auto"/>
      </w:pPr>
      <w:r>
        <w:rPr>
          <w:rFonts w:ascii="Times New Roman"/>
          <w:b w:val="false"/>
          <w:i w:val="false"/>
          <w:color w:val="000000"/>
          <w:sz w:val="24"/>
          <w:lang w:val="pl-PL"/>
        </w:rPr>
        <w:t>2e.</w:t>
      </w:r>
      <w:r>
        <w:rPr>
          <w:rFonts w:ascii="Times New Roman"/>
          <w:b w:val="false"/>
          <w:i w:val="false"/>
          <w:color w:val="000000"/>
          <w:sz w:val="24"/>
          <w:lang w:val="pl-PL"/>
        </w:rPr>
        <w:t xml:space="preserve"> W szczególnie uzasadnionych przypadkach organ Służby Geodezyjnej i Kartograficznej może, na wniosek wykonawcy prac geodezyjnych, przywrócić termin na uzupełnienie zgłoszenia prac mającego na celu wydłużenie przewidywanego terminu przekazania do organu Służby Geodezyjnej i Kartograficznej zbiorów danych lub dokumentów, o których mowa w art. 12a ust. 1. Przepisy </w:t>
      </w:r>
      <w:r>
        <w:rPr>
          <w:rFonts w:ascii="Times New Roman"/>
          <w:b w:val="false"/>
          <w:i w:val="false"/>
          <w:color w:val="1b1b1b"/>
          <w:sz w:val="24"/>
          <w:lang w:val="pl-PL"/>
        </w:rPr>
        <w:t>art. 58</w:t>
      </w:r>
      <w:r>
        <w:rPr>
          <w:rFonts w:ascii="Times New Roman"/>
          <w:b w:val="false"/>
          <w:i w:val="false"/>
          <w:color w:val="000000"/>
          <w:sz w:val="24"/>
          <w:lang w:val="pl-PL"/>
        </w:rPr>
        <w:t xml:space="preserve"> i </w:t>
      </w:r>
      <w:r>
        <w:rPr>
          <w:rFonts w:ascii="Times New Roman"/>
          <w:b w:val="false"/>
          <w:i w:val="false"/>
          <w:color w:val="1b1b1b"/>
          <w:sz w:val="24"/>
          <w:lang w:val="pl-PL"/>
        </w:rPr>
        <w:t>art. 59</w:t>
      </w:r>
      <w:r>
        <w:rPr>
          <w:rFonts w:ascii="Times New Roman"/>
          <w:b w:val="false"/>
          <w:i w:val="false"/>
          <w:color w:val="000000"/>
          <w:sz w:val="24"/>
          <w:lang w:val="pl-PL"/>
        </w:rPr>
        <w:t xml:space="preserve"> Kodeksu postępowania administracyjnego stosuje się.</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Organ Służby Geodezyjnej i Kartograficznej, który otrzymał zgłoszenie prac, udostępnia kopie zbiorów danych lub innych materiałów państwowego zasobu geodezyjnego i kartograficznego, zwanych dalej "materiałami zasobu", dotyczących danego zgłoszenia prac niezwłocznie, nie później niż w terminie 5 dni roboczych od dnia otrzymania opłaty, o której mowa w art. 40a ust. 1.</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Termin określony w ust. 3 ma zastosowanie również do udostępnienia materiałów zasobu w związku z uzupełnieniem zgłoszenia prac. W przypadku braku konieczności uiszczenia opłaty, o której mowa w art. 40a ust. 1, termin określony w ust. 3 jest liczony od dnia otrzymania przez organ Służby Geodezyjnej i Kartograficznej uzupełnienia zgłoszenia prac.</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Z inicjatywy wykonawcy prac geodezyjnych, na etapie zgłoszenia prac lub jego uzupełnienia, organ Służby Geodezyjnej i Kartograficznej i wykonawca mogą uzgodnić zakres materiałów zasobu niezbędnych lub przydatnych do wykonania tych prac lub inny niż określony w ust. 3 termin udostępnienia tych materiałów.</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Na pisemne wystąpienie wykonawcy prac geodezyjnych złożone w trakcie wykonywania zgłoszonych prac organ Służby Geodezyjnej i Kartograficznej udostępnia wskazane w tym wystąpieniu dodatkowe materiały zasobu niezbędne lub przydatne do wykonania tych prac. Udostępnianie dodatkowych materiałów zasobu następuje niezwłocznie, nie później niż w terminie 5 dni roboczych od dnia otrzymania wystąpienia.</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Organ Służby Geodezyjnej i Kartograficznej, który otrzymał zgłoszenie prac, przekazuje wykonawcy zgłoszonych prac geodezyjnych, razem z udostępnianymi materiałami zasobu, informację o innych zgłoszonych pracach geodezyjnych wykonywanych na obszarze objętym tym zgłoszeniem.</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Materiały zasobu udostępnione w związku ze zgłoszeniem prac lub jego uzupełnieniem mogą być wykorzystywane wyłącznie do wykonywania prac geodezyjnych objętych tym zgłoszeniem lub jego uzupełnieniem.</w:t>
      </w:r>
    </w:p>
    <w:p>
      <w:pPr>
        <w:spacing w:before="26" w:after="0"/>
        <w:ind w:left="0"/>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Przepisów ust. 1a i 2b, ust. 2c pkt 4 oraz ust. 2d, 3, 4 i 7 nie stosuje się do zgłoszeń prac, o których mowa w ust. 1 pkt 1 lit. b.</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12a.</w:t>
      </w:r>
      <w:r>
        <w:rPr>
          <w:rFonts w:ascii="Times New Roman"/>
          <w:b/>
          <w:i w:val="false"/>
          <w:color w:val="000000"/>
          <w:sz w:val="24"/>
          <w:lang w:val="pl-PL"/>
        </w:rPr>
        <w:t xml:space="preserve"> [Przekazywanie wyników zgłoszonych prac geodezyjnych]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Wykonawca prac geodezyjnych po wykonaniu zgłoszonych prac jest obowiązany złożyć do organu Służby Geodezyjnej i Kartograficznej, do którego zostały zgłoszone prace geodezyjne, zawiadomienie o przekazaniu wyników zgłoszonych prac, dołączając wyniki prac geodezyjnych w postaci: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zbiorów nowych, zmodyfikowanych lub zweryfikowanych danych, które należą do zakresu informacyjnego baz danych, o których mowa w art. 4 ust. 1a pkt 2, 3 i 10-12;</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dokumentów wymaganych przepisami wydanymi na podstawie art. 19 ust. 1 pkt 11 lub ich uwierzytelnionych kopii.</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Organ Służby Geodezyjnej i Kartograficznej i wykonawca prac geodezyjnych mogą, na etapie zgłoszenia prac lub jego uzupełnienia, uzgodnić harmonogram i zakres częściowego przekazywania wyników zgłoszonych prac geodezyjnych.</w:t>
      </w:r>
    </w:p>
    <w:p>
      <w:pPr>
        <w:spacing w:before="26" w:after="0"/>
        <w:ind w:left="0"/>
        <w:jc w:val="left"/>
        <w:textAlignment w:val="auto"/>
      </w:pPr>
      <w:r>
        <w:rPr>
          <w:rFonts w:ascii="Times New Roman"/>
          <w:b w:val="false"/>
          <w:i w:val="false"/>
          <w:color w:val="000000"/>
          <w:sz w:val="24"/>
          <w:lang w:val="pl-PL"/>
        </w:rPr>
        <w:t>1b.</w:t>
      </w:r>
      <w:r>
        <w:rPr>
          <w:rFonts w:ascii="Times New Roman"/>
          <w:b w:val="false"/>
          <w:i w:val="false"/>
          <w:color w:val="000000"/>
          <w:sz w:val="24"/>
          <w:lang w:val="pl-PL"/>
        </w:rPr>
        <w:t> Niezłożenie zawiadomienia o przekazaniu wyników zgłoszonych prac geodezyjnych i nieprzekazanie tych wyników zgłoszonych prac geodezyjnych przed upływem przewidywanego terminu ich przekazania do organu Służby Geodezyjnej i Kartograficznej jest równoznaczne z zaniechaniem wykonywania tych prac. W przypadku gdy wykonawca prac geodezyjnych pisemnie zawiadomi organ Służby Geodezyjnej i Kartograficznej o zaniechaniu ich wykonania, przepisu ust. 1 nie stosuje się.</w:t>
      </w:r>
    </w:p>
    <w:p>
      <w:pPr>
        <w:spacing w:before="26" w:after="0"/>
        <w:ind w:left="0"/>
        <w:jc w:val="left"/>
        <w:textAlignment w:val="auto"/>
      </w:pPr>
      <w:r>
        <w:rPr>
          <w:rFonts w:ascii="Times New Roman"/>
          <w:b w:val="false"/>
          <w:i w:val="false"/>
          <w:color w:val="000000"/>
          <w:sz w:val="24"/>
          <w:lang w:val="pl-PL"/>
        </w:rPr>
        <w:t>1c.</w:t>
      </w:r>
      <w:r>
        <w:rPr>
          <w:rFonts w:ascii="Times New Roman"/>
          <w:b w:val="false"/>
          <w:i w:val="false"/>
          <w:color w:val="000000"/>
          <w:sz w:val="24"/>
          <w:lang w:val="pl-PL"/>
        </w:rPr>
        <w:t> Ponowne podjęcie zaniechanych prac geodezyjnych wymaga dokonania nowego zgłoszenia prac.</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Wykonawca prac geodezyjnych przekazuje właściwemu organowi Służby Geodezyjnej i Kartograficznej wyniki wykonanych na zamówienie podmiotów publicznych, o których mowa w </w:t>
      </w:r>
      <w:r>
        <w:rPr>
          <w:rFonts w:ascii="Times New Roman"/>
          <w:b w:val="false"/>
          <w:i w:val="false"/>
          <w:color w:val="1b1b1b"/>
          <w:sz w:val="24"/>
          <w:lang w:val="pl-PL"/>
        </w:rPr>
        <w:t>art. 2 ust. 1</w:t>
      </w:r>
      <w:r>
        <w:rPr>
          <w:rFonts w:ascii="Times New Roman"/>
          <w:b w:val="false"/>
          <w:i w:val="false"/>
          <w:color w:val="000000"/>
          <w:sz w:val="24"/>
          <w:lang w:val="pl-PL"/>
        </w:rPr>
        <w:t xml:space="preserve"> ustawy z dnia 17 lutego 2005 r. o informatyzacji działalności podmiotów realizujących zadania publiczne (Dz. U. z 2024 r. poz. 307), lub wykonanych na zamówienie podmiotu, któremu podmiot publiczny powierzył lub zlecił realizację zadania publicznego, i sfinansowanych ze środków publicznych następujących prac geodezyjnych:</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zobrazowań lotniczych;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ortofotomapy wraz z wykorzystanymi do jej opracowania zbiorami danych geodezyjnych i fotogrametrycznych;</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numerycznego modelu terenu wraz z wykorzystanymi do opracowania tego modelu zbiorami danych geodezyjnych i fotogrametrycznych.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12b.</w:t>
      </w:r>
      <w:r>
        <w:rPr>
          <w:rFonts w:ascii="Times New Roman"/>
          <w:b/>
          <w:i w:val="false"/>
          <w:color w:val="000000"/>
          <w:sz w:val="24"/>
          <w:lang w:val="pl-PL"/>
        </w:rPr>
        <w:t xml:space="preserve"> [Weryfikacja przekazanych wyników zgłoszonych prac geodezyjnych]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Organ Służby Geodezyjnej i Kartograficznej, do którego przekazane zostały wyniki zgłoszonych prac geodezyjnych, weryfikuje je pod względem:</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zgodności z obowiązującymi przepisami prawa z zakresu geodezji i kartografii, w szczególności dotyczącymi:</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wykonywania pomiarów, o których mowa w art. 2 pkt 1 lit. a, oraz opracowywania wyników tych pomiarów,</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kompletności przekazywanych wyników;</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spójności przekazywanych zbiorów danych, o których mowa w art. 12a ust. 1 pkt 1, z prowadzonymi przez ten organ bazami danych.</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Weryfikacja jest dokonywana niezwłocznie, a w przypadku prac, o których mowa w art. 12 ust. 1 pkt 3, dla obszaru objętego zgłoszeniem prac:</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do 1 ha - nie później niż w terminie 7 dni roboczych,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powyżej 1 ha do 10 ha - nie później niż w terminie 10 dni roboczych,</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powyżej 10 ha - nie później niż w terminie 20 dni roboczych</w:t>
      </w:r>
    </w:p>
    <w:p>
      <w:pPr>
        <w:spacing w:before="25" w:after="0"/>
        <w:ind w:left="0"/>
        <w:jc w:val="left"/>
        <w:textAlignment w:val="auto"/>
      </w:pPr>
      <w:r>
        <w:rPr>
          <w:rFonts w:ascii="Times New Roman"/>
          <w:b w:val="false"/>
          <w:i w:val="false"/>
          <w:color w:val="000000"/>
          <w:sz w:val="24"/>
          <w:lang w:val="pl-PL"/>
        </w:rPr>
        <w:t>- od dnia otrzymania przez organ Służby Geodezyjnej i Kartograficznej zawiadomienia o przekazaniu wyników zgłoszonych prac.</w:t>
      </w:r>
    </w:p>
    <w:p>
      <w:pPr>
        <w:spacing w:before="26" w:after="0"/>
        <w:ind w:left="0"/>
        <w:jc w:val="left"/>
        <w:textAlignment w:val="auto"/>
      </w:pPr>
      <w:r>
        <w:rPr>
          <w:rFonts w:ascii="Times New Roman"/>
          <w:b w:val="false"/>
          <w:i w:val="false"/>
          <w:color w:val="000000"/>
          <w:sz w:val="24"/>
          <w:lang w:val="pl-PL"/>
        </w:rPr>
        <w:t>1b.</w:t>
      </w:r>
      <w:r>
        <w:rPr>
          <w:rFonts w:ascii="Times New Roman"/>
          <w:b w:val="false"/>
          <w:i w:val="false"/>
          <w:color w:val="000000"/>
          <w:sz w:val="24"/>
          <w:lang w:val="pl-PL"/>
        </w:rPr>
        <w:t> Do terminów, o których mowa w ust. 1a, nie wlicza się okresów opóźnień spowodowanych z przyczyn niezależnych od organu.</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Weryfikacji nie podlegają zbiory danych lub inne materiały stanowiące wynik prac geodezyjnych lub prac kartograficznych wykonanych w związku z realizacją zamówienia publicznego przez Głównego Geodetę Kraju lub organy administracji geodezyjnej i kartograficznej, a także przez inne podmioty działające z upoważnienia tych organów.</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Wyniki weryfikacji utrwala się w protokole. Wynik weryfikacji może być pozytywny albo negatywny.</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O wyniku weryfikacji organ Służby Geodezyjnej i Kartograficznej informuje wykonawcę prac geodezyjnych za pomocą środków komunikacji elektronicznej nie później niż w dniu roboczym następującym po dniu sporządzenia protokołu.</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Podstawę przyjęcia wyników zgłoszonych prac geodezyjnych do państwowego zasobu geodezyjnego i kartograficznego stanowi pozytywny wynik weryfikacji albo dokument potwierdzający odbiór zbiorów danych lub innych materiałów jako przedmiotu zamówienia publicznego realizowanego w związku z wykonywaniem zadań Głównego Geodety Kraju lub organów administracji geodezyjnej i kartograficznej.</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Organ Służby Geodezyjnej i Kartograficznej, do którego przekazane zostały wyniki zgłoszonych prac geodezyjnych, potwierdza ich przyjęcie do państwowego zasobu geodezyjnego i kartograficznego wpisem do ewidencji materiałów tego zasobu i opatruje dokumenty i materiały przeznaczone dla podmiotu, na rzecz którego wykonawca prac geodezyjnych wykonuje prace geodezyjne, klauzulą urzędową, o której mowa w art. 40 ust. 3g pkt 3. Opatrzenie klauzulą następuje z chwilą przyjęcia wyników zgłoszonych prac geodezyjnych do państwowego zasobu geodezyjnego i kartograficznego.</w:t>
      </w:r>
    </w:p>
    <w:p>
      <w:pPr>
        <w:spacing w:before="26" w:after="0"/>
        <w:ind w:left="0"/>
        <w:jc w:val="left"/>
        <w:textAlignment w:val="auto"/>
      </w:pPr>
      <w:r>
        <w:rPr>
          <w:rFonts w:ascii="Times New Roman"/>
          <w:b w:val="false"/>
          <w:i w:val="false"/>
          <w:color w:val="000000"/>
          <w:sz w:val="24"/>
          <w:lang w:val="pl-PL"/>
        </w:rPr>
        <w:t>5a.</w:t>
      </w:r>
      <w:r>
        <w:rPr>
          <w:rFonts w:ascii="Times New Roman"/>
          <w:b w:val="false"/>
          <w:i w:val="false"/>
          <w:color w:val="000000"/>
          <w:sz w:val="24"/>
          <w:lang w:val="pl-PL"/>
        </w:rPr>
        <w:t> Wykonawca prac geodezyjnych, o których mowa w art. 12 ust. 1 pkt 3 lit. c oraz i, po uzyskaniu informacji o pozytywnym wyniku weryfikacji może umieścić na dokumentach przeznaczonych dla podmiotu, na rzecz którego wykonuje prace geodezyjne, powstałych w wyniku tych prac, oświadczenie o uzyskaniu pozytywnego wyniku weryfikacji. Oświadczenie to jest równoważne z klauzulą urzędową, o której mowa w art. 40 ust. 3g pkt 3.</w:t>
      </w:r>
    </w:p>
    <w:p>
      <w:pPr>
        <w:spacing w:before="26" w:after="0"/>
        <w:ind w:left="0"/>
        <w:jc w:val="left"/>
        <w:textAlignment w:val="auto"/>
      </w:pPr>
      <w:r>
        <w:rPr>
          <w:rFonts w:ascii="Times New Roman"/>
          <w:b w:val="false"/>
          <w:i w:val="false"/>
          <w:color w:val="000000"/>
          <w:sz w:val="24"/>
          <w:lang w:val="pl-PL"/>
        </w:rPr>
        <w:t>5b.</w:t>
      </w:r>
      <w:r>
        <w:rPr>
          <w:rFonts w:ascii="Times New Roman"/>
          <w:b w:val="false"/>
          <w:i w:val="false"/>
          <w:color w:val="000000"/>
          <w:sz w:val="24"/>
          <w:lang w:val="pl-PL"/>
        </w:rPr>
        <w:t> Oświadczenie, o którym mowa w ust. 5a, składa się pod rygorem odpowiedzialności karnej za składanie fałszywych oświadczeń. Składający oświadczenie jest obowiązany do zawarcia w nim klauzuli następującej treści: "Jestem świadomy odpowiedzialności karnej za złożenie fałszywego oświadczenia.". Klauzula ta zastępuje pouczenie organu o odpowiedzialności karnej za składanie fałszywych oświadczeń.</w:t>
      </w:r>
    </w:p>
    <w:p>
      <w:pPr>
        <w:spacing w:before="26" w:after="0"/>
        <w:ind w:left="0"/>
        <w:jc w:val="left"/>
        <w:textAlignment w:val="auto"/>
      </w:pPr>
      <w:r>
        <w:rPr>
          <w:rFonts w:ascii="Times New Roman"/>
          <w:b w:val="false"/>
          <w:i w:val="false"/>
          <w:color w:val="000000"/>
          <w:sz w:val="24"/>
          <w:lang w:val="pl-PL"/>
        </w:rPr>
        <w:t>5c.</w:t>
      </w:r>
      <w:r>
        <w:rPr>
          <w:rFonts w:ascii="Times New Roman"/>
          <w:b w:val="false"/>
          <w:i w:val="false"/>
          <w:color w:val="000000"/>
          <w:sz w:val="24"/>
          <w:lang w:val="pl-PL"/>
        </w:rPr>
        <w:t> Treść oświadczenia, o którym mowa w ust. 5a, zawiera dane identyfikujące zgłoszenie prac, w tym nazwę organu Służby Geodezyjnej i Kartograficznej, który otrzymał zgłoszenie prac, wykonawcę prac geodezyjnych, numer uprawnień zawodowych kierownika prac geodezyjnych, a także numer oraz datę wystawienia protokołu.</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W przypadku negatywnego wyniku weryfikacji organ Służby Geodezyjnej i Kartograficznej zwraca wykonawcy prac geodezyjnych przekazane przez niego wyniki zgłoszonych prac wraz z protokołem zawierającym opis stwierdzonych uchybień i nieprawidłowości.</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W przypadku negatywnego wyniku weryfikacji wykonawca prac geodezyjnych ma prawo, w terminie 14 dni od dnia otrzymania protokołu, ustosunkować się na piśmie do wyników weryfikacji.</w:t>
      </w:r>
    </w:p>
    <w:p>
      <w:pPr>
        <w:spacing w:before="26" w:after="0"/>
        <w:ind w:left="0"/>
        <w:jc w:val="left"/>
        <w:textAlignment w:val="auto"/>
      </w:pPr>
      <w:r>
        <w:rPr>
          <w:rFonts w:ascii="Times New Roman"/>
          <w:b w:val="false"/>
          <w:i w:val="false"/>
          <w:color w:val="000000"/>
          <w:sz w:val="24"/>
          <w:lang w:val="pl-PL"/>
        </w:rPr>
        <w:t>7a.</w:t>
      </w:r>
      <w:r>
        <w:rPr>
          <w:rFonts w:ascii="Times New Roman"/>
          <w:b w:val="false"/>
          <w:i w:val="false"/>
          <w:color w:val="000000"/>
          <w:sz w:val="24"/>
          <w:lang w:val="pl-PL"/>
        </w:rPr>
        <w:t> W przypadku uznania przez wykonawcę prac geodezyjnych uchybień i nieprawidłowości stwierdzonych w protokole wykonawca w terminie 3 miesięcy od dnia otrzymania przez niego protokołu przekazuje do organu Służby Geodezyjnej i Kartograficznej poprawione wyniki zgłoszonych prac geodezyjnych wraz z zawiadomieniem o przekazaniu wyników zgłoszonych prac.</w:t>
      </w:r>
    </w:p>
    <w:p>
      <w:pPr>
        <w:spacing w:before="26" w:after="0"/>
        <w:ind w:left="0"/>
        <w:jc w:val="left"/>
        <w:textAlignment w:val="auto"/>
      </w:pPr>
      <w:r>
        <w:rPr>
          <w:rFonts w:ascii="Times New Roman"/>
          <w:b w:val="false"/>
          <w:i w:val="false"/>
          <w:color w:val="000000"/>
          <w:sz w:val="24"/>
          <w:lang w:val="pl-PL"/>
        </w:rPr>
        <w:t>7b.</w:t>
      </w:r>
      <w:r>
        <w:rPr>
          <w:rFonts w:ascii="Times New Roman"/>
          <w:b w:val="false"/>
          <w:i w:val="false"/>
          <w:color w:val="000000"/>
          <w:sz w:val="24"/>
          <w:lang w:val="pl-PL"/>
        </w:rPr>
        <w:t> Jeżeli w terminie 3 miesięcy od dnia otrzymania przez wykonawcę prac geodezyjnych protokołu, o którym mowa w ust. 6, organ Służby Geodezyjnej i Kartograficznej nie otrzyma poprawionych wyników zgłoszonych prac geodezyjnych, uznaje się, że prace te zostały zaniechane. Ponowne podjęcie zaniechanych prac geodezyjnych wymaga dokonania nowego zgłoszenia prac.</w:t>
      </w:r>
    </w:p>
    <w:p>
      <w:pPr>
        <w:spacing w:before="26" w:after="0"/>
        <w:ind w:left="0"/>
        <w:jc w:val="left"/>
        <w:textAlignment w:val="auto"/>
      </w:pPr>
      <w:r>
        <w:rPr>
          <w:rFonts w:ascii="Times New Roman"/>
          <w:b w:val="false"/>
          <w:i w:val="false"/>
          <w:color w:val="000000"/>
          <w:sz w:val="24"/>
          <w:lang w:val="pl-PL"/>
        </w:rPr>
        <w:t>7c.</w:t>
      </w:r>
      <w:r>
        <w:rPr>
          <w:rFonts w:ascii="Times New Roman"/>
          <w:b w:val="false"/>
          <w:i w:val="false"/>
          <w:color w:val="000000"/>
          <w:sz w:val="24"/>
          <w:lang w:val="pl-PL"/>
        </w:rPr>
        <w:t xml:space="preserve"> W szczególnie uzasadnionych przypadkach organ Służby Geodezyjnej i Kartograficznej może, na wniosek wykonawcy prac geodezyjnych, przywrócić termin na przekazanie poprawionych wyników zgłoszonych prac geodezyjnych. Przepisy </w:t>
      </w:r>
      <w:r>
        <w:rPr>
          <w:rFonts w:ascii="Times New Roman"/>
          <w:b w:val="false"/>
          <w:i w:val="false"/>
          <w:color w:val="1b1b1b"/>
          <w:sz w:val="24"/>
          <w:lang w:val="pl-PL"/>
        </w:rPr>
        <w:t>art. 58</w:t>
      </w:r>
      <w:r>
        <w:rPr>
          <w:rFonts w:ascii="Times New Roman"/>
          <w:b w:val="false"/>
          <w:i w:val="false"/>
          <w:color w:val="000000"/>
          <w:sz w:val="24"/>
          <w:lang w:val="pl-PL"/>
        </w:rPr>
        <w:t xml:space="preserve"> i </w:t>
      </w:r>
      <w:r>
        <w:rPr>
          <w:rFonts w:ascii="Times New Roman"/>
          <w:b w:val="false"/>
          <w:i w:val="false"/>
          <w:color w:val="1b1b1b"/>
          <w:sz w:val="24"/>
          <w:lang w:val="pl-PL"/>
        </w:rPr>
        <w:t>art. 59</w:t>
      </w:r>
      <w:r>
        <w:rPr>
          <w:rFonts w:ascii="Times New Roman"/>
          <w:b w:val="false"/>
          <w:i w:val="false"/>
          <w:color w:val="000000"/>
          <w:sz w:val="24"/>
          <w:lang w:val="pl-PL"/>
        </w:rPr>
        <w:t xml:space="preserve"> Kodeksu postępowania administracyjnego stosuje się.</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Jeżeli organ Służby Geodezyjnej i Kartograficznej nie uwzględni stanowiska wykonawcy prac geodezyjnych, wydaje decyzję administracyjną o odmowie przyjęcia do państwowego zasobu geodezyjnego i kartograficznego wyników zgłoszonych prac geodezyjnych.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12c.</w:t>
      </w:r>
      <w:r>
        <w:rPr>
          <w:rFonts w:ascii="Times New Roman"/>
          <w:b/>
          <w:i w:val="false"/>
          <w:color w:val="000000"/>
          <w:sz w:val="24"/>
          <w:lang w:val="pl-PL"/>
        </w:rPr>
        <w:t xml:space="preserve"> [Wyjątki od obowiązku dokonania zgłoszenia prac geodezyjnych i przekazania wyników zgłoszonych prac geodezyjnych]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Obowiązek dokonania zgłoszenia prac oraz przekazania wyników zgłoszonych prac geodezyjnych do organu Służby Geodezyjnej i Kartograficznej nie obejmuje prac geodezyjnych dotyczących:</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terenów zamkniętych, jeżeli przedmiotem tych prac nie są obiekty objęte ewidencją gruntów i budynków;</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zobrazowań lotniczych, ortofotomapy lub numerycznego modelu terenu, a także map tematycznych i specjalnych wykonywanych na zamówienie innych podmiotów niż podmioty, o których mowa w </w:t>
      </w:r>
      <w:r>
        <w:rPr>
          <w:rFonts w:ascii="Times New Roman"/>
          <w:b w:val="false"/>
          <w:i w:val="false"/>
          <w:color w:val="1b1b1b"/>
          <w:sz w:val="24"/>
          <w:lang w:val="pl-PL"/>
        </w:rPr>
        <w:t>art. 2 ust. 1</w:t>
      </w:r>
      <w:r>
        <w:rPr>
          <w:rFonts w:ascii="Times New Roman"/>
          <w:b w:val="false"/>
          <w:i w:val="false"/>
          <w:color w:val="000000"/>
          <w:sz w:val="24"/>
          <w:lang w:val="pl-PL"/>
        </w:rPr>
        <w:t xml:space="preserve"> i </w:t>
      </w:r>
      <w:r>
        <w:rPr>
          <w:rFonts w:ascii="Times New Roman"/>
          <w:b w:val="false"/>
          <w:i w:val="false"/>
          <w:color w:val="1b1b1b"/>
          <w:sz w:val="24"/>
          <w:lang w:val="pl-PL"/>
        </w:rPr>
        <w:t>2</w:t>
      </w:r>
      <w:r>
        <w:rPr>
          <w:rFonts w:ascii="Times New Roman"/>
          <w:b w:val="false"/>
          <w:i w:val="false"/>
          <w:color w:val="000000"/>
          <w:sz w:val="24"/>
          <w:lang w:val="pl-PL"/>
        </w:rPr>
        <w:t xml:space="preserve"> ustawy z dnia 17 lutego 2005 r. o informatyzacji działalności podmiotów realizujących zadania publiczne;</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tyczenia budynków lub sieci uzbrojenia terenu.</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12ca.</w:t>
      </w:r>
      <w:r>
        <w:rPr>
          <w:rFonts w:ascii="Times New Roman"/>
          <w:b/>
          <w:i w:val="false"/>
          <w:color w:val="000000"/>
          <w:sz w:val="24"/>
          <w:lang w:val="pl-PL"/>
        </w:rPr>
        <w:t xml:space="preserve"> [Aktualizacja baz danych przestrzennych niezrealizowana jako przedmiot zamówienia publicznego - wyłączenie stosowania wybranych przepisów]</w:t>
      </w:r>
    </w:p>
    <w:p>
      <w:pPr>
        <w:spacing w:after="0"/>
        <w:ind w:left="0"/>
        <w:jc w:val="left"/>
        <w:textAlignment w:val="auto"/>
      </w:pPr>
      <w:r>
        <w:rPr>
          <w:rFonts w:ascii="Times New Roman"/>
          <w:b w:val="false"/>
          <w:i w:val="false"/>
          <w:color w:val="000000"/>
          <w:sz w:val="24"/>
          <w:lang w:val="pl-PL"/>
        </w:rPr>
        <w:t> Do aktualizacji przez:</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marszałka województwa bazy danych, o której mowa w art. 4 ust. 1a pkt 8,</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Głównego Geodetę Kraju baz danych, o których mowa w art. 4 ust. 1a pkt 1, 4, 5, 9 i 11</w:t>
      </w:r>
    </w:p>
    <w:p>
      <w:pPr>
        <w:spacing w:before="25" w:after="0"/>
        <w:ind w:left="0"/>
        <w:jc w:val="left"/>
        <w:textAlignment w:val="auto"/>
      </w:pPr>
      <w:r>
        <w:rPr>
          <w:rFonts w:ascii="Times New Roman"/>
          <w:b w:val="false"/>
          <w:i w:val="false"/>
          <w:color w:val="000000"/>
          <w:sz w:val="24"/>
          <w:lang w:val="pl-PL"/>
        </w:rPr>
        <w:t>- nierealizowanej jako przedmiot zamówienia publicznego nie stosuje się przepisów art. 11-12b i art. 42-46w.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12d.</w:t>
      </w:r>
      <w:r>
        <w:rPr>
          <w:rFonts w:ascii="Times New Roman"/>
          <w:b/>
          <w:i w:val="false"/>
          <w:color w:val="000000"/>
          <w:sz w:val="24"/>
          <w:lang w:val="pl-PL"/>
        </w:rPr>
        <w:t xml:space="preserve"> [Delegacja ustawowa]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Minister właściwy do spraw budownictwa, planowania i zagospodarowania przestrzennego oraz mieszkalnictwa określi, w drodze rozporządzenia: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wzór zgłoszenia prac geodezyjnych,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wzór zawiadomienia o przekazaniu wyników zgłoszonych prac,</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wzór protokołu weryfikacji wyników zgłoszonych prac geodezyjnych,</w:t>
      </w:r>
    </w:p>
    <w:p>
      <w:pPr>
        <w:spacing w:before="25" w:after="0"/>
        <w:ind w:left="0"/>
        <w:jc w:val="left"/>
        <w:textAlignment w:val="auto"/>
      </w:pPr>
      <w:r>
        <w:rPr>
          <w:rFonts w:ascii="Times New Roman"/>
          <w:b w:val="false"/>
          <w:i w:val="false"/>
          <w:color w:val="000000"/>
          <w:sz w:val="24"/>
          <w:lang w:val="pl-PL"/>
        </w:rPr>
        <w:t>- mając na względzie zapewnienie jednolitości informacji o planowanych i wykonywanych pracach geodezyjnych, jak również zapewnienie wysokiej jakości i kompletności danych i materiałów przekazywanych do państwowego zasobu geodezyjnego i kartograficznego oraz szczególne znaczenie zbiorów danych gromadzonych w państwowym zasobie geodezyjnym i kartograficznym.</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13.</w:t>
      </w:r>
      <w:r>
        <w:rPr>
          <w:rFonts w:ascii="Times New Roman"/>
          <w:b/>
          <w:i w:val="false"/>
          <w:color w:val="000000"/>
          <w:sz w:val="24"/>
          <w:lang w:val="pl-PL"/>
        </w:rPr>
        <w:t xml:space="preserve"> [Uprawnienia osób wykonujących prace geodezyjne i kartograficzne]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Osoby wykonujące prace geodezyjne i kartograficzne mają prawo:</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wstępu na grunt i do obiektów budowlanych oraz dokonywania niezbędnych czynności związanych z wykonywanymi pracami;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dokonywania przecinek drzew i krzewów, niezbędnych do wykonania prac geodezyjnych;</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nieodpłatnego umieszczania na gruntach i obiektach budowlanych znaków geodezyjnych, grawimetrycznych i magnetycznych oraz urządzeń zabezpieczających te znaki;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umieszczania na gruntach i obiektach budowlanych budowli triangulacyjnych.</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Uprawnienia, o których mowa w ust. 1, nie naruszają:</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przepisów o ochronie zabytków i opiece nad zabytkami, o ochronie środowiska, o lasach i o drogach publicznych;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przywilejów i immunitetów przysługujących obcym przedstawicielstwom dyplomatycznym, misjom specjalnym i urzędom konsularnym, a także członkom ich personelu oraz innym osobom korzystającym z przywilejów i immunitetów na podstawie ustaw, umów lub powszechnie uznanych zwyczajów międzynarodowych.</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Na terenach zamkniętych prace geodezyjne mogą być wykonywane tylko przez wykonawców działających na zlecenie organów, które wydały decyzję o zamknięciu terenu, lub za ich zgodą.</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14.</w:t>
      </w:r>
      <w:r>
        <w:rPr>
          <w:rFonts w:ascii="Times New Roman"/>
          <w:b/>
          <w:i w:val="false"/>
          <w:color w:val="000000"/>
          <w:sz w:val="24"/>
          <w:lang w:val="pl-PL"/>
        </w:rPr>
        <w:t xml:space="preserve"> [Obowiązki osób władających nieruchomością wobec osób wykonujących prace geodezyjne i kartograficzne]</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Właściciel lub inna osoba władająca nieruchomością są obowiązani umożliwić podmiotom, o których mowa w art. 11, wykonanie prac geodezyjnych i kartograficznych określonych w art. 13 ust. 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15.</w:t>
      </w:r>
      <w:r>
        <w:rPr>
          <w:rFonts w:ascii="Times New Roman"/>
          <w:b/>
          <w:i w:val="false"/>
          <w:color w:val="000000"/>
          <w:sz w:val="24"/>
          <w:lang w:val="pl-PL"/>
        </w:rPr>
        <w:t xml:space="preserve"> [Ochrona znaków geodezyjnych i kartograficznych]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Znaki geodezyjne, urządzenia zabezpieczające te znaki oraz budowle triangulacyjne podlegają ochronie.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miarę potrzeby może być wydzielony na gruncie, za odszkodowaniem, obszar niezbędny do ochrony znaku geodezyjnego oraz budowli triangulacyjnej. Na obszarze tym nie mogą być wykonywane czynności, które zagrażałyby znakowi geodezyjnemu i budowli triangulacyjnej.</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Właściciel lub inna osoba władająca nieruchomością, na której znajdują się znaki geodezyjne, urządzenia zabezpieczające te znaki oraz budowle triangulacyjne, są obowiązani: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nie dokonywać czynności powodujących ich zniszczenie, uszkodzenie lub przemieszczenie;</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niezwłocznie zawiadomić właściwego starostę o ich zniszczeniu, uszkodzeniu, przemieszczeniu lub zagrażaniu przez nie bezpieczeństwu życia lub mienia.</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Przepis ust. 1-3 stosuje się odpowiednio do znaków grawimetrycznych i magnetycznych.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16.</w:t>
      </w:r>
      <w:r>
        <w:rPr>
          <w:rFonts w:ascii="Times New Roman"/>
          <w:b/>
          <w:i w:val="false"/>
          <w:color w:val="000000"/>
          <w:sz w:val="24"/>
          <w:lang w:val="pl-PL"/>
        </w:rPr>
        <w:t xml:space="preserve"> [Naprawianie szkód związanych z wykonywaniem prac geodezyjnych i kartograficznych]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Szkody wyrządzone w związku z wykonywaniem prac geodezyjnych i kartograficznych podlegają naprawieniu na zasadach prawa cywilnego.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razie ograniczenia korzystania z nieruchomości przy wykonywaniu czynności określonych w art. 13 ust. 1 pkt 3 i 4, właścicielowi lub innej osobie władającej nieruchomością przysługuje wynagrodzenie.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17.</w:t>
      </w:r>
      <w:r>
        <w:rPr>
          <w:rFonts w:ascii="Times New Roman"/>
          <w:b/>
          <w:i w:val="false"/>
          <w:color w:val="000000"/>
          <w:sz w:val="24"/>
          <w:lang w:val="pl-PL"/>
        </w:rPr>
        <w:t xml:space="preserve"> [Delegacja ustawowa - sposób przedstawiania na mapach przedmiotów sporów międzynarodowych]</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Minister właściwy do spraw budownictwa, planowania i zagospodarowania przestrzennego oraz mieszkalnictwa, w porozumieniu z ministrem właściwym do spraw zagranicznych, ustala, w drodze rozporządzenia, sposób przedstawiania na mapach przedmiotów sporów międzynarodowych, uwzględniając na mapach:</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sporne terytoria państwa lub ich części, terytoria okupowane, terytoria i granice pomiędzy państwami ościennymi;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granice polityczne będące liniami demarkacyjnymi;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nazewnictwo niektórych terytoriów spornych.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18.</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19.</w:t>
      </w:r>
      <w:r>
        <w:rPr>
          <w:rFonts w:ascii="Times New Roman"/>
          <w:b/>
          <w:i w:val="false"/>
          <w:color w:val="000000"/>
          <w:sz w:val="24"/>
          <w:lang w:val="pl-PL"/>
        </w:rPr>
        <w:t xml:space="preserve"> [Delegacje ustawowe]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Minister właściwy do spraw budownictwa, planowania i zagospodarowania przestrzennego oraz mieszkalnictwa określi, w drodze rozporządzeń:</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sposób i tryb ochrony znaków geodezyjnych, grawimetrycznych i magnetycznych oraz rodzaje znaków niepodlegających ochronie, z uwzględnieniem zadań, obowiązków i praw podmiotów biorących udział w czynnościach związanych z ochroną tych znaków;</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 porozumieniu z Ministrem Obrony Narodowej, rodzaje prac geodezyjnych i kartograficznych mających znaczenie dla obronności i bezpieczeństwa państwa oraz sposób współdziałania Głównego Geodety Kraju z Ministrem Obrony Narodowej w zakresie wykonania tych prac, a także wzajemnego przekazywania materiałów, uwzględniając potrzeby obronności i bezpieczeństwa państwa oraz potrzeby administracji publicznej;</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organizację, tryb i standardy techniczne zakładania i utrzymywania podstawowych osnów geodezyjnych, grawimetrycznych i magnetycznych oraz szczegółowych osnów geodezyjnych, szczegółowy zakres informacji gromadzonych w bazie danych państwowego rejestru podstawowych osnów geodezyjnych, grawimetrycznych i magnetycznych oraz w bazie danych szczegółowych osnów geodezyjnych, a także standardy techniczne dotyczące tworzenia tych baz, ich aktualizacji i udostępniania, mając na uwadze ich referencyjne znaczenie dla infrastruktury informacji przestrzennej oraz harmonizację zbiorów danych tych baz z innymi zbiorami danych, o których mowa w art. 4 ust. 1a;</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zakres informacji gromadzonych w bazie danych obiektów topograficznych, o której mowa w art. 4 ust. 1a pkt 12, organizację, tryb i standardy techniczne tworzenia tej bazy, jej aktualizacji i udostępniania, a także tworzenia mapy zasadniczej, o której mowa w art. 4 ust. 1e pkt 2, mając na uwadze podstawowe znaczenie tej bazy i mapy zasadniczej dla infrastruktury informacji przestrzennej, zasadę interoperacyjności, o której mowa w przepisach o infrastrukturze informacji przestrzennej, a także konieczność harmonizacji zbiorów danych tej bazy z innymi zbiorami danych, o których mowa w art. 4 ust. 1a;</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zakres informacji gromadzonych w bazie danych państwowego rejestru nazw geograficznych, organizację, tryb i standardy techniczne jego tworzenia, aktualizacji i okresowej weryfikacji, a także udostępniania jego danych, mając na uwadze podstawowe znaczenie tego rejestru dla infrastruktury informacji przestrzennej oraz zasadę interoperacyjności, o której mowa w przepisach o infrastrukturze informacji przestrzennej, a także konieczność harmonizacji zbiorów danych tego rejestru z innymi zbiorami danych, o których mowa w art. 4 ust. 1a;</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zakres informacji gromadzonych w bazie danych obiektów topograficznych oraz bazie danych obiektów ogólnogeograficznych, o których mowa w art. 4 ust. 1a pkt 8 i 9, organizację, tryb i standardy techniczne tworzenia tych baz, ich aktualizacji i udostępniania, a także tworzenia standardowych opracowań kartograficznych, o których mowa w art. 4 ust. 1e pkt 3 i 4, mając na uwadze podstawowe znaczenie tych baz i opracowań dla infrastruktury informacji przestrzennej oraz zasadę interoperacyjności, o której mowa w przepisach o infrastrukturze informacji przestrzennej, a także konieczność harmonizacji zbiorów danych tych baz ze zbiorami danych, o których mowa w art. 4 ust. 1a;</w:t>
      </w:r>
    </w:p>
    <w:p>
      <w:pPr>
        <w:spacing w:before="26" w:after="0"/>
        <w:ind w:left="373"/>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xml:space="preserve"> zakres informacji gromadzonych w bazach danych dotyczących zobrazowań lotniczych i satelitarnych oraz ortofotomapy i numerycznego modelu terenu, organizację, tryb i standardy techniczne tworzenia, aktualizacji i udostępniania tych baz, mając na uwadze ich znaczenie dla infrastruktury informacji przestrzennej oraz zasadę interoperacyjności, o której mowa w przepisach o infrastrukturze informacji przestrzennej, a także ich referencyjny charakter w stosunku do innych zbiorów, o których mowa w art. 4 ust. 1a;</w:t>
      </w:r>
    </w:p>
    <w:p>
      <w:pPr>
        <w:spacing w:before="26" w:after="0"/>
        <w:ind w:left="373"/>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xml:space="preserve"> standardy techniczne wykonywania geodezyjnych pomiarów sytuacyjnych i wysokościowych oraz opracowywania i przekazywania wyników tych pomiarów do państwowego zasobu geodezyjnego i kartograficznego na potrzeby: ewidencji gruntów i budynków, geodezyjnej ewidencji sieci uzbrojenia terenu, podziałów nieruchomości, typowych postępowań sądowych i administracyjnych, zagospodarowania przestrzennego, budownictwa, w tym geodezyjnej obsługi inwestycji budowlanych, mając na celu zapewnienie jednolitości i spójności opracowań geodezyjnych i kartograficznych, usprawnienie, w tym automatyzację, procesów zakładania i aktualizacji baz danych, o których mowa w art. 4 ust. 1a, oraz harmonijność i interoperacyjność zawartych w nich zbiorów danych.</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Rada Ministrów określi, w drodze rozporządzenia, zakres informacji gromadzonych w bazie danych państwowego rejestru granic i powierzchni jednostek podziałów terytorialnych kraju, organizację, tryb i standardy techniczne tworzenia, aktualizacji i okresowej weryfikacji tego rejestru, w tym tryb przekazywania Głównemu Geodecie Kraju przez inne organy administracji publicznej informacji i zbiorów danych niezbędnych do tworzenia i aktualizacji rejestru, a także tryb udostępniania danych z rejestru, mając na uwadze podstawowe znaczenie tego rejestru dla infrastruktury informacji przestrzennej oraz zasadę interoperacyjności, o której mowa w przepisach o infrastrukturze informacji przestrzennej, a także konieczność harmonizacji zbiorów danych tego rejestru z innymi zbiorami danych, o których mowa w art. 4 ust. 1a.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Szczegółowe zasady wykonywania specjalistycznych prac geodezyjnych i kartograficznych, przeznaczonych na potrzeby resortów, określają właściwi ministrowie i kierownicy urzędów centralnych w porozumieniu z Głównym Geodetą Kraju.</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4</w:t>
      </w:r>
    </w:p>
    <w:p>
      <w:pPr>
        <w:spacing w:before="25" w:after="0"/>
        <w:ind w:left="0"/>
        <w:jc w:val="center"/>
        <w:textAlignment w:val="auto"/>
      </w:pPr>
      <w:r>
        <w:rPr>
          <w:rFonts w:ascii="Times New Roman"/>
          <w:b/>
          <w:i w:val="false"/>
          <w:color w:val="000000"/>
          <w:sz w:val="24"/>
          <w:lang w:val="pl-PL"/>
        </w:rPr>
        <w:t>Ewidencja gruntów i budynków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20.</w:t>
      </w:r>
      <w:r>
        <w:rPr>
          <w:rFonts w:ascii="Times New Roman"/>
          <w:b/>
          <w:i w:val="false"/>
          <w:color w:val="000000"/>
          <w:sz w:val="24"/>
          <w:lang w:val="pl-PL"/>
        </w:rPr>
        <w:t xml:space="preserve"> [Zawartość ewidencji gruntów i budynków]</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Ewidencja gruntów i budynków obejmuje informacje dotyczące: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gruntów - ich położenia, granic, powierzchni, rodzajów użytków gruntowych oraz ich klas bonitacyjnych, oznaczenia ksiąg wieczystych lub zbiorów dokumentów, jeżeli zostały założone dla nieruchomości, w skład której wchodzą grunty;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budynków - ich położenia, przeznaczenia, funkcji użytkowych i ogólnych danych technicznych;</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lokali - ich położenia, funkcji użytkowych oraz powierzchni użytkowej.</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ewidencji gruntów i budynków wykazuje się także: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właścicieli nieruchomości, a w przypadku:</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nieruchomości Skarbu Państwa lub jednostek samorządu terytorialnego - oprócz właścicieli inne podmioty, w których władaniu lub gospodarowaniu, w rozumieniu przepisów o gospodarowaniu nieruchomościami Skarbu Państwa, znajdują się te nieruchomości,</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gruntów, dla których ze względu na brak księgi wieczystej, zbioru dokumentów albo innych dokumentów nie można ustalić ich właścicieli - osoby lub inne podmioty, które władają tymi gruntami na zasadach samoistnego posiadania;</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miejsce pobytu stałego lub adres siedziby podmiotów, o których mowa w pkt 1;</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(uchylony).</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xml:space="preserve"> Przepisy ust. 2 nie naruszają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29 czerwca 1963 r. o zagospodarowaniu wspólnot gruntowych (Dz. U. z 2022 r. poz. 140).</w:t>
      </w:r>
    </w:p>
    <w:p>
      <w:pPr>
        <w:spacing w:before="26" w:after="0"/>
        <w:ind w:left="0"/>
        <w:jc w:val="left"/>
        <w:textAlignment w:val="auto"/>
      </w:pPr>
      <w:r>
        <w:rPr>
          <w:rFonts w:ascii="Times New Roman"/>
          <w:b w:val="false"/>
          <w:i w:val="false"/>
          <w:color w:val="000000"/>
          <w:sz w:val="24"/>
          <w:lang w:val="pl-PL"/>
        </w:rPr>
        <w:t>2b.</w:t>
      </w:r>
      <w:r>
        <w:rPr>
          <w:rFonts w:ascii="Times New Roman"/>
          <w:b w:val="false"/>
          <w:i w:val="false"/>
          <w:color w:val="000000"/>
          <w:sz w:val="24"/>
          <w:lang w:val="pl-PL"/>
        </w:rPr>
        <w:t> Wykazanie w ewidencji gruntów i budynków podmiotów, o których mowa w ust. 2 pkt 1 lit. b, może nastąpić w wyniku przeprowadzenia modernizacji tej ewidencji lub w ramach bieżącej jej aktualizacji przeprowadzonej w drodze decyzji administracyjnej.</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Grunty rolne i leśne obejmuje się gleboznawczą klasyfikacją gruntów, przeprowadzaną w sposób jednolity dla całego kraju, na podstawie urzędowej tabeli klas gruntów.</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Ewidencję gruntów i budynków, w części dotyczącej lasów, prowadzi się z uwzględnieniem przepisów o lasach.</w:t>
      </w:r>
    </w:p>
    <w:p>
      <w:pPr>
        <w:spacing w:before="26" w:after="0"/>
        <w:ind w:left="0"/>
        <w:jc w:val="left"/>
        <w:textAlignment w:val="auto"/>
      </w:pPr>
      <w:r>
        <w:rPr>
          <w:rFonts w:ascii="Times New Roman"/>
          <w:b w:val="false"/>
          <w:i w:val="false"/>
          <w:color w:val="000000"/>
          <w:sz w:val="24"/>
          <w:lang w:val="pl-PL"/>
        </w:rPr>
        <w:t>3b.</w:t>
      </w:r>
      <w:r>
        <w:rPr>
          <w:rFonts w:ascii="Times New Roman"/>
          <w:b w:val="false"/>
          <w:i w:val="false"/>
          <w:color w:val="000000"/>
          <w:sz w:val="24"/>
          <w:lang w:val="pl-PL"/>
        </w:rPr>
        <w:t> Przepisu ust. 3 nie stosuje się do gruntów leśnych stanowiących własność Skarbu Państwa zarządzanych przez Państwowe Gospodarstwo Leśne Lasy Państwowe, z wyjątkiem gruntów leśnych o powierzchni do 10 ha znajdujących się w enklawach i półenklawach wśród gruntów o innej formie własności.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Rada Ministrów może rozszerzyć, w drodze rozporządzenia, zakres informacji objętych ewidencją gruntów i budynków, uwzględniając zadania administracji publicznej.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21.</w:t>
      </w:r>
      <w:r>
        <w:rPr>
          <w:rFonts w:ascii="Times New Roman"/>
          <w:b/>
          <w:i w:val="false"/>
          <w:color w:val="000000"/>
          <w:sz w:val="24"/>
          <w:lang w:val="pl-PL"/>
        </w:rPr>
        <w:t xml:space="preserve"> [Wykorzystanie danych z ewidencji gruntów i budynków]</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Podstawę planowania gospodarczego, planowania przestrzennego, wymiaru podatków i świadczeń, oznaczania nieruchomości w księgach wieczystych, statystyki publicznej, gospodarki nieruchomościami oraz ewidencji gospodarstw rolnych stanowią dane zawarte w ewidencji gruntów i budynków.</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Organy i jednostki organizacyjne realizujące zadania, o których mowa w ust. 1, współdziałają z organami Służby Geodezyjnej i Kartograficznej w zakresie utworzenia i sfinansowania systemu dostępu i wymiany danych między ewidencją gruntów i budynków a ewidencjami i rejestrami publicznymi prowadzonymi przez te organy i jednostki organizacyjne.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22.</w:t>
      </w:r>
      <w:r>
        <w:rPr>
          <w:rFonts w:ascii="Times New Roman"/>
          <w:b/>
          <w:i w:val="false"/>
          <w:color w:val="000000"/>
          <w:sz w:val="24"/>
          <w:lang w:val="pl-PL"/>
        </w:rPr>
        <w:t xml:space="preserve"> [Obowiązek aktualizacji danych objętych ewidencją gruntów i budynków]</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(uchylony)</w:t>
      </w:r>
      <w:r>
        <w:rPr>
          <w:rFonts w:ascii="Times New Roman"/>
          <w:b w:val="false"/>
          <w:i/>
          <w:color w:val="000000"/>
          <w:sz w:val="24"/>
          <w:lang w:val="pl-PL"/>
        </w:rPr>
        <w:t>.</w:t>
      </w:r>
      <w:r>
        <w:rPr>
          <w:rFonts w:ascii="Times New Roman"/>
          <w:b w:val="false"/>
          <w:i w:val="false"/>
          <w:color w:val="000000"/>
          <w:sz w:val="24"/>
          <w:lang w:val="pl-PL"/>
        </w:rPr>
        <w:t xml:space="preserve"> </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Podmioty, o których mowa w art. 20 ust. 2 pkt 1, zgłaszają właściwemu staroście zmiany danych objętych ewidencją gruntów i budynków, w terminie 30 dni, licząc od dnia powstania tych zmian. Obowiązek ten nie dotyczy zmian danych objętych ewidencją gruntów i budynków, wynikających z aktów normatywnych, prawomocnych orzeczeń sądowych, decyzji administracyjnych, aktów notarialnych, materiałów zasobu, wpisów w innych rejestrach publicznych oraz dokumentacji architektoniczno-budowlanej przechowywanej przez organy administracji architektoniczno-budowlanej.</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Jeżeli uzyskanie danych niezbędnych do aktualizacji bazy danych ewidencji gruntów i budynków nie jest możliwe w inny sposób, starosta może, w drodze decyzji administracyjnej, nałożyć na podmioty, o których mowa w art. 20 ust. 2 pkt 1, obowiązek:</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opracowania dokumentacji geodezyjnej niezbędnej do aktualizacji bazy danych ewidencji gruntów i budynków, w przypadku ustalenia, że stan faktyczny nieruchomości jest inny niż ujawniony w tej bazie danych;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udostępnienia dokumentacji budowy lub dokumentacji powykonawczej, o których mowa w </w:t>
      </w:r>
      <w:r>
        <w:rPr>
          <w:rFonts w:ascii="Times New Roman"/>
          <w:b w:val="false"/>
          <w:i w:val="false"/>
          <w:color w:val="1b1b1b"/>
          <w:sz w:val="24"/>
          <w:lang w:val="pl-PL"/>
        </w:rPr>
        <w:t>art. 3 pkt 13</w:t>
      </w:r>
      <w:r>
        <w:rPr>
          <w:rFonts w:ascii="Times New Roman"/>
          <w:b w:val="false"/>
          <w:i w:val="false"/>
          <w:color w:val="000000"/>
          <w:sz w:val="24"/>
          <w:lang w:val="pl-PL"/>
        </w:rPr>
        <w:t xml:space="preserve"> i </w:t>
      </w:r>
      <w:r>
        <w:rPr>
          <w:rFonts w:ascii="Times New Roman"/>
          <w:b w:val="false"/>
          <w:i w:val="false"/>
          <w:color w:val="1b1b1b"/>
          <w:sz w:val="24"/>
          <w:lang w:val="pl-PL"/>
        </w:rPr>
        <w:t>14</w:t>
      </w:r>
      <w:r>
        <w:rPr>
          <w:rFonts w:ascii="Times New Roman"/>
          <w:b w:val="false"/>
          <w:i w:val="false"/>
          <w:color w:val="000000"/>
          <w:sz w:val="24"/>
          <w:lang w:val="pl-PL"/>
        </w:rPr>
        <w:t xml:space="preserve"> ustawy z dnia 7 lipca 1994 r. - Prawo budowlane (Dz. U. z 2024 r. poz. 725 i 834), jeżeli jest to niezbędne do ujawnienia w bazie danych ewidencji gruntów i budynków danych dotyczących budynku lub działki;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udzielenia informacji o sposobie użytkowania budynków i lokali.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 przypadku uchylania się obowiązanych podmiotów od wykonania nałożonego decyzją administracyjną obowiązku opracowania dokumentacji geodezyjnej niezbędnej do aktualizacji bazy danych ewidencji gruntów i budynków, następuje egzekucja tego obowiązku w drodze wykonania zastępczego w trybie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17 czerwca 1966 r. o postępowaniu egzekucyjnym w administracji (Dz. U. z 2023 r. poz. 2505 i 2760 oraz z 2024 r. poz. 858 i 859).</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Właściwy organ, na wniosek podmiotu obowiązanego do poniesienia kosztów wykonania zastępczego dokumentacji geodezyjnej niezbędnej do aktualizacji bazy danych ewidencji gruntów i budynków, złożony w terminie 7 dni od dnia otrzymania zawiadomienia, o którym mowa w </w:t>
      </w:r>
      <w:r>
        <w:rPr>
          <w:rFonts w:ascii="Times New Roman"/>
          <w:b w:val="false"/>
          <w:i w:val="false"/>
          <w:color w:val="1b1b1b"/>
          <w:sz w:val="24"/>
          <w:lang w:val="pl-PL"/>
        </w:rPr>
        <w:t>art. 133</w:t>
      </w:r>
      <w:r>
        <w:rPr>
          <w:rFonts w:ascii="Times New Roman"/>
          <w:b w:val="false"/>
          <w:i w:val="false"/>
          <w:color w:val="000000"/>
          <w:sz w:val="24"/>
          <w:lang w:val="pl-PL"/>
        </w:rPr>
        <w:t xml:space="preserve"> ustawy z dnia 17 czerwca 1966 r. o postępowaniu egzekucyjnym w administracji, może: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umorzyć koszty w całości lub w części, jeżeli obowiązany przedstawi dokument potwierdzający:</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pobieranie zasiłku, o którym mowa w </w:t>
      </w:r>
      <w:r>
        <w:rPr>
          <w:rFonts w:ascii="Times New Roman"/>
          <w:b w:val="false"/>
          <w:i w:val="false"/>
          <w:color w:val="1b1b1b"/>
          <w:sz w:val="24"/>
          <w:lang w:val="pl-PL"/>
        </w:rPr>
        <w:t>art. 37</w:t>
      </w:r>
      <w:r>
        <w:rPr>
          <w:rFonts w:ascii="Times New Roman"/>
          <w:b w:val="false"/>
          <w:i w:val="false"/>
          <w:color w:val="000000"/>
          <w:sz w:val="24"/>
          <w:lang w:val="pl-PL"/>
        </w:rPr>
        <w:t xml:space="preserve"> lub </w:t>
      </w:r>
      <w:r>
        <w:rPr>
          <w:rFonts w:ascii="Times New Roman"/>
          <w:b w:val="false"/>
          <w:i w:val="false"/>
          <w:color w:val="1b1b1b"/>
          <w:sz w:val="24"/>
          <w:lang w:val="pl-PL"/>
        </w:rPr>
        <w:t>art. 38</w:t>
      </w:r>
      <w:r>
        <w:rPr>
          <w:rFonts w:ascii="Times New Roman"/>
          <w:b w:val="false"/>
          <w:i w:val="false"/>
          <w:color w:val="000000"/>
          <w:sz w:val="24"/>
          <w:lang w:val="pl-PL"/>
        </w:rPr>
        <w:t xml:space="preserve"> ustawy z dnia 12 marca 2004 r. o pomocy społecznej (Dz. U. z 2023 r. poz. 901, z późn. zm.), lub pobieranie takich zasiłków w okresie 2 lat, lub</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otrzymanie zasiłku, o którym mowa w </w:t>
      </w:r>
      <w:r>
        <w:rPr>
          <w:rFonts w:ascii="Times New Roman"/>
          <w:b w:val="false"/>
          <w:i w:val="false"/>
          <w:color w:val="1b1b1b"/>
          <w:sz w:val="24"/>
          <w:lang w:val="pl-PL"/>
        </w:rPr>
        <w:t>art. 5</w:t>
      </w:r>
      <w:r>
        <w:rPr>
          <w:rFonts w:ascii="Times New Roman"/>
          <w:b w:val="false"/>
          <w:i w:val="false"/>
          <w:color w:val="000000"/>
          <w:sz w:val="24"/>
          <w:lang w:val="pl-PL"/>
        </w:rPr>
        <w:t xml:space="preserve"> ustawy z dnia 16 września 2011 r. o szczególnych rozwiązaniach związanych z usuwaniem skutków powodzi (Dz. U. z 2024 r. poz. 654), lub </w:t>
      </w:r>
      <w:r>
        <w:rPr>
          <w:rFonts w:ascii="Times New Roman"/>
          <w:b w:val="false"/>
          <w:i w:val="false"/>
          <w:color w:val="1b1b1b"/>
          <w:sz w:val="24"/>
          <w:lang w:val="pl-PL"/>
        </w:rPr>
        <w:t>art. 40 ust. 2</w:t>
      </w:r>
      <w:r>
        <w:rPr>
          <w:rFonts w:ascii="Times New Roman"/>
          <w:b w:val="false"/>
          <w:i w:val="false"/>
          <w:color w:val="000000"/>
          <w:sz w:val="24"/>
          <w:lang w:val="pl-PL"/>
        </w:rPr>
        <w:t xml:space="preserve"> ustawy z dnia 12 marca 2004 r. o pomocy społecznej, lub otrzymanie takich zasiłków w okresie ostatnich 3 lat poprzedzających złożenie wniosku;</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rozłożyć koszty na raty, jeżeli przemawia za tym ważny interes obowiązanego.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23.</w:t>
      </w:r>
      <w:r>
        <w:rPr>
          <w:rFonts w:ascii="Times New Roman"/>
          <w:b/>
          <w:i w:val="false"/>
          <w:color w:val="000000"/>
          <w:sz w:val="24"/>
          <w:lang w:val="pl-PL"/>
        </w:rPr>
        <w:t xml:space="preserve"> [Obowiązek przekazywania dokumentów w celu aktualizacji danych w ewidencji gruntów i budynków]</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Sądy przekazują właściwemu staroście: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odpisy prawomocnych orzeczeń sądu, a w przypadkach dotyczących europejskiego poświadczenia spadkowego - odpisy orzeczeń sądu, w sprawach o:</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własność nieruchomości lub jej części, w szczególności dotyczących:</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stwierdzenia nabycia prawa własności do nieruchomości przez zasiedzenie,</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nabycia praw do spadku,</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działu spadku,</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zniesienia współwłasności,</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podziału majątku wspólnego,</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potwierdzenia nabycia prawa własności w wyniku uwłaszczenia,</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wydanie nieruchomości lub jej części,</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rozgraniczenie nieruchomości;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zawiadomienia o nowych wpisach w działach I II księgi wieczystej.</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Notariusze przekazują właściwemu staroście: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odpisy aktów notarialnych, które w swojej treści zawierają przeniesienie, zmianę, zrzeczenie się albo ustanowienie praw do nieruchomości, które podlegają ujawnieniu w ewidencji gruntów i budynków, bądź obejmują czynności przenoszące własność nieruchomości lub prawo użytkowania wieczystego nieruchomości gruntowej;</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odpisy aktów poświadczenia dziedziczenia oraz odpisy europejskich poświadczeń spadkowych.</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Organy administracji publicznej przekazują właściwemu staroście: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odpisy ostatecznych decyzji administracyjnych, wraz z załącznikami oraz innymi dokumentami stanowiącymi integralną ich część, w sprawie o:</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nabyciu, zmianie lub utracie prawa własności do nieruchomości, a w odniesieniu do nieruchomości Skarbu Państwa lub jednostek samorządu terytorialnego także o nabyciu, zmianie lub utracie prawa użytkowania wieczystego, trwałego zarządu lub innej formy władania tą nieruchomością,</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podziale nieruchomości,</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scaleniu i podziale nieruchomości,</w:t>
      </w:r>
    </w:p>
    <w:p>
      <w:pPr>
        <w:spacing w:after="0"/>
        <w:ind w:left="746"/>
        <w:jc w:val="left"/>
        <w:textAlignment w:val="auto"/>
      </w:pPr>
      <w:r>
        <w:rPr>
          <w:rFonts w:ascii="Times New Roman"/>
          <w:b w:val="false"/>
          <w:i w:val="false"/>
          <w:color w:val="000000"/>
          <w:sz w:val="24"/>
          <w:lang w:val="pl-PL"/>
        </w:rPr>
        <w:t>d)</w:t>
      </w:r>
      <w:r>
        <w:rPr>
          <w:rFonts w:ascii="Times New Roman"/>
          <w:b w:val="false"/>
          <w:i w:val="false"/>
          <w:color w:val="000000"/>
          <w:sz w:val="24"/>
          <w:lang w:val="pl-PL"/>
        </w:rPr>
        <w:t xml:space="preserve"> scaleniu gruntów,</w:t>
      </w:r>
    </w:p>
    <w:p>
      <w:pPr>
        <w:spacing w:after="0"/>
        <w:ind w:left="746"/>
        <w:jc w:val="left"/>
        <w:textAlignment w:val="auto"/>
      </w:pPr>
      <w:r>
        <w:rPr>
          <w:rFonts w:ascii="Times New Roman"/>
          <w:b w:val="false"/>
          <w:i w:val="false"/>
          <w:color w:val="000000"/>
          <w:sz w:val="24"/>
          <w:lang w:val="pl-PL"/>
        </w:rPr>
        <w:t>e)</w:t>
      </w:r>
      <w:r>
        <w:rPr>
          <w:rFonts w:ascii="Times New Roman"/>
          <w:b w:val="false"/>
          <w:i w:val="false"/>
          <w:color w:val="000000"/>
          <w:sz w:val="24"/>
          <w:lang w:val="pl-PL"/>
        </w:rPr>
        <w:t xml:space="preserve"> wymianie gruntów,</w:t>
      </w:r>
    </w:p>
    <w:p>
      <w:pPr>
        <w:spacing w:after="0"/>
        <w:ind w:left="746"/>
        <w:jc w:val="left"/>
        <w:textAlignment w:val="auto"/>
      </w:pPr>
      <w:r>
        <w:rPr>
          <w:rFonts w:ascii="Times New Roman"/>
          <w:b w:val="false"/>
          <w:i w:val="false"/>
          <w:color w:val="000000"/>
          <w:sz w:val="24"/>
          <w:lang w:val="pl-PL"/>
        </w:rPr>
        <w:t>f)</w:t>
      </w:r>
      <w:r>
        <w:rPr>
          <w:rFonts w:ascii="Times New Roman"/>
          <w:b w:val="false"/>
          <w:i w:val="false"/>
          <w:color w:val="000000"/>
          <w:sz w:val="24"/>
          <w:lang w:val="pl-PL"/>
        </w:rPr>
        <w:t xml:space="preserve"> rozgraniczeniu nieruchomości,</w:t>
      </w:r>
    </w:p>
    <w:p>
      <w:pPr>
        <w:spacing w:after="0"/>
        <w:ind w:left="746"/>
        <w:jc w:val="left"/>
        <w:textAlignment w:val="auto"/>
      </w:pPr>
      <w:r>
        <w:rPr>
          <w:rFonts w:ascii="Times New Roman"/>
          <w:b w:val="false"/>
          <w:i w:val="false"/>
          <w:color w:val="000000"/>
          <w:sz w:val="24"/>
          <w:lang w:val="pl-PL"/>
        </w:rPr>
        <w:t>g)</w:t>
      </w:r>
      <w:r>
        <w:rPr>
          <w:rFonts w:ascii="Times New Roman"/>
          <w:b w:val="false"/>
          <w:i w:val="false"/>
          <w:color w:val="000000"/>
          <w:sz w:val="24"/>
          <w:lang w:val="pl-PL"/>
        </w:rPr>
        <w:t xml:space="preserve"> zatwierdzeniu gleboznawczej klasyfikacji gruntu,</w:t>
      </w:r>
    </w:p>
    <w:p>
      <w:pPr>
        <w:spacing w:after="0"/>
        <w:ind w:left="746"/>
        <w:jc w:val="left"/>
        <w:textAlignment w:val="auto"/>
      </w:pPr>
      <w:r>
        <w:rPr>
          <w:rFonts w:ascii="Times New Roman"/>
          <w:b w:val="false"/>
          <w:i w:val="false"/>
          <w:color w:val="000000"/>
          <w:sz w:val="24"/>
          <w:lang w:val="pl-PL"/>
        </w:rPr>
        <w:t>h)</w:t>
      </w:r>
      <w:r>
        <w:rPr>
          <w:rFonts w:ascii="Times New Roman"/>
          <w:b w:val="false"/>
          <w:i w:val="false"/>
          <w:color w:val="000000"/>
          <w:sz w:val="24"/>
          <w:lang w:val="pl-PL"/>
        </w:rPr>
        <w:t xml:space="preserve"> ustaleniu linii brzegu,</w:t>
      </w:r>
    </w:p>
    <w:p>
      <w:pPr>
        <w:spacing w:after="0"/>
        <w:ind w:left="746"/>
        <w:jc w:val="left"/>
        <w:textAlignment w:val="auto"/>
      </w:pPr>
      <w:r>
        <w:rPr>
          <w:rFonts w:ascii="Times New Roman"/>
          <w:b w:val="false"/>
          <w:i w:val="false"/>
          <w:color w:val="000000"/>
          <w:sz w:val="24"/>
          <w:lang w:val="pl-PL"/>
        </w:rPr>
        <w:t>i)</w:t>
      </w:r>
      <w:r>
        <w:rPr>
          <w:rFonts w:ascii="Times New Roman"/>
          <w:b w:val="false"/>
          <w:i w:val="false"/>
          <w:color w:val="000000"/>
          <w:sz w:val="24"/>
          <w:lang w:val="pl-PL"/>
        </w:rPr>
        <w:t xml:space="preserve"> (uchylona),</w:t>
      </w:r>
    </w:p>
    <w:p>
      <w:pPr>
        <w:spacing w:after="0"/>
        <w:ind w:left="746"/>
        <w:jc w:val="left"/>
        <w:textAlignment w:val="auto"/>
      </w:pPr>
      <w:r>
        <w:rPr>
          <w:rFonts w:ascii="Times New Roman"/>
          <w:b w:val="false"/>
          <w:i w:val="false"/>
          <w:color w:val="000000"/>
          <w:sz w:val="24"/>
          <w:lang w:val="pl-PL"/>
        </w:rPr>
        <w:t>j)</w:t>
      </w:r>
      <w:r>
        <w:rPr>
          <w:rFonts w:ascii="Times New Roman"/>
          <w:b w:val="false"/>
          <w:i w:val="false"/>
          <w:color w:val="000000"/>
          <w:sz w:val="24"/>
          <w:lang w:val="pl-PL"/>
        </w:rPr>
        <w:t xml:space="preserve"> pozwoleniu na użytkowanie budynku, drogi lub linii kolejowej,</w:t>
      </w:r>
    </w:p>
    <w:p>
      <w:pPr>
        <w:spacing w:after="0"/>
        <w:ind w:left="746"/>
        <w:jc w:val="left"/>
        <w:textAlignment w:val="auto"/>
      </w:pPr>
      <w:r>
        <w:rPr>
          <w:rFonts w:ascii="Times New Roman"/>
          <w:b w:val="false"/>
          <w:i w:val="false"/>
          <w:color w:val="000000"/>
          <w:sz w:val="24"/>
          <w:lang w:val="pl-PL"/>
        </w:rPr>
        <w:t>k)</w:t>
      </w:r>
      <w:r>
        <w:rPr>
          <w:rFonts w:ascii="Times New Roman"/>
          <w:b w:val="false"/>
          <w:i w:val="false"/>
          <w:color w:val="000000"/>
          <w:sz w:val="24"/>
          <w:lang w:val="pl-PL"/>
        </w:rPr>
        <w:t xml:space="preserve"> rozbiórce budynku,</w:t>
      </w:r>
    </w:p>
    <w:p>
      <w:pPr>
        <w:spacing w:after="0"/>
        <w:ind w:left="746"/>
        <w:jc w:val="left"/>
        <w:textAlignment w:val="auto"/>
      </w:pPr>
      <w:r>
        <w:rPr>
          <w:rFonts w:ascii="Times New Roman"/>
          <w:b w:val="false"/>
          <w:i w:val="false"/>
          <w:color w:val="000000"/>
          <w:sz w:val="24"/>
          <w:lang w:val="pl-PL"/>
        </w:rPr>
        <w:t>l)</w:t>
      </w:r>
      <w:r>
        <w:rPr>
          <w:rFonts w:ascii="Times New Roman"/>
          <w:b w:val="false"/>
          <w:i w:val="false"/>
          <w:color w:val="000000"/>
          <w:sz w:val="24"/>
          <w:lang w:val="pl-PL"/>
        </w:rPr>
        <w:t xml:space="preserve"> zmianie sposobu użytkowania gruntu,</w:t>
      </w:r>
    </w:p>
    <w:p>
      <w:pPr>
        <w:spacing w:after="0"/>
        <w:ind w:left="746"/>
        <w:jc w:val="left"/>
        <w:textAlignment w:val="auto"/>
      </w:pPr>
      <w:r>
        <w:rPr>
          <w:rFonts w:ascii="Times New Roman"/>
          <w:b w:val="false"/>
          <w:i w:val="false"/>
          <w:color w:val="000000"/>
          <w:sz w:val="24"/>
          <w:lang w:val="pl-PL"/>
        </w:rPr>
        <w:t>m)</w:t>
      </w:r>
      <w:r>
        <w:rPr>
          <w:rFonts w:ascii="Times New Roman"/>
          <w:b w:val="false"/>
          <w:i w:val="false"/>
          <w:color w:val="000000"/>
          <w:sz w:val="24"/>
          <w:lang w:val="pl-PL"/>
        </w:rPr>
        <w:t xml:space="preserve"> (uchylona);</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odpisy zgłoszeń dotyczących zmiany sposobu użytkowania budynku lub jego części, o których mowa w </w:t>
      </w:r>
      <w:r>
        <w:rPr>
          <w:rFonts w:ascii="Times New Roman"/>
          <w:b w:val="false"/>
          <w:i w:val="false"/>
          <w:color w:val="1b1b1b"/>
          <w:sz w:val="24"/>
          <w:lang w:val="pl-PL"/>
        </w:rPr>
        <w:t>art. 71 ust. 2</w:t>
      </w:r>
      <w:r>
        <w:rPr>
          <w:rFonts w:ascii="Times New Roman"/>
          <w:b w:val="false"/>
          <w:i w:val="false"/>
          <w:color w:val="000000"/>
          <w:sz w:val="24"/>
          <w:lang w:val="pl-PL"/>
        </w:rPr>
        <w:t xml:space="preserve"> ustawy z dnia 7 lipca 1994 r. - Prawo budowlane, do których właściwy organ nie wniósł sprzeciwu;</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zawiadomienia o zmianach danych, zawartych w zbiorze danych osobowych Powszechnego Elektronicznego Systemu Ewidencji Ludności (PESEL) w rozumieniu przepisów o ewidencji ludności i dowodach osobistych, dotyczących osób fizycznych ujawnianych w ewidencji gruntów i budynków jako właściciele lub władający nieruchomościami.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Wraz z odpisami decyzji administracyjnych, o których mowa w ust. 3 pkt 1 lit. j-l, oraz odpisami zgłoszeń, o których mowa w ust. 3 pkt 2, przekazywane są uwierzytelnione kopie zatwierdzonych projektów zagospodarowania działki lub terenu.</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Dokumenty, o których mowa w ust. 1-4, przekazuje się w terminie 14 dni od dnia, w którym te dokumenty wywołują skutki prawne.</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Przepisów ust. 3-5 nie stosuje się do organów prowadzących ewidencję gruntów i budynków.</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Starosta niezwłocznie, nie później jednak niż w terminie 30 dni od dnia otrzymania dokumentów, o których mowa w ust. 1-3, wpisuje dane z nich wynikające do ewidencji gruntów i budynków oraz do rejestru cen nieruchomości w zakresie wynikającym z tej ewidencji lub rejestru.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w:t>
      </w:r>
      <w:r>
        <w:rPr>
          <w:rFonts w:ascii="Times New Roman"/>
          <w:b/>
          <w:i w:val="false"/>
          <w:color w:val="000000"/>
          <w:sz w:val="24"/>
          <w:lang w:val="pl-PL"/>
        </w:rPr>
        <w:t xml:space="preserve"> [Operat ewidencyjny; procedura aktualizacji informacji zawartych w ewidencji gruntów i budynków]</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Informacje, o których mowa w art. 20 ust. 1 i 2, zawiera operat ewidencyjny, który składa się z:</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bazy danych, o której mowa w art. 4 ust. 1a pkt 2, prowadzonej za pomocą systemu teleinformatycznego zapewniającego w szczególności:</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odpowiednio zabezpieczone przechowywanie danych i ich aktualizację,</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udostępnianie oraz wspólne korzystanie z danych na zasadach określonych w przepisach o infrastrukturze informacji przestrzennej,</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wizualizację danych w formie rejestrów, kartotek i wykazów oraz mapy ewidencyjnej, a także udostępnianie zainteresowanym wypisów z tych rejestrów, kartotek i wykazów oraz wyrysów z mapy ewidencyjnej;</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zbioru dokumentów uzasadniających wpisy do bazy danych.</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Informacje zawarte w operacie ewidencyjnym są jawne.</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Informacje zawarte w ewidencji gruntów i budynków podlegają aktualizacji: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 urzędu, jeżeli zmiany tych informacji wynikają z:</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przepisów prawa,</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dokumentów, o których mowa w art. 23 ust. 1-4,</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materiałów zasobu,</w:t>
      </w:r>
    </w:p>
    <w:p>
      <w:pPr>
        <w:spacing w:after="0"/>
        <w:ind w:left="746"/>
        <w:jc w:val="left"/>
        <w:textAlignment w:val="auto"/>
      </w:pPr>
      <w:r>
        <w:rPr>
          <w:rFonts w:ascii="Times New Roman"/>
          <w:b w:val="false"/>
          <w:i w:val="false"/>
          <w:color w:val="000000"/>
          <w:sz w:val="24"/>
          <w:lang w:val="pl-PL"/>
        </w:rPr>
        <w:t>d)</w:t>
      </w:r>
      <w:r>
        <w:rPr>
          <w:rFonts w:ascii="Times New Roman"/>
          <w:b w:val="false"/>
          <w:i w:val="false"/>
          <w:color w:val="000000"/>
          <w:sz w:val="24"/>
          <w:lang w:val="pl-PL"/>
        </w:rPr>
        <w:t xml:space="preserve"> wykrycia błędnych informacji;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na wniosek podmiotów, o których mowa w art. 20 ust. 2 pkt 1, lub władających gruntami na zasadach samoistnego posiadania.</w:t>
      </w:r>
    </w:p>
    <w:p>
      <w:pPr>
        <w:spacing w:before="26" w:after="0"/>
        <w:ind w:left="0"/>
        <w:jc w:val="left"/>
        <w:textAlignment w:val="auto"/>
      </w:pPr>
      <w:r>
        <w:rPr>
          <w:rFonts w:ascii="Times New Roman"/>
          <w:b w:val="false"/>
          <w:i w:val="false"/>
          <w:color w:val="000000"/>
          <w:sz w:val="24"/>
          <w:lang w:val="pl-PL"/>
        </w:rPr>
        <w:t>2b.</w:t>
      </w:r>
      <w:r>
        <w:rPr>
          <w:rFonts w:ascii="Times New Roman"/>
          <w:b w:val="false"/>
          <w:i w:val="false"/>
          <w:color w:val="000000"/>
          <w:sz w:val="24"/>
          <w:lang w:val="pl-PL"/>
        </w:rPr>
        <w:t> Aktualizacja informacji zawartych w ewidencji gruntów i budynków następuje: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 drodze czynności materialno-technicznej na podstawie:</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przepisów prawa,</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wpisów w księgach wieczystych,</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prawomocnych orzeczeń sądu, a w przypadkach dotyczących europejskiego poświadczenia spadkowego - orzeczeń sądu,</w:t>
      </w:r>
    </w:p>
    <w:p>
      <w:pPr>
        <w:spacing w:after="0"/>
        <w:ind w:left="746"/>
        <w:jc w:val="left"/>
        <w:textAlignment w:val="auto"/>
      </w:pPr>
      <w:r>
        <w:rPr>
          <w:rFonts w:ascii="Times New Roman"/>
          <w:b w:val="false"/>
          <w:i w:val="false"/>
          <w:color w:val="000000"/>
          <w:sz w:val="24"/>
          <w:lang w:val="pl-PL"/>
        </w:rPr>
        <w:t>d)</w:t>
      </w:r>
      <w:r>
        <w:rPr>
          <w:rFonts w:ascii="Times New Roman"/>
          <w:b w:val="false"/>
          <w:i w:val="false"/>
          <w:color w:val="000000"/>
          <w:sz w:val="24"/>
          <w:lang w:val="pl-PL"/>
        </w:rPr>
        <w:t xml:space="preserve"> ostatecznych decyzji administracyjnych,</w:t>
      </w:r>
    </w:p>
    <w:p>
      <w:pPr>
        <w:spacing w:after="0"/>
        <w:ind w:left="746"/>
        <w:jc w:val="left"/>
        <w:textAlignment w:val="auto"/>
      </w:pPr>
      <w:r>
        <w:rPr>
          <w:rFonts w:ascii="Times New Roman"/>
          <w:b w:val="false"/>
          <w:i w:val="false"/>
          <w:color w:val="000000"/>
          <w:sz w:val="24"/>
          <w:lang w:val="pl-PL"/>
        </w:rPr>
        <w:t>e)</w:t>
      </w:r>
      <w:r>
        <w:rPr>
          <w:rFonts w:ascii="Times New Roman"/>
          <w:b w:val="false"/>
          <w:i w:val="false"/>
          <w:color w:val="000000"/>
          <w:sz w:val="24"/>
          <w:lang w:val="pl-PL"/>
        </w:rPr>
        <w:t xml:space="preserve"> aktów notarialnych,</w:t>
      </w:r>
    </w:p>
    <w:p>
      <w:pPr>
        <w:spacing w:after="0"/>
        <w:ind w:left="746"/>
        <w:jc w:val="left"/>
        <w:textAlignment w:val="auto"/>
      </w:pPr>
      <w:r>
        <w:rPr>
          <w:rFonts w:ascii="Times New Roman"/>
          <w:b w:val="false"/>
          <w:i w:val="false"/>
          <w:color w:val="000000"/>
          <w:sz w:val="24"/>
          <w:lang w:val="pl-PL"/>
        </w:rPr>
        <w:t>ea)</w:t>
      </w:r>
      <w:r>
        <w:rPr>
          <w:rFonts w:ascii="Times New Roman"/>
          <w:b w:val="false"/>
          <w:i w:val="false"/>
          <w:color w:val="000000"/>
          <w:sz w:val="24"/>
          <w:lang w:val="pl-PL"/>
        </w:rPr>
        <w:t xml:space="preserve"> aktów poświadczenia dziedziczenia oraz europejskich poświadczeń spadkowych,</w:t>
      </w:r>
    </w:p>
    <w:p>
      <w:pPr>
        <w:spacing w:after="0"/>
        <w:ind w:left="746"/>
        <w:jc w:val="left"/>
        <w:textAlignment w:val="auto"/>
      </w:pPr>
      <w:r>
        <w:rPr>
          <w:rFonts w:ascii="Times New Roman"/>
          <w:b w:val="false"/>
          <w:i w:val="false"/>
          <w:color w:val="000000"/>
          <w:sz w:val="24"/>
          <w:lang w:val="pl-PL"/>
        </w:rPr>
        <w:t>f)</w:t>
      </w:r>
      <w:r>
        <w:rPr>
          <w:rFonts w:ascii="Times New Roman"/>
          <w:b w:val="false"/>
          <w:i w:val="false"/>
          <w:color w:val="000000"/>
          <w:sz w:val="24"/>
          <w:lang w:val="pl-PL"/>
        </w:rPr>
        <w:t xml:space="preserve"> zgłoszeń dotyczących zmiany sposobu użytkowania budynku lub jego części, o których mowa w </w:t>
      </w:r>
      <w:r>
        <w:rPr>
          <w:rFonts w:ascii="Times New Roman"/>
          <w:b w:val="false"/>
          <w:i w:val="false"/>
          <w:color w:val="1b1b1b"/>
          <w:sz w:val="24"/>
          <w:lang w:val="pl-PL"/>
        </w:rPr>
        <w:t>art. 71 ust. 2</w:t>
      </w:r>
      <w:r>
        <w:rPr>
          <w:rFonts w:ascii="Times New Roman"/>
          <w:b w:val="false"/>
          <w:i w:val="false"/>
          <w:color w:val="000000"/>
          <w:sz w:val="24"/>
          <w:lang w:val="pl-PL"/>
        </w:rPr>
        <w:t xml:space="preserve"> ustawy z dnia 7 lipca 1994 r. - Prawo budowlane, do których właściwy organ nie wniósł sprzeciwu,</w:t>
      </w:r>
    </w:p>
    <w:p>
      <w:pPr>
        <w:spacing w:after="0"/>
        <w:ind w:left="746"/>
        <w:jc w:val="left"/>
        <w:textAlignment w:val="auto"/>
      </w:pPr>
      <w:r>
        <w:rPr>
          <w:rFonts w:ascii="Times New Roman"/>
          <w:b w:val="false"/>
          <w:i w:val="false"/>
          <w:color w:val="000000"/>
          <w:sz w:val="24"/>
          <w:lang w:val="pl-PL"/>
        </w:rPr>
        <w:t>g)</w:t>
      </w:r>
      <w:r>
        <w:rPr>
          <w:rFonts w:ascii="Times New Roman"/>
          <w:b w:val="false"/>
          <w:i w:val="false"/>
          <w:color w:val="000000"/>
          <w:sz w:val="24"/>
          <w:lang w:val="pl-PL"/>
        </w:rPr>
        <w:t xml:space="preserve"> wpisów w innych rejestrach publicznych,</w:t>
      </w:r>
    </w:p>
    <w:p>
      <w:pPr>
        <w:spacing w:after="0"/>
        <w:ind w:left="746"/>
        <w:jc w:val="left"/>
        <w:textAlignment w:val="auto"/>
      </w:pPr>
      <w:r>
        <w:rPr>
          <w:rFonts w:ascii="Times New Roman"/>
          <w:b w:val="false"/>
          <w:i w:val="false"/>
          <w:color w:val="000000"/>
          <w:sz w:val="24"/>
          <w:lang w:val="pl-PL"/>
        </w:rPr>
        <w:t>h)</w:t>
      </w:r>
      <w:r>
        <w:rPr>
          <w:rFonts w:ascii="Times New Roman"/>
          <w:b w:val="false"/>
          <w:i w:val="false"/>
          <w:color w:val="000000"/>
          <w:sz w:val="24"/>
          <w:lang w:val="pl-PL"/>
        </w:rPr>
        <w:t xml:space="preserve"> dokumentacji geodezyjnej przyjętej do państwowego zasobu geodezyjnego i kartograficznego, z uwzględnieniem art. 20 ust. 2b;</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 drodze decyzji administracyjnej - w pozostałych przypadkach.</w:t>
      </w:r>
    </w:p>
    <w:p>
      <w:pPr>
        <w:spacing w:before="26" w:after="0"/>
        <w:ind w:left="0"/>
        <w:jc w:val="left"/>
        <w:textAlignment w:val="auto"/>
      </w:pPr>
      <w:r>
        <w:rPr>
          <w:rFonts w:ascii="Times New Roman"/>
          <w:b w:val="false"/>
          <w:i w:val="false"/>
          <w:color w:val="000000"/>
          <w:sz w:val="24"/>
          <w:lang w:val="pl-PL"/>
        </w:rPr>
        <w:t>2c.</w:t>
      </w:r>
      <w:r>
        <w:rPr>
          <w:rFonts w:ascii="Times New Roman"/>
          <w:b w:val="false"/>
          <w:i w:val="false"/>
          <w:color w:val="000000"/>
          <w:sz w:val="24"/>
          <w:lang w:val="pl-PL"/>
        </w:rPr>
        <w:t> Odmowa aktualizacji informacji zawartych w ewidencji gruntów i budynków następuje w drodze decyzji administracyjnej.</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Starosta udostępnia informacje zawarte w operacie ewidencyjnym w formie: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wypisów z rejestrów, kartotek i wykazów tego operatu;</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wyrysów z mapy ewidencyjnej;</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kopii dokumentów uzasadniających wpisy do bazy danych operatu ewidencyjnego;</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plików komputerowych sformatowanych zgodnie z obowiązującym standardem wymiany danych ewidencyjnych;</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usług, o których mowa w </w:t>
      </w:r>
      <w:r>
        <w:rPr>
          <w:rFonts w:ascii="Times New Roman"/>
          <w:b w:val="false"/>
          <w:i w:val="false"/>
          <w:color w:val="1b1b1b"/>
          <w:sz w:val="24"/>
          <w:lang w:val="pl-PL"/>
        </w:rPr>
        <w:t>art. 9</w:t>
      </w:r>
      <w:r>
        <w:rPr>
          <w:rFonts w:ascii="Times New Roman"/>
          <w:b w:val="false"/>
          <w:i w:val="false"/>
          <w:color w:val="000000"/>
          <w:sz w:val="24"/>
          <w:lang w:val="pl-PL"/>
        </w:rPr>
        <w:t xml:space="preserve"> ustawy z dnia 4 marca 2010 r. o infrastrukturze informacji przestrzennej.</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Każdy, z zastrzeżeniem ust. 5, może żądać udostępnienia informacji zawartych w operacie ewidencyjnym.</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Starosta udostępnia dane ewidencji gruntów i budynków zawierające dane podmiotów, o których mowa w art. 20 ust. 2 pkt 1, oraz wydaje wypisy z operatu ewidencyjnego, zawierające takie dane, na żądanie: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właścicieli oraz osób i jednostek organizacyjnych władających gruntami, budynkami lub lokalami, których dotyczy udostępniany zbiór danych lub wypis;</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organów administracji publicznej albo podmiotów niebędących organami administracji publicznej, realizujących, na skutek powierzenia lub zlecenia przez organ administracji publicznej, zadania publiczne związane z gruntami, budynkami lub lokalami, których dotyczy udostępniany zbiór danych lub wypis;</w:t>
      </w:r>
    </w:p>
    <w:p>
      <w:pPr>
        <w:spacing w:before="26" w:after="0"/>
        <w:ind w:left="373"/>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xml:space="preserve"> operatorów:</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sieci, w rozumieniu </w:t>
      </w:r>
      <w:r>
        <w:rPr>
          <w:rFonts w:ascii="Times New Roman"/>
          <w:b w:val="false"/>
          <w:i w:val="false"/>
          <w:color w:val="1b1b1b"/>
          <w:sz w:val="24"/>
          <w:lang w:val="pl-PL"/>
        </w:rPr>
        <w:t>ustawy</w:t>
      </w:r>
      <w:r>
        <w:rPr>
          <w:rFonts w:ascii="Times New Roman"/>
          <w:b w:val="false"/>
          <w:i w:val="false"/>
          <w:color w:val="000000"/>
          <w:sz w:val="24"/>
          <w:lang w:val="pl-PL"/>
        </w:rPr>
        <w:t xml:space="preserve"> z dnia 7 maja 2010 r. o wspieraniu rozwoju usług i sieci telekomunikacyjnych (Dz. U. z 2024 r. poz. 604 i 834),</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systemu przesyłowego, systemu dystrybucyjnego oraz systemu połączonego, w rozumieniu </w:t>
      </w:r>
      <w:r>
        <w:rPr>
          <w:rFonts w:ascii="Times New Roman"/>
          <w:b w:val="false"/>
          <w:i w:val="false"/>
          <w:color w:val="1b1b1b"/>
          <w:sz w:val="24"/>
          <w:lang w:val="pl-PL"/>
        </w:rPr>
        <w:t>ustawy</w:t>
      </w:r>
      <w:r>
        <w:rPr>
          <w:rFonts w:ascii="Times New Roman"/>
          <w:b w:val="false"/>
          <w:i w:val="false"/>
          <w:color w:val="000000"/>
          <w:sz w:val="24"/>
          <w:lang w:val="pl-PL"/>
        </w:rPr>
        <w:t xml:space="preserve"> z dnia 10 kwietnia 1997 r. - Prawo energetyczne (Dz. U. z 2024 r. poz. 266, 834 i 859);</w:t>
      </w:r>
    </w:p>
    <w:p>
      <w:pPr>
        <w:spacing w:before="26" w:after="0"/>
        <w:ind w:left="373"/>
        <w:jc w:val="left"/>
        <w:textAlignment w:val="auto"/>
      </w:pPr>
      <w:r>
        <w:rPr>
          <w:rFonts w:ascii="Times New Roman"/>
          <w:b w:val="false"/>
          <w:i w:val="false"/>
          <w:color w:val="000000"/>
          <w:sz w:val="24"/>
          <w:lang w:val="pl-PL"/>
        </w:rPr>
        <w:t xml:space="preserve">2b) </w:t>
      </w:r>
      <w:r>
        <w:rPr>
          <w:rFonts w:ascii="Times New Roman"/>
          <w:b w:val="false"/>
          <w:i w:val="false"/>
          <w:color w:val="000000"/>
          <w:sz w:val="24"/>
          <w:lang w:val="pl-PL"/>
        </w:rPr>
        <w:t xml:space="preserve"> </w:t>
      </w:r>
      <w:r>
        <w:rPr>
          <w:rFonts w:ascii="Times New Roman"/>
          <w:b w:val="false"/>
          <w:i w:val="false"/>
          <w:color w:val="000000"/>
          <w:sz w:val="24"/>
          <w:lang w:val="pl-PL"/>
        </w:rPr>
        <w:t xml:space="preserve"> sądów na potrzeby prowadzonych postępowań;</w:t>
      </w:r>
    </w:p>
    <w:p>
      <w:pPr>
        <w:spacing w:before="26" w:after="0"/>
        <w:ind w:left="373"/>
        <w:jc w:val="left"/>
        <w:textAlignment w:val="auto"/>
      </w:pPr>
      <w:r>
        <w:rPr>
          <w:rFonts w:ascii="Times New Roman"/>
          <w:b w:val="false"/>
          <w:i w:val="false"/>
          <w:color w:val="000000"/>
          <w:sz w:val="24"/>
          <w:lang w:val="pl-PL"/>
        </w:rPr>
        <w:t xml:space="preserve">3) </w:t>
      </w:r>
      <w:r>
        <w:rPr>
          <w:rFonts w:ascii="Times New Roman"/>
          <w:b w:val="false"/>
          <w:i w:val="false"/>
          <w:color w:val="000000"/>
          <w:sz w:val="24"/>
          <w:lang w:val="pl-PL"/>
        </w:rPr>
        <w:t xml:space="preserve"> </w:t>
      </w:r>
      <w:r>
        <w:rPr>
          <w:rFonts w:ascii="Times New Roman"/>
          <w:b w:val="false"/>
          <w:i w:val="false"/>
          <w:color w:val="000000"/>
          <w:sz w:val="24"/>
          <w:lang w:val="pl-PL"/>
        </w:rPr>
        <w:t xml:space="preserve"> innych podmiotów niż wymienione w pkt 1-2b, które mają interes prawny w tym zakresie.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24a.</w:t>
      </w:r>
      <w:r>
        <w:rPr>
          <w:rFonts w:ascii="Times New Roman"/>
          <w:b/>
          <w:i w:val="false"/>
          <w:color w:val="000000"/>
          <w:sz w:val="24"/>
          <w:lang w:val="pl-PL"/>
        </w:rPr>
        <w:t xml:space="preserve"> [Modernizacja ewidencji gruntów i budynków]</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Starosta może zarządzić przeprowadzenie modernizacji ewidencji gruntów i budynków na obszarze poszczególnych obrębów ewidencyjnych.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Starosta podaje do publicznej wiadomości informację o rozpoczęciu prac geodezyjnych oraz informuje o trybie postępowania związanego z modernizacją ewidencji gruntów i budynków.</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Informacje, o których mowa w ust. 2, podlegają wywieszeniu na okres 14 dni na tablicy ogłoszeń w siedzibie starostwa powiatowego.</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Projekt operatu opisowo-kartograficznego podlega, na okres 15 dni roboczych, wyłożeniu do wglądu osób fizycznych, osób prawnych i jednostek organizacyjnych nieposiadających osobowości prawnej, w siedzibie starostwa powiatowego, a także udostępnieniu za pomocą środków komunikacji elektronicznej w rozumieniu </w:t>
      </w:r>
      <w:r>
        <w:rPr>
          <w:rFonts w:ascii="Times New Roman"/>
          <w:b w:val="false"/>
          <w:i w:val="false"/>
          <w:color w:val="1b1b1b"/>
          <w:sz w:val="24"/>
          <w:lang w:val="pl-PL"/>
        </w:rPr>
        <w:t>ustawy</w:t>
      </w:r>
      <w:r>
        <w:rPr>
          <w:rFonts w:ascii="Times New Roman"/>
          <w:b w:val="false"/>
          <w:i w:val="false"/>
          <w:color w:val="000000"/>
          <w:sz w:val="24"/>
          <w:lang w:val="pl-PL"/>
        </w:rPr>
        <w:t xml:space="preserve"> z dnia 18 lipca 2002 r. o świadczeniu usług drogą elektroniczną (Dz. U. z 2020 r. poz. 344).</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Starosta informuje o terminie i miejscu wyłożenia, o którym mowa w ust. 4, poprzez wywieszenie tej informacji na tablicy ogłoszeń w siedzibie starostwa powiatowego i właściwego urzędu gminy, na co najmniej 14 dni przed dniem wyłożenia, oraz ogłoszenia jej w prasie o zasięgu krajowym.</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Każdy, czyjego interesu prawnego dotyczą dane ujawnione w projekcie operatu opisowo-kartograficznego, może w okresie wyłożenia projektu do wglądu zgłaszać uwagi do tych danych.</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Upoważniony pracownik starostwa powiatowego, posiadający uprawnienia, o których mowa w art. 43 pkt 2, przy udziale przedstawiciela wykonawcy prac geodezyjnych związanych z modernizacją ewidencji gruntów i budynków, w terminie 15 dni roboczych od upływu terminu wyłożenia do wglądu projektu operatu opisowo-kartograficznego, rozstrzyga o przyjęciu lub odrzuceniu uwag zgłoszonych do tego projektu, po czym informuje zgłaszającego uwagi o sposobie rozpatrzenia uwag oraz sporządza wzmiankę o treści zgłoszonych uwag i sposobie ich rozpatrzenia w protokole.</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Po upływie terminu, o którym mowa w ust. 7, dane objęte modernizacją, zawarte w projekcie operatu opisowo-kartograficznego stają się danymi ewidencji gruntów i budynków i podlegają ujawnieniu w bazie danych ewidencji gruntów i budynków. Informację o tym starosta ogłasza w dzienniku urzędowym województwa oraz w Biuletynie Informacji Publicznej na stronie podmiotowej starostwa.</w:t>
      </w:r>
    </w:p>
    <w:p>
      <w:pPr>
        <w:spacing w:before="26" w:after="0"/>
        <w:ind w:left="0"/>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Każdy, czyjego interesu prawnego dotyczą dane zawarte w ewidencji gruntów i budynków ujawnione w operacie opisowo-kartograficznym, może w terminie 30 dni od dnia ogłoszenia w dzienniku urzędowym województwa informacji, o której mowa w ust. 8, zgłaszać zarzuty do tych danych.</w:t>
      </w:r>
    </w:p>
    <w:p>
      <w:pPr>
        <w:spacing w:before="26" w:after="0"/>
        <w:ind w:left="0"/>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O uwzględnieniu lub odrzuceniu zarzutów starosta rozstrzyga w drodze decyzji.</w:t>
      </w:r>
    </w:p>
    <w:p>
      <w:pPr>
        <w:spacing w:before="26" w:after="0"/>
        <w:ind w:left="0"/>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Do czasu ostatecznego zakończenia postępowania, o którym mowa w ust. 10, w stosunku do gruntów, budynków lub lokali, których dotyczą zarzuty, dane ujawnione w operacie opisowo-kartograficznym nie są wiążące.</w:t>
      </w:r>
    </w:p>
    <w:p>
      <w:pPr>
        <w:spacing w:before="26" w:after="0"/>
        <w:ind w:left="0"/>
        <w:jc w:val="left"/>
        <w:textAlignment w:val="auto"/>
      </w:pPr>
      <w:r>
        <w:rPr>
          <w:rFonts w:ascii="Times New Roman"/>
          <w:b w:val="false"/>
          <w:i w:val="false"/>
          <w:color w:val="000000"/>
          <w:sz w:val="24"/>
          <w:lang w:val="pl-PL"/>
        </w:rPr>
        <w:t>12.</w:t>
      </w:r>
      <w:r>
        <w:rPr>
          <w:rFonts w:ascii="Times New Roman"/>
          <w:b w:val="false"/>
          <w:i w:val="false"/>
          <w:color w:val="000000"/>
          <w:sz w:val="24"/>
          <w:lang w:val="pl-PL"/>
        </w:rPr>
        <w:t> Zarzuty zgłoszone po terminie określonym w ust. 9 traktuje się jak wnioski o zmianę danych objętych ewidencją gruntów i budynków.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24b.</w:t>
      </w:r>
      <w:r>
        <w:rPr>
          <w:rFonts w:ascii="Times New Roman"/>
          <w:b/>
          <w:i w:val="false"/>
          <w:color w:val="000000"/>
          <w:sz w:val="24"/>
          <w:lang w:val="pl-PL"/>
        </w:rPr>
        <w:t xml:space="preserve"> [Zintegrowany system informacji o nieruchomościach]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Główny Geodeta Kraju, we współpracy ze starostami, wojewodami i marszałkami województw oraz Ministrem Sprawiedliwości, ministrem właściwym do spraw informatyzacji, ministrem właściwym do spraw wewnętrznych, ministrem właściwym do spraw finansów publicznych, ministrem właściwym do spraw środowiska, ministrem właściwym do spraw klimatu, Prezesem Głównego Urzędu Statystycznego oraz Prezesem Agencji Restrukturyzacji i Modernizacji Rolnictwa, tworzy i utrzymuje zintegrowany system informacji o nieruchomościach, będący systemem teleinformatycznym, umożliwiającym w szczególności: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prowadzenie centralnego repozytorium kopii zbiorów danych ewidencji gruntów i budynków;</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monitorowanie w skali poszczególnych województw oraz całego kraju spójności i jakości zbiorów danych ewidencji gruntów i budynków;</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wymianę danych w formie dokumentów elektronicznych między ewidencją gruntów i budynków a innymi rejestrami publicznymi, takimi jak: księga wieczysta, państwowy rejestr granic i powierzchni jednostek podziałów terytorialnych kraju, krajowy rejestr urzędowy podziału terytorialnego kraju, krajowy rejestr urzędowy podmiotów gospodarki narodowej, krajowy system ewidencji producentów, ewidencji gospodarstw rolnych oraz ewidencji wniosków o przyznanie płatności, w zakresie niezbędnym do prowadzenia tych rejestrów publicznych, a także przekazywanie w formie dokumentów elektronicznych zawiadomień o zmianach danych, dokonywanych w poszczególnych rejestrach publicznych, mających znaczenie dla innych rejestrów publicznych włączonych do zintegrowanego systemu informacji o nieruchomościach;</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dokonywanie przez sądy prowadzące księgi wieczyste sprawdzeń, o których mowa w </w:t>
      </w:r>
      <w:r>
        <w:rPr>
          <w:rFonts w:ascii="Times New Roman"/>
          <w:b w:val="false"/>
          <w:i w:val="false"/>
          <w:color w:val="1b1b1b"/>
          <w:sz w:val="24"/>
          <w:lang w:val="pl-PL"/>
        </w:rPr>
        <w:t>art. 626</w:t>
      </w:r>
      <w:r>
        <w:rPr>
          <w:rFonts w:ascii="Times New Roman"/>
          <w:b w:val="false"/>
          <w:i w:val="false"/>
          <w:color w:val="1b1b1b"/>
          <w:sz w:val="24"/>
          <w:vertAlign w:val="superscript"/>
          <w:lang w:val="pl-PL"/>
        </w:rPr>
        <w:t>8</w:t>
      </w:r>
      <w:r>
        <w:rPr>
          <w:rFonts w:ascii="Times New Roman"/>
          <w:b w:val="false"/>
          <w:i w:val="false"/>
          <w:color w:val="1b1b1b"/>
          <w:sz w:val="24"/>
          <w:lang w:val="pl-PL"/>
        </w:rPr>
        <w:t xml:space="preserve"> § 4</w:t>
      </w:r>
      <w:r>
        <w:rPr>
          <w:rFonts w:ascii="Times New Roman"/>
          <w:b w:val="false"/>
          <w:i w:val="false"/>
          <w:color w:val="000000"/>
          <w:sz w:val="24"/>
          <w:lang w:val="pl-PL"/>
        </w:rPr>
        <w:t xml:space="preserve"> Kodeksu postępowania cywilnego;</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weryfikację zgodności danych ewidencji gruntów i budynków z danymi zawartymi w: księgach wieczystych, Powszechnym Elektronicznym Systemie Ewidencji Ludności, krajowym rejestrze urzędowym podmiotów gospodarki narodowej oraz krajowym rejestrze urzędowym podziału terytorialnego kraju, a także pozyskiwanie danych zawartych w tych rejestrach na potrzeby ewidencji gruntów i budynków;</w:t>
      </w:r>
    </w:p>
    <w:p>
      <w:pPr>
        <w:spacing w:before="26" w:after="0"/>
        <w:ind w:left="373"/>
        <w:jc w:val="left"/>
        <w:textAlignment w:val="auto"/>
      </w:pPr>
      <w:r>
        <w:rPr>
          <w:rFonts w:ascii="Times New Roman"/>
          <w:b w:val="false"/>
          <w:i w:val="false"/>
          <w:color w:val="000000"/>
          <w:sz w:val="24"/>
          <w:lang w:val="pl-PL"/>
        </w:rPr>
        <w:t xml:space="preserve">6) </w:t>
      </w:r>
      <w:r>
        <w:rPr>
          <w:rFonts w:ascii="Times New Roman"/>
          <w:b w:val="false"/>
          <w:i w:val="false"/>
          <w:color w:val="000000"/>
          <w:sz w:val="24"/>
          <w:lang w:val="pl-PL"/>
        </w:rPr>
        <w:t xml:space="preserve"> </w:t>
      </w:r>
      <w:r>
        <w:rPr>
          <w:rFonts w:ascii="Times New Roman"/>
          <w:b w:val="false"/>
          <w:i w:val="false"/>
          <w:color w:val="000000"/>
          <w:sz w:val="24"/>
          <w:lang w:val="pl-PL"/>
        </w:rPr>
        <w:t xml:space="preserve"> udostępnianie organom administracji publicznej oraz innym podmiotom, realizującym zadania publiczne na podstawie odrębnych przepisów albo na skutek ich powierzenia lub zlecenia przez organ administracji publicznej, danych ewidencji gruntów i budynków, niezbędnych do realizacji przez te podmioty zadań publicznych, a także sądom na potrzeby prowadzonych postępowań;</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przeprowadzanie analiz przestrzennych na zbiorach danych ewidencji gruntów i budynków obejmujących obszary większe niż jeden powiat.</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Współpraca podmiotów, o których mowa w ust. 1, z Głównym Geodetą Kraju dotyczy tworzenia i utrzymywania oprogramowania interfejsowego w rozumieniu </w:t>
      </w:r>
      <w:r>
        <w:rPr>
          <w:rFonts w:ascii="Times New Roman"/>
          <w:b w:val="false"/>
          <w:i w:val="false"/>
          <w:color w:val="1b1b1b"/>
          <w:sz w:val="24"/>
          <w:lang w:val="pl-PL"/>
        </w:rPr>
        <w:t>art. 3 pkt 11</w:t>
      </w:r>
      <w:r>
        <w:rPr>
          <w:rFonts w:ascii="Times New Roman"/>
          <w:b w:val="false"/>
          <w:i w:val="false"/>
          <w:color w:val="000000"/>
          <w:sz w:val="24"/>
          <w:lang w:val="pl-PL"/>
        </w:rPr>
        <w:t xml:space="preserve"> ustawy z dnia 17 lutego 2005 r. o informatyzacji działalności podmiotów realizujących zadania publiczne zapewniających realizację funkcjonalności zintegrowanego systemu informacji o nieruchomościach, w tym dostępu na potrzeby tego systemu do odpowiednich danych zawartych w prowadzonych przez te podmioty rejestrach publicznych.</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Przy udostępnianiu, wymianie i weryfikacji danych za pośrednictwem zintegrowanego systemu informacji o nieruchomościach przepis </w:t>
      </w:r>
      <w:r>
        <w:rPr>
          <w:rFonts w:ascii="Times New Roman"/>
          <w:b w:val="false"/>
          <w:i w:val="false"/>
          <w:color w:val="1b1b1b"/>
          <w:sz w:val="24"/>
          <w:lang w:val="pl-PL"/>
        </w:rPr>
        <w:t>art. 14 ust. 1</w:t>
      </w:r>
      <w:r>
        <w:rPr>
          <w:rFonts w:ascii="Times New Roman"/>
          <w:b w:val="false"/>
          <w:i w:val="false"/>
          <w:color w:val="000000"/>
          <w:sz w:val="24"/>
          <w:lang w:val="pl-PL"/>
        </w:rPr>
        <w:t xml:space="preserve"> ustawy z dnia 4 marca 2010 r. o infrastrukturze informacji przestrzennej oraz </w:t>
      </w:r>
      <w:r>
        <w:rPr>
          <w:rFonts w:ascii="Times New Roman"/>
          <w:b w:val="false"/>
          <w:i w:val="false"/>
          <w:color w:val="1b1b1b"/>
          <w:sz w:val="24"/>
          <w:lang w:val="pl-PL"/>
        </w:rPr>
        <w:t>art. 15</w:t>
      </w:r>
      <w:r>
        <w:rPr>
          <w:rFonts w:ascii="Times New Roman"/>
          <w:b w:val="false"/>
          <w:i w:val="false"/>
          <w:color w:val="000000"/>
          <w:sz w:val="24"/>
          <w:lang w:val="pl-PL"/>
        </w:rPr>
        <w:t xml:space="preserve"> ustawy z dnia 17 lutego 2005 r. o informatyzacji działalności podmiotów realizujących zadania publiczne stosuje się odpowiednio.</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Rada Ministrów określi, w drodze rozporządzenia, sposób, tryb i standardy techniczne tworzenia i prowadzenia zintegrowanego systemu informacji o nieruchomościach oraz treść, formę i sposób przekazywania zawiadomień, o których mowa w ust. 1 pkt 3, mając na uwadze usprawnienie funkcjonowania systemu informacyjnego państwa dotyczącego nieruchomości, przez tworzenie rozwiązań umożliwiających zapewnienie spójności i aktualności danych dotyczących nieruchomości, zawartych w różnych rejestrach publicznych, automatyzację procesów ich aktualizacji, a także jak najszersze wykorzystanie informacji zgromadzonych w tych rejestrach do celów publicznych, oraz uwzględniając stan informatyzacji tych rejestrów.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25.</w:t>
      </w:r>
      <w:r>
        <w:rPr>
          <w:rFonts w:ascii="Times New Roman"/>
          <w:b/>
          <w:i w:val="false"/>
          <w:color w:val="000000"/>
          <w:sz w:val="24"/>
          <w:lang w:val="pl-PL"/>
        </w:rPr>
        <w:t xml:space="preserve"> [Terenowe i krajowe zestawienia zbiorcze danych objętych ewidencją gruntów i budynków]</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Na podstawie danych z ewidencji gruntów i budynków sporządza się terenowe i krajowe zestawienia zbiorcze danych objętych tą ewidencją.</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Starostowie sporządzają gminne i powiatowe zestawienia danych objętych ewidencją gruntów i budynków.</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Główny Geodeta Kraju sporządza, na podstawie zestawień powiatowych, wojewódzkie i krajowe zestawienia zbiorcze danych objętych ewidencją gruntów i budynków.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26.</w:t>
      </w:r>
      <w:r>
        <w:rPr>
          <w:rFonts w:ascii="Times New Roman"/>
          <w:b/>
          <w:i w:val="false"/>
          <w:color w:val="000000"/>
          <w:sz w:val="24"/>
          <w:lang w:val="pl-PL"/>
        </w:rPr>
        <w:t xml:space="preserve"> [Delegacja ustawowa]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Rada Ministrów określi, w drodze rozporządzenia: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urzędową tabelę klas gruntów,</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sposób i tryb przeprowadzania gleboznawczej klasyfikacji gruntów</w:t>
      </w:r>
    </w:p>
    <w:p>
      <w:pPr>
        <w:spacing w:before="25" w:after="0"/>
        <w:ind w:left="0"/>
        <w:jc w:val="left"/>
        <w:textAlignment w:val="auto"/>
      </w:pPr>
      <w:r>
        <w:rPr>
          <w:rFonts w:ascii="Times New Roman"/>
          <w:b w:val="false"/>
          <w:i w:val="false"/>
          <w:color w:val="000000"/>
          <w:sz w:val="24"/>
          <w:lang w:val="pl-PL"/>
        </w:rPr>
        <w:t>- mając na celu wykonanie prawidłowego podziału gleb na klasy bonitacyjne ze względu na ich jakość produkcyjną, ustaloną na podstawie cech genetycznych gleb, oraz zapewnienie prawidłowego poziomu merytorycznego wykonywania gleboznawczej klasyfikacji gruntów.</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Minister właściwy do spraw budownictwa, planowania i zagospodarowania przestrzennego oraz mieszkalnictwa, w porozumieniu z ministrem właściwym do spraw rozwoju wsi, określi, w drodze rozporządzenia, sposób zakładania i prowadzenia ewidencji gruntów i budynków oraz szczegółowy zakres informacji objętych tą ewidencją, sposób i terminy sporządzania powiatowych, wojewódzkich i krajowych zestawień zbiorczych danych objętych tą ewidencją, a także rodzaje budynków i lokali, które nie będą wykazywane w ewidencji, oraz zakres informacji objętych rejestrem cen nieruchomości, zapewniając informację o gruntach, budynkach, lokalach, ich właścicielach oraz o innych osobach fizycznych lub prawnych, władających tymi gruntami, budynkami i lokalami, a także szczegółowe zasady wymiany danych ewidencyjnych.</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Rada Ministrów określi, w drodze rozporządzenia, sposób wykazywania w ewidencji gruntów i budynków danych odnoszących się do gruntów, budynków i lokali, znajdujących się na terenach zamkniętych, a w szczególności wskaże dane przekazywane do ewidencji gruntów i budynków, tryb przekazywania zmian oraz sposób postępowania z dokumentacją geodezyjną i kartograficzną w przypadku ustalenia terenu zamkniętego lub utraty przez teren charakteru zamkniętego, uwzględniając potrzeby obronności i bezpieczeństwa państwa lub potrzeby administracji publicznej.</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5</w:t>
      </w:r>
    </w:p>
    <w:p>
      <w:pPr>
        <w:spacing w:before="25" w:after="0"/>
        <w:ind w:left="0"/>
        <w:jc w:val="center"/>
        <w:textAlignment w:val="auto"/>
      </w:pPr>
      <w:r>
        <w:rPr>
          <w:rFonts w:ascii="Times New Roman"/>
          <w:b/>
          <w:i w:val="false"/>
          <w:color w:val="000000"/>
          <w:sz w:val="24"/>
          <w:lang w:val="pl-PL"/>
        </w:rPr>
        <w:t>Geodezyjna ewidencja sieci uzbrojenia terenu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27.</w:t>
      </w:r>
      <w:r>
        <w:rPr>
          <w:rFonts w:ascii="Times New Roman"/>
          <w:b/>
          <w:i w:val="false"/>
          <w:color w:val="000000"/>
          <w:sz w:val="24"/>
          <w:lang w:val="pl-PL"/>
        </w:rPr>
        <w:t xml:space="preserve"> [Geodezyjna ewidencja sieci uzbrojenia terenu]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Geodezyjna ewidencja sieci uzbrojenia terenu obejmuje informacje o projektowanych, znajdujących się w trakcie budowy oraz istniejących sieciach uzbrojenia terenu, ich usytuowaniu, przeznaczeniu oraz podstawowych parametrach technicznych, a także o podmiotach, które władają tymi sieciami.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Informacje, o których mowa w ust. 1, gromadzi się w postaci: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baz danych geodezyjnej ewidencji sieci uzbrojenia terenu, o których mowa w art. 4 ust. 1a pkt 3;</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dokumentów dotyczących sieci uzbrojenia terenu, utrwalonych na innych niż elektroniczne nośnikach danych.</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 bazach danych geodezyjnej ewidencji sieci uzbrojenia terenu gromadzi się dane dotyczące: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lokalizacji przestrzennej obiektów sieci uzbrojenia terenu, o których mowa w ust. 1, w obowiązującym państwowym systemie odniesień przestrzennych;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charakterystyki tych obiektów.</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Geodezyjną ewidencję sieci uzbrojenia terenu zakładają i prowadzą:</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dla obszaru powiatu - starosta;</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dla obszaru kraju - Główny Geodeta Kraju.</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Minister właściwy do spraw budownictwa, planowania i zagospodarowania przestrzennego oraz mieszkalnictwa określi, w drodze rozporządzenia, szczegółowy zakres danych gromadzonych w powiatowej bazie GESUT i krajowej bazie GESUT, tryb i standardy tworzenia i aktualizacji tych baz oraz udostępniania danych z tych baz, mając na uwadze podstawowe znaczenie tych baz dla infrastruktury informacji przestrzennej, zasadę interoperacyjności, o której mowa w przepisach o infrastrukturze informacji przestrzennej, a także konieczność harmonizacji zbiorów danych tych baz z innymi zbiorami danych, o których mowa w art. 4 ust. 1a.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w:t>
      </w:r>
      <w:r>
        <w:rPr>
          <w:rFonts w:ascii="Times New Roman"/>
          <w:b/>
          <w:i w:val="false"/>
          <w:color w:val="000000"/>
          <w:sz w:val="24"/>
          <w:lang w:val="pl-PL"/>
        </w:rPr>
        <w:t xml:space="preserve"> [Powiatowa baza GESUT]</w:t>
      </w:r>
    </w:p>
    <w:p>
      <w:pPr>
        <w:spacing w:after="0"/>
        <w:ind w:left="0"/>
        <w:jc w:val="left"/>
        <w:textAlignment w:val="auto"/>
      </w:pPr>
      <w:r>
        <w:rPr>
          <w:rFonts w:ascii="Times New Roman"/>
          <w:b w:val="false"/>
          <w:i w:val="false"/>
          <w:color w:val="000000"/>
          <w:sz w:val="24"/>
          <w:lang w:val="pl-PL"/>
        </w:rPr>
        <w:t> Powiatową bazę GESUT starosta zakłada i prowadzi w drodze przetworzenia materiałów źródłowych, będących danymi i informacjami: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zgromadzonymi w państwowym zasobie geodezyjnym i kartograficznym, w szczególności będącymi treścią:</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geodezyjnej ewidencji sieci uzbrojenia terenu,</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mapy zasadniczej oraz innych map wielkoskalowych;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pozyskanymi z innych rejestrów publicznych oraz od podmiotów władających sieciami uzbrojenia terenu.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28a.</w:t>
      </w:r>
      <w:r>
        <w:rPr>
          <w:rFonts w:ascii="Times New Roman"/>
          <w:b/>
          <w:i w:val="false"/>
          <w:color w:val="000000"/>
          <w:sz w:val="24"/>
          <w:lang w:val="pl-PL"/>
        </w:rPr>
        <w:t xml:space="preserve"> [Krajowa baza GESUT]</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Krajową bazę GESUT zakłada i prowadzi Główny Geodeta Kraju w drodze przetworzenia danych i informacji zawartych w powiatowych bazach GESUT lub w innych materiałach, o których mowa w art. 28.</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Krajowa baza GESUT może być zakładana etapami dostosowanymi do rodzajów sieci uzbrojenia terenu lub zasięgu terytorialnego.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28b.</w:t>
      </w:r>
      <w:r>
        <w:rPr>
          <w:rFonts w:ascii="Times New Roman"/>
          <w:b/>
          <w:i w:val="false"/>
          <w:color w:val="000000"/>
          <w:sz w:val="24"/>
          <w:lang w:val="pl-PL"/>
        </w:rPr>
        <w:t xml:space="preserve"> [Narady koordynacyjne organizowane przez starostę]</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Sytuowanie projektowanych sieci uzbrojenia terenu na obszarach miast oraz w pasach drogowych na terenie istniejącej lub projektowanej zwartej zabudowy obszarów wiejskich koordynuje się na naradach koordynacyjnych organizowanych przez starostę.</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Przepisu ust. 1 nie stosuje się do:</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przyłączy;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sieci uzbrojenia terenu sytuowanych wyłącznie w granicach działki budowlanej.</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Po otrzymaniu od inwestora lub projektanta wniosku o skoordynowanie usytuowania projektowanej sieci uzbrojenia terenu wraz z propozycją tego usytuowania przedstawioną na planie sytuacyjnym sporządzonym na kopii aktualnej mapy zasadniczej lub kopii aktualnej mapy do celów projektowych poświadczonej za zgodność z oryginałem przez projektanta, starosta wyznacza sposób, termin i miejsce przeprowadzenia narady koordynacyjnej, o czym zawiadamia: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wnioskodawców;</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podmioty władające sieciami uzbrojenia terenu;</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wójtów (burmistrzów i prezydentów miast), na obszarze właściwości których mają być sytuowane projektowane sieci uzbrojenia terenu;</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inne podmioty, które mogą być zainteresowane rezultatami narady koordynacyjnej, w szczególności zarządzające terenami zamkniętymi, w przypadku sytuowania części projektowanych sieci na tych terenach.</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 przypadku gdy plan sytuacyjny, o którym mowa w ust. 3, ma postać nieelektroniczną, doręcza się go staroście w co najmniej dwóch egzemplarzach.</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Termin narady koordynacyjnej starosta wyznacza na dzień przypadający nie później niż po upływie 14 dni od dnia otrzymania od inwestora lub projektanta planu sytuacyjnego, o którym mowa w ust. 3.</w:t>
      </w:r>
    </w:p>
    <w:p>
      <w:pPr>
        <w:spacing w:before="26" w:after="0"/>
        <w:ind w:left="0"/>
        <w:jc w:val="left"/>
        <w:textAlignment w:val="auto"/>
      </w:pPr>
      <w:r>
        <w:rPr>
          <w:rFonts w:ascii="Times New Roman"/>
          <w:b w:val="false"/>
          <w:i w:val="false"/>
          <w:color w:val="000000"/>
          <w:sz w:val="24"/>
          <w:lang w:val="pl-PL"/>
        </w:rPr>
        <w:t>5a.</w:t>
      </w:r>
      <w:r>
        <w:rPr>
          <w:rFonts w:ascii="Times New Roman"/>
          <w:b w:val="false"/>
          <w:i w:val="false"/>
          <w:color w:val="000000"/>
          <w:sz w:val="24"/>
          <w:lang w:val="pl-PL"/>
        </w:rPr>
        <w:t> W przypadku gdy narada koordynacyjna ma zostać przeprowadzona za pomocą środków komunikacji elektronicznej zamiast terminu narady, o którym mowa w ust. 5, starosta wyznacza termin jej zakończenia, który nie może być krótszy niż 5 dni roboczych i dłuższy niż 10 dni roboczych od dnia dokonania zawiadomienia podmiotów, o których mowa w ust. 3.</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Wraz z zawiadomieniem o naradzie koordynacyjnej starosta przekazuje kopię planu sytuacyjnego, o którym mowa w ust. 3, albo, w przypadku braku technicznych możliwości sporządzenia tej kopii, informację o miejscu i terminie zapoznania się z planem sytuacyjnym.</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Na wniosek inwestora lub projektanta sieci uzbrojenia terenu, podmiotu władającego siecią uzbrojenia terenu lub wójta (burmistrza, prezydenta miasta), uzasadniony w szczególności potrzebą wyeliminowania zagrożeń wynikających z możliwej kolizji między sytuowanymi na tym samym terenie sieciami uzbrojenia terenu, przedmiotem narady koordynacyjnej może być sytuowanie projektowanych sieci uzbrojenia terenu na obszarach innych niż wymienione w ust. 1 lub sytuowanie przyłączy.</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Naradzie koordynacyjnej przewodniczy starosta lub upoważniona przez niego osoba.</w:t>
      </w:r>
    </w:p>
    <w:p>
      <w:pPr>
        <w:spacing w:before="26" w:after="0"/>
        <w:ind w:left="0"/>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Rezultaty narady koordynacyjnej utrwala się w protokole zawierającym:</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określenie sposobu przeprowadzenia narady, miejsce i termin jej odbycia, a w przypadku przeprowadzenia narady z wykorzystaniem środków komunikacji elektronicznej - termin jej zakończenia, oraz znak sprawy zgodny z instrukcją kancelaryjną;</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opis przedmiotu narady;</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imię i nazwisko oraz inne dane identyfikujące wnioskodawcę;</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imię i nazwisko oraz stanowisko służbowe przewodniczącego;</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imiona i nazwiska uczestników oraz oznaczenie podmiotów, które te osoby reprezentują, lub informację o przyczynach uczestnictwa danej osoby w naradzie;</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stanowiska uczestników narady;</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wnioski o koordynację robót budowlanych, o których mowa w </w:t>
      </w:r>
      <w:r>
        <w:rPr>
          <w:rFonts w:ascii="Times New Roman"/>
          <w:b w:val="false"/>
          <w:i w:val="false"/>
          <w:color w:val="1b1b1b"/>
          <w:sz w:val="24"/>
          <w:lang w:val="pl-PL"/>
        </w:rPr>
        <w:t>art. 36a ust. 3 pkt 5 lit. b</w:t>
      </w:r>
      <w:r>
        <w:rPr>
          <w:rFonts w:ascii="Times New Roman"/>
          <w:b w:val="false"/>
          <w:i w:val="false"/>
          <w:color w:val="000000"/>
          <w:sz w:val="24"/>
          <w:lang w:val="pl-PL"/>
        </w:rPr>
        <w:t xml:space="preserve"> ustawy z dnia 7 maja 2010 r. o wspieraniu rozwoju usług i sieci telekomunikacyjnych - o ile zostały złożone;</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informacje o podmiotach zawiadomionych o naradzie, które w niej nie uczestniczyły;</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podpisy uczestników narady.</w:t>
      </w:r>
    </w:p>
    <w:p>
      <w:pPr>
        <w:spacing w:before="26" w:after="0"/>
        <w:ind w:left="0"/>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W przypadku gdy narada koordynacyjna została przeprowadzona za pomocą środków komunikacji elektronicznej, protokół tej narady zawiera, zamiast podpisów wszystkich uczestników tej narady, podpisy jej przewodniczącego, protokolanta oraz innych osób, które osobiście stawiły się na naradzie, a także adnotację o uzgodnieniu treści protokołu z osobami, które uczestniczyły w naradzie wyłącznie za pomocą środków komunikacji elektronicznej.</w:t>
      </w:r>
    </w:p>
    <w:p>
      <w:pPr>
        <w:spacing w:before="26" w:after="0"/>
        <w:ind w:left="0"/>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Odpisy protokołu narady koordynacyjnej wydaje się wnioskodawcy w dniu jej zakończenia, a innym podmiotom zawiadomionym o naradzie - w terminie 3 dni od dnia złożenia żądania w tej sprawie.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28ba.</w:t>
      </w:r>
      <w:r>
        <w:rPr>
          <w:rFonts w:ascii="Times New Roman"/>
          <w:b/>
          <w:i w:val="false"/>
          <w:color w:val="000000"/>
          <w:sz w:val="24"/>
          <w:lang w:val="pl-PL"/>
        </w:rPr>
        <w:t xml:space="preserve"> [Nieobecność na naradzie koordynacyjnej; zgłaszanie zastrzeżeń; dodatkowa narada koordynacyjna]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Nieobecność na naradzie koordynacyjnej podmiotu należycie zawiadomionego o jej miejscu i terminie nie stanowi przeszkody do jej przeprowadzenia. Przyjmuje się, że podmiot ten nie składa zastrzeżeń do usytuowania projektowanej sieci uzbrojenia terenu przedstawionego w planie sytuacyjnym, o którym mowa w art. 28b ust. 3.</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przypadku gdy na naradzie koordynacyjnej jej uczestnicy uzgodnią zmiany w usytuowaniu projektowanej sieci uzbrojenia terenu w stosunku do usytuowania przedstawionego na planie sytuacyjnym, o którym mowa w art. 28b ust. 3, starosta, w terminie 7 dni od dnia przeprowadzenia narady, zawiadamia podmioty, o których mowa w ust. 1, o jej ustaleniach.</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Zmiany, o których mowa w ust. 2, uznaje się za uzgodnione, jeżeli zawiadomione o nich podmioty nie zgłoszą zastrzeżeń w terminie 7 dni od dnia otrzymania zawiadomienia w tej sprawie. Zastrzeżenia zgłoszone w tym terminie staroście i wnioskodawcy mogą podlegać rozpatrzeniu na dodatkowej naradzie koordynacyjnej, o ile wnioskodawca wystąpi o jej przeprowadzenie. Za przeprowadzenie tej narady nie pobiera się opłaty.</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Termin dodatkowej narady koordynacyjnej wyznacza się na dzień przypadający nie później niż po upływie 14 dni od dnia wystąpienia wnioskodawcy o jej przeprowadzenie.</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Do zawiadomienia o terminie dodatkowej narady koordynacyjnej starosta załącza dokument określający treść zastrzeżeń, o których mowa w ust. 3.</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28bb.</w:t>
      </w:r>
      <w:r>
        <w:rPr>
          <w:rFonts w:ascii="Times New Roman"/>
          <w:b/>
          <w:i w:val="false"/>
          <w:color w:val="000000"/>
          <w:sz w:val="24"/>
          <w:lang w:val="pl-PL"/>
        </w:rPr>
        <w:t xml:space="preserve"> [Doręczanie zawiadomień o uzgodnieniu zmian w usytuowaniu projektowanej sieci uzbrojenia terenu w stosunku do usytuowania przedstawionego na planie sytuacyjnym]</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Zawiadomienia, o których mowa w art. 28b ust. 3 oraz art. 28ba ust. 2 i 5, doręcza się za pomocą środków komunikacji elektronicznej w rozumieniu przepisów </w:t>
      </w:r>
      <w:r>
        <w:rPr>
          <w:rFonts w:ascii="Times New Roman"/>
          <w:b w:val="false"/>
          <w:i w:val="false"/>
          <w:color w:val="1b1b1b"/>
          <w:sz w:val="24"/>
          <w:lang w:val="pl-PL"/>
        </w:rPr>
        <w:t>ustawy</w:t>
      </w:r>
      <w:r>
        <w:rPr>
          <w:rFonts w:ascii="Times New Roman"/>
          <w:b w:val="false"/>
          <w:i w:val="false"/>
          <w:color w:val="000000"/>
          <w:sz w:val="24"/>
          <w:lang w:val="pl-PL"/>
        </w:rPr>
        <w:t xml:space="preserve"> z dnia 18 lipca 2002 r. o świadczeniu usług drogą elektroniczną, jeżeli została wyrażona pisemna zgoda na doręczanie pism za pomocą środków komunikacji elektronicznej wraz ze wskazaniem adresu elektronicznego.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przypadku wyrażenia zgody, o której mowa w ust. 1, dowodem doręczenia zawiadomień, o których mowa w art. 28b ust. 3 oraz art. 28ba ust. 2 i 5, jest potwierdzenie transmisji danych.</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Podmiot, który wyraził zgodę, o której mowa w ust. 1, może w każdym czasie zażądać doręczania zawiadomień, o których mowa w art. 28b ust. 3 oraz art. 28ba ust. 2 i 5, na piśmie.</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Do doręczania zawiadomień w sposób inny niż określony w ust. 1 stosuje się odpowiednio przepisy </w:t>
      </w:r>
      <w:r>
        <w:rPr>
          <w:rFonts w:ascii="Times New Roman"/>
          <w:b w:val="false"/>
          <w:i w:val="false"/>
          <w:color w:val="1b1b1b"/>
          <w:sz w:val="24"/>
          <w:lang w:val="pl-PL"/>
        </w:rPr>
        <w:t>działu I rozdziału 8</w:t>
      </w:r>
      <w:r>
        <w:rPr>
          <w:rFonts w:ascii="Times New Roman"/>
          <w:b w:val="false"/>
          <w:i w:val="false"/>
          <w:color w:val="000000"/>
          <w:sz w:val="24"/>
          <w:lang w:val="pl-PL"/>
        </w:rPr>
        <w:t xml:space="preserve"> Kodeksu postępowania administracyjnego.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28c.</w:t>
      </w:r>
      <w:r>
        <w:rPr>
          <w:rFonts w:ascii="Times New Roman"/>
          <w:b/>
          <w:i w:val="false"/>
          <w:color w:val="000000"/>
          <w:sz w:val="24"/>
          <w:lang w:val="pl-PL"/>
        </w:rPr>
        <w:t xml:space="preserve"> [Dokumentacja projektowa będąca przedmiotem narady koordynacyjnej]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Na dokumentacji projektowej będącej przedmiotem narady koordynacyjnej zamieszcza się adnotację zawierającą informację, iż ta dokumentacja była przedmiotem narady koordynacyjnej, oraz dane, o których mowa w art. 28b ust. 9 pkt 1.</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Adnotację sporządza przewodniczący narady, potwierdzając ją swoim podpisem.</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Adnotację sporządza się w dniu zakończenia narady. Jeżeli przewodniczący narady nie sporządzi adnotacji w dniu jej zakończenia, adnotację na dokumentacji projektowej zamieszcza projektant.</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28d.</w:t>
      </w:r>
      <w:r>
        <w:rPr>
          <w:rFonts w:ascii="Times New Roman"/>
          <w:b/>
          <w:i w:val="false"/>
          <w:color w:val="000000"/>
          <w:sz w:val="24"/>
          <w:lang w:val="pl-PL"/>
        </w:rPr>
        <w:t xml:space="preserve"> [Projektowane sieci uzbrojenia terenu sytuowanych w całości lub w części w granicach terenu zamkniętego]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Przepisów art. 28a-28c nie stosuje się do projektowanych sieci uzbrojenia terenu sytuowanych w całości w granicach terenu zamkniętego lub części takich sieci sytuowanych w granicach terenu zamkniętego. O usytuowaniu sieci lub ich części położonych w granicach terenu zamkniętego decyduje projektant w uzgodnieniu z podmiotem, który zarządza terenem zamkniętym.</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Uzgodnienie, o którym mowa w ust. 1, odbywa się na wniosek projektanta lub inwestora, kierowany do podmiotu, który zarządza terenem zamkniętym.</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Podmiot, który zarządza terenem zamkniętym, jest obowiązany wyznaczyć, w terminie 7 dni od dnia otrzymania wniosku, swojego przedstawiciela i termin spotkania uzgodnieniowego.</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Uzgodnienie, o którym mowa w ust. 1, powinno nastąpić w terminie 30 dni od dnia otrzymania wniosku.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28e.</w:t>
      </w:r>
      <w:r>
        <w:rPr>
          <w:rFonts w:ascii="Times New Roman"/>
          <w:b/>
          <w:i w:val="false"/>
          <w:color w:val="000000"/>
          <w:sz w:val="24"/>
          <w:lang w:val="pl-PL"/>
        </w:rPr>
        <w:t xml:space="preserve"> [Obowiązek współdziałania podmiotów władających sieciami uzbrojenia terenu ze starostami]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Podmioty, które władają sieciami uzbrojenia terenu, są obowiązane do współdziałania ze starostami w procesie zakładania i prowadzenia geodezyjnej ewidencji sieci uzbrojenia terenu. W szczególności podmioty te są obowiązane do:</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wydania opinii co do zgodności treści utworzonej przez starostę inicjalnej bazy danych ze stanem wynikającym z dokumentacji prowadzonej przez te podmioty, w tym wskazania ewentualnych nieprawidłowości w treści tej bazy;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delegowania swoich przedstawicieli na narady koordynacyjne.</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przypadku niewydania opinii, o której mowa w ust. 1 pkt 1, w terminie 60 dni od dnia udostępnienia treści inicjalnej bazy danych podmiotowi, który włada siecią uzbrojenia terenu, treści te uznaje się za uzgodnione z tym podmiotem.</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Na uzasadniony wniosek podmiotu zobowiązanego do wydania opinii, o której mowa w ust. 1 pkt 1, starosta może wydłużyć termin, o którym mowa w ust. 2, do 90 dni.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28f.</w:t>
      </w:r>
      <w:r>
        <w:rPr>
          <w:rFonts w:ascii="Times New Roman"/>
          <w:b/>
          <w:i w:val="false"/>
          <w:color w:val="000000"/>
          <w:sz w:val="24"/>
          <w:lang w:val="pl-PL"/>
        </w:rPr>
        <w:t xml:space="preserve"> [Decyzja o wyłączeniu z geodezyjnej ewidencji sieci uzbrojenia terenu danych o sieciach uzbrojenia terenu]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Na wniosek podmiotu władającego siecią uzbrojenia terenu starosta wydaje decyzję administracyjną o wyłączeniu z geodezyjnej ewidencji sieci uzbrojenia terenu danych o sieciach uzbrojenia terenu, które są wykorzystywane wyłącznie przez ten podmiot i są położone na gruntach znajdujących się w wyłącznym władaniu tego podmiotu, oraz o bezpłatnym udostępnieniu temu podmiotowi danych, dotyczących tych sieci, zgromadzonych w państwowym zasobie geodezyjnym i kartograficznym.</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Z dniem określonym w decyzji, o której mowa w ust. 1, podmiot władający siecią uzbrojenia terenu przejmuje na siebie obowiązki: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nieodpłatnego udzielania, na wniosek projektanta lub wykonawcy mapy do celów projektowych, informacji dotyczących wyłączonych sieci uzbrojenia terenu, jeżeli takie dane są niezbędne projektantowi do opracowania projektu budowlanego.</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28g.</w:t>
      </w:r>
      <w:r>
        <w:rPr>
          <w:rFonts w:ascii="Times New Roman"/>
          <w:b/>
          <w:i w:val="false"/>
          <w:color w:val="000000"/>
          <w:sz w:val="24"/>
          <w:lang w:val="pl-PL"/>
        </w:rPr>
        <w:t xml:space="preserve"> [Przekazanie staroście zbiorów danych dotyczących sieci uzbrojenia terenu objętych decyzją o wyłączeniu z geodezyjnej ewidencji sieci uzbrojenia terenu danych o sieciach uzbrojenia terenu w przypadku zakończenia działalności gospodarczej]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 przypadku zakończenia działalności gospodarczej podmiot, który otrzymał decyzję, o której mowa w art. 28f ust. 1, niezwłocznie i nieodpłatnie przekaże staroście odpowiednie zbiory danych dotyczące sieci uzbrojenia terenu objętych tą decyzją oraz związaną z tymi zbiorami danych dokumentację geodezyjną.</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Przepis ust. 1 stosuje się odpowiednio w przypadku:</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przekształcenia wewnętrznych sieci technologicznych na sieci publiczne;</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zniesienia terenu zamkniętego.</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6</w:t>
      </w:r>
    </w:p>
    <w:p>
      <w:pPr>
        <w:spacing w:before="25" w:after="0"/>
        <w:ind w:left="0"/>
        <w:jc w:val="center"/>
        <w:textAlignment w:val="auto"/>
      </w:pPr>
      <w:r>
        <w:rPr>
          <w:rFonts w:ascii="Times New Roman"/>
          <w:b/>
          <w:i w:val="false"/>
          <w:color w:val="000000"/>
          <w:sz w:val="24"/>
          <w:lang w:val="pl-PL"/>
        </w:rPr>
        <w:t>Rozgraniczanie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29.</w:t>
      </w:r>
      <w:r>
        <w:rPr>
          <w:rFonts w:ascii="Times New Roman"/>
          <w:b/>
          <w:i w:val="false"/>
          <w:color w:val="000000"/>
          <w:sz w:val="24"/>
          <w:lang w:val="pl-PL"/>
        </w:rPr>
        <w:t xml:space="preserve"> [Model postępowania rozgraniczeniowego; właściwość organów]</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Rozgraniczenie nieruchomości ma na celu ustalenie przebiegu ich granic przez określenie położenia punktów i linii granicznych, utrwalenie tych punktów znakami granicznymi na gruncie oraz sporządzenie odpowiednich dokumentów.</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Rozgraniczeniu podlegają, w miarę potrzeby, wszystkie albo niektóre granice określonej nieruchomości z przyległymi nieruchomościami lub innymi gruntami.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Rozgraniczenia nieruchomości dokonują wójtowie (burmistrzowie, prezydenci miast) oraz, w wypadkach określonych w ustawie, sądy.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30.</w:t>
      </w:r>
      <w:r>
        <w:rPr>
          <w:rFonts w:ascii="Times New Roman"/>
          <w:b/>
          <w:i w:val="false"/>
          <w:color w:val="000000"/>
          <w:sz w:val="24"/>
          <w:lang w:val="pl-PL"/>
        </w:rPr>
        <w:t xml:space="preserve"> [Wszczęcie postępowania rozgraniczeniowego]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Wójtowie (burmistrzowie, prezydenci miast) przeprowadzają rozgraniczenie nieruchomości z urzędu lub na wniosek strony.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Postępowanie o rozgraniczenie nieruchomości przeprowadza się z urzędu przy scaleniu gruntów, a także jeżeli jest brak wniosku strony, a potrzeby gospodarki narodowej lub interes społeczny uzasadniają przeprowadzenie rozgraniczenia.</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Postanowienie o wszczęciu postępowania w sprawie scalenia gruntów zastępuje postanowienie o wszczęciu postępowania o rozgraniczenie nieruchomości.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Na postanowienie o wszczęciu postępowania o rozgraniczenie nieruchomości nie służy zażalenie.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31.</w:t>
      </w:r>
      <w:r>
        <w:rPr>
          <w:rFonts w:ascii="Times New Roman"/>
          <w:b/>
          <w:i w:val="false"/>
          <w:color w:val="000000"/>
          <w:sz w:val="24"/>
          <w:lang w:val="pl-PL"/>
        </w:rPr>
        <w:t xml:space="preserve"> [Podstawy rozgraniczenia; ugoda graniczna]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Czynności ustalania przebiegu granic wykonuje geodeta upoważniony przez wójta (burmistrza, prezydenta miasta)</w:t>
      </w:r>
      <w:r>
        <w:rPr>
          <w:rFonts w:ascii="Times New Roman"/>
          <w:b w:val="false"/>
          <w:i/>
          <w:color w:val="000000"/>
          <w:sz w:val="24"/>
          <w:lang w:val="pl-PL"/>
        </w:rPr>
        <w:t>.</w:t>
      </w:r>
      <w:r>
        <w:rPr>
          <w:rFonts w:ascii="Times New Roman"/>
          <w:b w:val="false"/>
          <w:i w:val="false"/>
          <w:color w:val="000000"/>
          <w:sz w:val="24"/>
          <w:lang w:val="pl-PL"/>
        </w:rPr>
        <w:t xml:space="preserve"> </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Przy ustalaniu przebiegu granic bierze się pod uwagę znaki i ślady graniczne, mapy i inne dokumenty oraz punkty osnowy geodezyjnej.</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Jeżeli jest brak danych, o których mowa w ust. 2, lub są one niewystarczające albo sprzeczne, ustala się przebieg granicy na podstawie zgodnego oświadczenia stron lub jednej strony, gdy druga strona w toku postępowania oświadczenia nie składa i nie kwestionuje przebiegu granicy.</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 razie sporu co do przebiegu linii granicznych, geodeta nakłania strony do zawarcia ugody. Ugoda zawarta przed geodetą posiada moc ugody sądowej.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32.</w:t>
      </w:r>
      <w:r>
        <w:rPr>
          <w:rFonts w:ascii="Times New Roman"/>
          <w:b/>
          <w:i w:val="false"/>
          <w:color w:val="000000"/>
          <w:sz w:val="24"/>
          <w:lang w:val="pl-PL"/>
        </w:rPr>
        <w:t xml:space="preserve"> [Wezwanie do stawienia się na gruncie; protokół graniczny lub akt ugody]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Wezwanie do stawienia się na gruncie doręcza się stronom za zwrotnym poświadczeniem odbioru, nie później niż 7 dni przed wyznaczonym terminem.</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wezwaniu należy poinformować strony o skutkach niestawiennictwa.</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Nieusprawiedliwione niestawiennictwo stron nie wstrzymuje czynności geodety.</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 razie usprawiedliwionego niestawiennictwa strony, geodeta wstrzymuje czynności do czasu ustania przeszkody lub wyznaczenia pełnomocnika - nie dłużej jednak niż na okres jednego miesiąca.</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Z czynności ustalenia przebiegu granic sporządza się protokół graniczny lub akt ugody.</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Minister właściwy do spraw budownictwa, planowania i zagospodarowania przestrzennego oraz mieszkalnictwa, w porozumieniu z ministrem właściwym do spraw rozwoju wsi, określi, w drodze rozporządzenia, szczegółowe zasady rozgraniczania nieruchomości, określając w szczególności rodzaje dokumentów stanowiących podstawę ustalania przebiegu granic oraz sposób i tryb wykonywania przez geodetę czynności ustalania przebiegu granic i sporządzania dokumentacji przy rozgraniczaniu nieruchomości, mając na względzie dążenie do ugodowego rozstrzygnięcia sporu oraz poszanowanie prawa własności nieruchomości uczestników postępowania.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33.</w:t>
      </w:r>
      <w:r>
        <w:rPr>
          <w:rFonts w:ascii="Times New Roman"/>
          <w:b/>
          <w:i w:val="false"/>
          <w:color w:val="000000"/>
          <w:sz w:val="24"/>
          <w:lang w:val="pl-PL"/>
        </w:rPr>
        <w:t xml:space="preserve"> [Decyzja o rozgraniczeniu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Wójt (burmistrz, prezydent miasta) wydaje decyzję o rozgraniczeniu nieruchomości, jeżeli zainteresowani właściciele nieruchomości nie zawarli ugody, a ustalenie przebiegu granicy nastąpiło na podstawie zebranych dowodów lub zgodnego oświadczenia stron.</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Wydanie decyzji poprzedza: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dokonanie przez wójta, burmistrza (prezydenta miasta) oceny prawidłowości wykonania czynności ustalenia przebiegu granic nieruchomości przez upoważnionego geodetę oraz zgodności sporządzonych dokumentów z przepisami; w wypadku stwierdzenia wadliwego wykonania czynności upoważnionemu geodecie zwraca się dokumentację do poprawy i uzupełnienia;</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włączenie dokumentacji technicznej do państwowego zasobu geodezyjnego i kartograficznego.</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Strona niezadowolona z ustalenia przebiegu granicy może żądać, w terminie 14 dni od dnia doręczenia jej decyzji w tej sprawie, przekazania sprawy sądowi.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34.</w:t>
      </w:r>
      <w:r>
        <w:rPr>
          <w:rFonts w:ascii="Times New Roman"/>
          <w:b/>
          <w:i w:val="false"/>
          <w:color w:val="000000"/>
          <w:sz w:val="24"/>
          <w:lang w:val="pl-PL"/>
        </w:rPr>
        <w:t xml:space="preserve"> [Decyzja administracyjna o umorzeniu postępowania rozgraniczeniowego i przekazaniu sprawy sądowi]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Jeżeli w razie sporu co do przebiegu linii granicznych nie dojdzie do zawarcia ugody lub nie ma podstaw do wydania decyzji, o której mowa w art. 33 ust. 1, upoważniony geodeta tymczasowo utrwala punkty graniczne według ostatniego stanu spokojnego posiadania, dokumentów i wskazań stron, oznacza je na szkicu granicznym, sporządza opinię i całość dokumentacji przekazuje właściwemu wójtowi (burmistrzowi, prezydentowi miasta)</w:t>
      </w:r>
      <w:r>
        <w:rPr>
          <w:rFonts w:ascii="Times New Roman"/>
          <w:b w:val="false"/>
          <w:i/>
          <w:color w:val="000000"/>
          <w:sz w:val="24"/>
          <w:lang w:val="pl-PL"/>
        </w:rPr>
        <w:t>.</w:t>
      </w:r>
      <w:r>
        <w:rPr>
          <w:rFonts w:ascii="Times New Roman"/>
          <w:b w:val="false"/>
          <w:i w:val="false"/>
          <w:color w:val="000000"/>
          <w:sz w:val="24"/>
          <w:lang w:val="pl-PL"/>
        </w:rPr>
        <w:t xml:space="preserve"> </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Organ, o którym mowa w ust. 1, umarza postępowanie administracyjne i przekazuje sprawę z urzędu do rozpatrzenia sądowi.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Sąd rozpatruje sprawy o rozgraniczenie nieruchomości w trybie postępowania nieprocesowego.</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Przepisów ust. 1-3 i art. 31 ust. 4 nie stosuje się do sporów wynikłych przy wyznaczaniu granic nowo tworzonych nieruchomości na podstawie odrębnych przepisów.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35.</w:t>
      </w:r>
      <w:r>
        <w:rPr>
          <w:rFonts w:ascii="Times New Roman"/>
          <w:b/>
          <w:i w:val="false"/>
          <w:color w:val="000000"/>
          <w:sz w:val="24"/>
          <w:lang w:val="pl-PL"/>
        </w:rPr>
        <w:t xml:space="preserve"> [Rozgraniczenie podczas scalenia]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Na obszarach objętych postępowaniem scaleniowym sprawy sporne związane z ustaleniem przebiegu granic nieruchomości rozstrzyga organ prowadzący to postępowanie, stosując odpowiednio przepisy o rozgraniczaniu nieruchomości.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Sprawy o rozgraniczenie nieruchomości, toczące się przed organami administracji państwowej po wszczęciu postępowania scaleniowego, są rozpatrywane w ramach tego postępowania.</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Decyzja o scaleniu gruntów, wydana w trybie określonym w ust. 1, zastępuje decyzję o rozgraniczeniu nieruchomości.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 wypadku umorzenia postępowania scaleniowego sprawy, o których mowa w ust. 2, są prowadzone przy zastosowaniu przepisów o rozgraniczaniu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36.</w:t>
      </w:r>
      <w:r>
        <w:rPr>
          <w:rFonts w:ascii="Times New Roman"/>
          <w:b/>
          <w:i w:val="false"/>
          <w:color w:val="000000"/>
          <w:sz w:val="24"/>
          <w:lang w:val="pl-PL"/>
        </w:rPr>
        <w:t xml:space="preserve"> [Rozgraniczenie bezpośrednio przed sądem z pominięciem etapu administracyjnego]</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Sąd, przed którym toczy się sprawa o własność lub o wydanie nieruchomości albo jej części, jest właściwy również do przeprowadzenia rozgraniczenia, jeżeli ustalenie przebiegu granic jest potrzebne do rozstrzygnięcia rozpatrywanej sprawy. W tym wypadku sąd w orzeczeniu zamieszcza również rozstrzygnięcie o rozgraniczeniu nieruchomości.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37.</w:t>
      </w:r>
      <w:r>
        <w:rPr>
          <w:rFonts w:ascii="Times New Roman"/>
          <w:b/>
          <w:i w:val="false"/>
          <w:color w:val="000000"/>
          <w:sz w:val="24"/>
          <w:lang w:val="pl-PL"/>
        </w:rPr>
        <w:t xml:space="preserve"> [Wykonalność orzeczeń sądowych o rozgraniczeniu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Wykonanie orzeczeń sądowych o rozgraniczeniu nieruchomości odbywa się z udziałem geodety.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Prawomocne orzeczenia i ostateczne decyzje ustalające przebieg granic nieruchomości sąd lub organ rozstrzygający przesyła z urzędu w terminie 30 dni do sądów rejonowych właściwych do prowadzenia ksiąg wieczystych i do właściwych starostów, w celu ujawnienia ich w księgach wieczystych oraz w ewidencji gruntów i budynków.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38.</w:t>
      </w:r>
      <w:r>
        <w:rPr>
          <w:rFonts w:ascii="Times New Roman"/>
          <w:b/>
          <w:i w:val="false"/>
          <w:color w:val="000000"/>
          <w:sz w:val="24"/>
          <w:lang w:val="pl-PL"/>
        </w:rPr>
        <w:t xml:space="preserve"> [Ochrona znaków granicznych]</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Właściciele lub inne osoby władające nieruchomościami (gruntami) są obowiązane do ochrony znaków granicznych.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39.</w:t>
      </w:r>
      <w:r>
        <w:rPr>
          <w:rFonts w:ascii="Times New Roman"/>
          <w:b/>
          <w:i w:val="false"/>
          <w:color w:val="000000"/>
          <w:sz w:val="24"/>
          <w:lang w:val="pl-PL"/>
        </w:rPr>
        <w:t xml:space="preserve"> [Wznowienie znaków granicznych]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Przesunięte, uszkodzone lub zniszczone znaki graniczne, ustalone uprzednio, mogą być wznowione bez przeprowadzenia postępowania rozgraniczeniowego, jeżeli istnieją dokumenty pozwalające na określenie ich pierwotnego położenia. Jeżeli jednak wyniknie spór co do położenia znaków, strony mogą wystąpić do sądu o rozstrzygnięcie sprawy.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Wznowienia znaków granicznych dokonują, na zlecenie zainteresowanych, podmioty, o których mowa w art. 11.</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 czynnościach wznowienia znaków granicznych zawiadamia się zainteresowane strony. Do zawiadomień stosuje się przepisy art. 32 ust. 1-4.</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Z czynności wznowienia znaków granicznych sporządza się protokół.</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Przepisy ust. 1-4 stosuje się odpowiednio przy wyznaczaniu punktów granicznych ujawnionych uprzednio w ewidencji gruntów i budynków.</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7</w:t>
      </w:r>
    </w:p>
    <w:p>
      <w:pPr>
        <w:spacing w:before="25" w:after="0"/>
        <w:ind w:left="0"/>
        <w:jc w:val="center"/>
        <w:textAlignment w:val="auto"/>
      </w:pPr>
      <w:r>
        <w:rPr>
          <w:rFonts w:ascii="Times New Roman"/>
          <w:b/>
          <w:i w:val="false"/>
          <w:color w:val="000000"/>
          <w:sz w:val="24"/>
          <w:lang w:val="pl-PL"/>
        </w:rPr>
        <w:t>Państwowy zasób geodezyjny i kartograficzny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40.</w:t>
      </w:r>
      <w:r>
        <w:rPr>
          <w:rFonts w:ascii="Times New Roman"/>
          <w:b/>
          <w:i w:val="false"/>
          <w:color w:val="000000"/>
          <w:sz w:val="24"/>
          <w:lang w:val="pl-PL"/>
        </w:rPr>
        <w:t xml:space="preserve"> [Organizacja państwowego zasobu geodezyjnego i kartograficznego]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Państwowy zasób geodezyjny i kartograficzny służy gospodarce narodowej, obronności państwa, ochronie bezpieczeństwa i porządku publicznego, nauce, kulturze, ochronie przyrody i potrzebom obywateli.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Państwowy zasób geodezyjny i kartograficzny, składający się z centralnego zasobu geodezyjnego i kartograficznego, wojewódzkich zasobów geodezyjnych i kartograficznych oraz powiatowych zasobów geodezyjnych i kartograficznych, stanowi własność Skarbu Państwa i jest gromadzony w ośrodkach dokumentacji geodezyjnej i kartograficznej.</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Przekazywanie i wymiana danych oraz materiałów geodezyjnych i kartograficznych między organami Służby Geodezyjnej i Kartograficznej odbywa się nieodpłatnie w zakresie niezbędnym do realizacji zadań tych organów określonych w ustawie.</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Prowadzenie państwowego zasobu geodezyjnego i kartograficznego oraz weryfikacja opracowań przyjmowanych do zasobu należy do:</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Głównego Geodety Kraju - w zakresie centralnego zasobu geodezyjnego i kartograficznego;</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marszałków województw - w zakresie wojewódzkich zasobów geodezyjnych i kartograficznych;</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starostów - w zakresie powiatowych zasobów geodezyjnych i kartograficznych.</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Nadzór nad prowadzeniem państwowego zasobu geodezyjnego i kartograficznego należy do Głównego Geodety Kraju, a w zakresie wojewódzkich zasobów geodezyjnych i kartograficznych oraz powiatowych zasobów geodezyjnych i kartograficznych, także do wojewódzkich inspektorów nadzoru geodezyjnego i kartograficznego.</w:t>
      </w:r>
    </w:p>
    <w:p>
      <w:pPr>
        <w:spacing w:before="26" w:after="0"/>
        <w:ind w:left="0"/>
        <w:jc w:val="left"/>
        <w:textAlignment w:val="auto"/>
      </w:pPr>
      <w:r>
        <w:rPr>
          <w:rFonts w:ascii="Times New Roman"/>
          <w:b w:val="false"/>
          <w:i w:val="false"/>
          <w:color w:val="000000"/>
          <w:sz w:val="24"/>
          <w:lang w:val="pl-PL"/>
        </w:rPr>
        <w:t>3b.</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3c.</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3d.</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3e.</w:t>
      </w:r>
      <w:r>
        <w:rPr>
          <w:rFonts w:ascii="Times New Roman"/>
          <w:b w:val="false"/>
          <w:i w:val="false"/>
          <w:color w:val="000000"/>
          <w:sz w:val="24"/>
          <w:lang w:val="pl-PL"/>
        </w:rPr>
        <w:t> Główny Geodeta Kraju, we współpracy z innymi podmiotami realizującymi zadania publiczne, utrzymuje i rozbudowuje system teleinformatyczny umożliwiający dostęp do danych przestrzennych pozwalający w szczególności na: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udostępnienie interoperacyjnych zbiorów i usług związanych z państwowym zasobem geodezyjnym i kartograficznym;</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udostępnienie interfejsu komunikacyjnego łączącego infrastrukturę teleinformatyczną państwowego zasobu geodezyjnego i kartograficznego z systemami teleinformatycznymi podmiotów realizujących zadania publiczne za pomocą interoperacyjnych zbiorów i usług związanych z państwowym zasobem geodezyjnym i kartograficznym;</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integrację danych i usług państwowego zasobu geodezyjnego i kartograficznego ze zbiorami i usługami utrzymywanymi przez podmioty, o których mowa w pkt 2, a także przetwarzanie połączonych i udostępnionych zbiorów danych oraz dokonywanie na nich analiz przestrzennych;</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zapewnienie dostępności i ciągłości działania systemu odpowiedzialnego za udostępnienie danych i usług państwowego zasobu geodezyjnego i kartograficznego.</w:t>
      </w:r>
    </w:p>
    <w:p>
      <w:pPr>
        <w:spacing w:before="26" w:after="0"/>
        <w:ind w:left="0"/>
        <w:jc w:val="left"/>
        <w:textAlignment w:val="auto"/>
      </w:pPr>
      <w:r>
        <w:rPr>
          <w:rFonts w:ascii="Times New Roman"/>
          <w:b w:val="false"/>
          <w:i w:val="false"/>
          <w:color w:val="000000"/>
          <w:sz w:val="24"/>
          <w:lang w:val="pl-PL"/>
        </w:rPr>
        <w:t>3f.</w:t>
      </w:r>
      <w:r>
        <w:rPr>
          <w:rFonts w:ascii="Times New Roman"/>
          <w:b w:val="false"/>
          <w:i w:val="false"/>
          <w:color w:val="000000"/>
          <w:sz w:val="24"/>
          <w:lang w:val="pl-PL"/>
        </w:rPr>
        <w:t> Utrzymanie, rozbudowa i modyfikacje systemu, o którym mowa w ust. 3e, są finansowane z budżetu państwa z części, której dysponentem jest minister właściwy do spraw budownictwa, planowania i zagospodarowania przestrzennego oraz mieszkalnictwa.</w:t>
      </w:r>
    </w:p>
    <w:p>
      <w:pPr>
        <w:spacing w:before="26" w:after="0"/>
        <w:ind w:left="0"/>
        <w:jc w:val="left"/>
        <w:textAlignment w:val="auto"/>
      </w:pPr>
      <w:r>
        <w:rPr>
          <w:rFonts w:ascii="Times New Roman"/>
          <w:b w:val="false"/>
          <w:i w:val="false"/>
          <w:color w:val="000000"/>
          <w:sz w:val="24"/>
          <w:lang w:val="pl-PL"/>
        </w:rPr>
        <w:t>3g.</w:t>
      </w:r>
      <w:r>
        <w:rPr>
          <w:rFonts w:ascii="Times New Roman"/>
          <w:b w:val="false"/>
          <w:i w:val="false"/>
          <w:color w:val="000000"/>
          <w:sz w:val="24"/>
          <w:lang w:val="pl-PL"/>
        </w:rPr>
        <w:t> Organ Służby Geodezyjnej i Kartograficznej opatruje klauzulą urzędową:</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materiały i zbiory danych przyjmowane do państwowego zasobu geodezyjnego i kartograficznego;</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materiały zasobu udostępniane na wniosek oraz w związku ze zgłoszeniem prac lub jego uzupełnieniem;</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dokumenty i materiały przeznaczone dla podmiotu, na rzecz którego wykonawca prac geodezyjnych wykonał prace geodezyjne.</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Materiały z państwowego zasobu geodezyjnego i kartograficznego, które utraciły przydatność użytkową, podlegają wyłączeniu z tego zasobu, przy czym ta część, która stanowi materiały archiwalne, jest przekazywana do właściwych archiwów państwowych.</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Minister właściwy do spraw budownictwa, planowania i zagospodarowania przestrzennego oraz mieszkalnictwa określi, w drodze rozporządzeń:</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 porozumieniu z ministrem właściwym do spraw rozwoju wsi:</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(uchylona),</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(utraciła moc);</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 porozumieniu z ministrem właściwym do spraw kultury i ochrony dziedzictwa narodowego, szczegółowy sposób klasyfikowania i kwalifikowania materiałów przeznaczonych do wyłączania z państwowego zasobu geodezyjnego i kartograficznego, a także sposób ich porządkowania i tryb wyłączania z zasobu, uwzględniając przydatność użytkową w zakresie geodezji i kartografii oraz posiadaną wartość historyczną;</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 porozumieniu z zainteresowanymi ministrami, szczegółowe zasady i tryb założenia i prowadzenia krajowego systemu informacji o terenie, zakres danych zawartych w systemie, szczegółowy tryb zakładania, prowadzenia i przetwarzania danych systemu oraz ewidencjonowania lokalnych systemów informacji o terenie, uwzględniając konieczność systematycznego gromadzenia, aktualizowania i udostępniania danych systemu oraz zasady współpracy organów administracji publicznej i innych podmiotów współtworzących system.</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Minister właściwy do spraw budownictwa, planowania i zagospodarowania przestrzennego oraz mieszkalnictwa określi, w drodze rozporządzenia, organizację i tryb prowadzenia państwowego zasobu geodezyjnego i kartograficznego, w tym:</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rodzaje materiałów i zbiorów danych gromadzonych odpowiednio w centralnym zasobie geodezyjnym i kartograficznym, wojewódzkim zasobie geodezyjnym i kartograficznym oraz powiatowym zasobie geodezyjnym i kartograficznym,</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sposób i tryb pozyskiwania, ewidencjonowania, przechowywania i zabezpieczania materiałów i zbiorów danych,</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sposób i tryb udostępniania materiałów i zbiorów danych,</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wzory klauzul urzędowych, o których mowa w ust. 3g,</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tryb wymiany danych między centralnym zasobem geodezyjnym i kartograficznym, wojewódzkim zasobem geodezyjnym i kartograficznym i powiatowym zasobem geodezyjnym i kartograficznym oraz między bazami danych zasobu a wykonawcami prac geodezyjnych lub prac kartograficznych,</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tryb wyłączania materiałów i zbiorów danych z zasobu oraz sposób ich przekazywania do właściwych archiwów państwowych</w:t>
      </w:r>
    </w:p>
    <w:p>
      <w:pPr>
        <w:spacing w:before="25" w:after="0"/>
        <w:ind w:left="0"/>
        <w:jc w:val="left"/>
        <w:textAlignment w:val="auto"/>
      </w:pPr>
      <w:r>
        <w:rPr>
          <w:rFonts w:ascii="Times New Roman"/>
          <w:b w:val="false"/>
          <w:i w:val="false"/>
          <w:color w:val="000000"/>
          <w:sz w:val="24"/>
          <w:lang w:val="pl-PL"/>
        </w:rPr>
        <w:t>- mając na uwadze szczególne znaczenie zbiorów danych gromadzonych w państwowym zasobie geodezyjnym i kartograficznym dla infrastruktury informacji przestrzennej, a także potrzebę sprawnego funkcjonowania ośrodków dokumentacji geodezyjnej i kartograficznej i sprawnego udostępniania gromadzonych materiałów i zbiorów danych.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40a.</w:t>
      </w:r>
      <w:r>
        <w:rPr>
          <w:rFonts w:ascii="Times New Roman"/>
          <w:b/>
          <w:i w:val="false"/>
          <w:color w:val="000000"/>
          <w:sz w:val="24"/>
          <w:lang w:val="pl-PL"/>
        </w:rPr>
        <w:t xml:space="preserve"> [Opłata za udostępnianie materiałów z państwowego zasobu geodezyjnego i kartograficznego; zwolnienie z opłaty]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Organy prowadzące państwowy zasób geodezyjny i kartograficzny udostępniają materiały zasobu odpłatnie.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Nie pobiera się opłaty za: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udostępnianie zbiorów danych:</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państwowego rejestru granic i powierzchni jednostek podziałów terytorialnych kraju,</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państwowego rejestru nazw geograficznych,</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zawartych w bazie danych obiektów ogólnogeograficznych o szczegółowości zapewniającej tworzenie standardowych opracowań kartograficznych w skalach 1:250 000 i mniejszych,</w:t>
      </w:r>
    </w:p>
    <w:p>
      <w:pPr>
        <w:spacing w:after="0"/>
        <w:ind w:left="746"/>
        <w:jc w:val="left"/>
        <w:textAlignment w:val="auto"/>
      </w:pPr>
      <w:r>
        <w:rPr>
          <w:rFonts w:ascii="Times New Roman"/>
          <w:b w:val="false"/>
          <w:i w:val="false"/>
          <w:color w:val="000000"/>
          <w:sz w:val="24"/>
          <w:lang w:val="pl-PL"/>
        </w:rPr>
        <w:t>d)</w:t>
      </w:r>
      <w:r>
        <w:rPr>
          <w:rFonts w:ascii="Times New Roman"/>
          <w:b w:val="false"/>
          <w:i w:val="false"/>
          <w:color w:val="000000"/>
          <w:sz w:val="24"/>
          <w:lang w:val="pl-PL"/>
        </w:rPr>
        <w:t xml:space="preserve"> numerycznego modelu terenu,</w:t>
      </w:r>
    </w:p>
    <w:p>
      <w:pPr>
        <w:spacing w:after="0"/>
        <w:ind w:left="746"/>
        <w:jc w:val="left"/>
        <w:textAlignment w:val="auto"/>
      </w:pPr>
      <w:r>
        <w:rPr>
          <w:rFonts w:ascii="Times New Roman"/>
          <w:b w:val="false"/>
          <w:i w:val="false"/>
          <w:color w:val="000000"/>
          <w:sz w:val="24"/>
          <w:lang w:val="pl-PL"/>
        </w:rPr>
        <w:t>e)</w:t>
      </w:r>
      <w:r>
        <w:rPr>
          <w:rFonts w:ascii="Times New Roman"/>
          <w:b w:val="false"/>
          <w:i w:val="false"/>
          <w:color w:val="000000"/>
          <w:sz w:val="24"/>
          <w:lang w:val="pl-PL"/>
        </w:rPr>
        <w:t xml:space="preserve"> ortofotomapy,</w:t>
      </w:r>
    </w:p>
    <w:p>
      <w:pPr>
        <w:spacing w:after="0"/>
        <w:ind w:left="746"/>
        <w:jc w:val="left"/>
        <w:textAlignment w:val="auto"/>
      </w:pPr>
      <w:r>
        <w:rPr>
          <w:rFonts w:ascii="Times New Roman"/>
          <w:b w:val="false"/>
          <w:i w:val="false"/>
          <w:color w:val="000000"/>
          <w:sz w:val="24"/>
          <w:lang w:val="pl-PL"/>
        </w:rPr>
        <w:t>f)</w:t>
      </w:r>
      <w:r>
        <w:rPr>
          <w:rFonts w:ascii="Times New Roman"/>
          <w:b w:val="false"/>
          <w:i w:val="false"/>
          <w:color w:val="000000"/>
          <w:sz w:val="24"/>
          <w:lang w:val="pl-PL"/>
        </w:rPr>
        <w:t xml:space="preserve"> państwowego rejestru podstawowych osnów geodezyjnych, grawimetrycznych i magnetycznych,</w:t>
      </w:r>
    </w:p>
    <w:p>
      <w:pPr>
        <w:spacing w:after="0"/>
        <w:ind w:left="746"/>
        <w:jc w:val="left"/>
        <w:textAlignment w:val="auto"/>
      </w:pPr>
      <w:r>
        <w:rPr>
          <w:rFonts w:ascii="Times New Roman"/>
          <w:b w:val="false"/>
          <w:i w:val="false"/>
          <w:color w:val="000000"/>
          <w:sz w:val="24"/>
          <w:lang w:val="pl-PL"/>
        </w:rPr>
        <w:t>g)</w:t>
      </w:r>
      <w:r>
        <w:rPr>
          <w:rFonts w:ascii="Times New Roman"/>
          <w:b w:val="false"/>
          <w:i w:val="false"/>
          <w:color w:val="000000"/>
          <w:sz w:val="24"/>
          <w:lang w:val="pl-PL"/>
        </w:rPr>
        <w:t xml:space="preserve"> szczegółowych osnów geodezyjnych,</w:t>
      </w:r>
    </w:p>
    <w:p>
      <w:pPr>
        <w:spacing w:after="0"/>
        <w:ind w:left="746"/>
        <w:jc w:val="left"/>
        <w:textAlignment w:val="auto"/>
      </w:pPr>
      <w:r>
        <w:rPr>
          <w:rFonts w:ascii="Times New Roman"/>
          <w:b w:val="false"/>
          <w:i w:val="false"/>
          <w:color w:val="000000"/>
          <w:sz w:val="24"/>
          <w:lang w:val="pl-PL"/>
        </w:rPr>
        <w:t>h)</w:t>
      </w:r>
      <w:r>
        <w:rPr>
          <w:rFonts w:ascii="Times New Roman"/>
          <w:b w:val="false"/>
          <w:i w:val="false"/>
          <w:color w:val="000000"/>
          <w:sz w:val="24"/>
          <w:lang w:val="pl-PL"/>
        </w:rPr>
        <w:t xml:space="preserve"> obiektów topograficznych o szczegółowości zapewniającej tworzenie standardowych opracowań kartograficznych w skalach 1:10 000-1:100 000,</w:t>
      </w:r>
    </w:p>
    <w:p>
      <w:pPr>
        <w:spacing w:after="0"/>
        <w:ind w:left="746"/>
        <w:jc w:val="left"/>
        <w:textAlignment w:val="auto"/>
      </w:pPr>
      <w:r>
        <w:rPr>
          <w:rFonts w:ascii="Times New Roman"/>
          <w:b w:val="false"/>
          <w:i w:val="false"/>
          <w:color w:val="000000"/>
          <w:sz w:val="24"/>
          <w:lang w:val="pl-PL"/>
        </w:rPr>
        <w:t>i)</w:t>
      </w:r>
      <w:r>
        <w:rPr>
          <w:rFonts w:ascii="Times New Roman"/>
          <w:b w:val="false"/>
          <w:i w:val="false"/>
          <w:color w:val="000000"/>
          <w:sz w:val="24"/>
          <w:lang w:val="pl-PL"/>
        </w:rPr>
        <w:t xml:space="preserve"> dotyczących działek ewidencyjnych w zakresie ich identyfikatorów i geometrii,</w:t>
      </w:r>
    </w:p>
    <w:p>
      <w:pPr>
        <w:spacing w:after="0"/>
        <w:ind w:left="746"/>
        <w:jc w:val="left"/>
        <w:textAlignment w:val="auto"/>
      </w:pPr>
      <w:r>
        <w:rPr>
          <w:rFonts w:ascii="Times New Roman"/>
          <w:b w:val="false"/>
          <w:i w:val="false"/>
          <w:color w:val="000000"/>
          <w:sz w:val="24"/>
          <w:lang w:val="pl-PL"/>
        </w:rPr>
        <w:t>j)</w:t>
      </w:r>
      <w:r>
        <w:rPr>
          <w:rFonts w:ascii="Times New Roman"/>
          <w:b w:val="false"/>
          <w:i w:val="false"/>
          <w:color w:val="000000"/>
          <w:sz w:val="24"/>
          <w:lang w:val="pl-PL"/>
        </w:rPr>
        <w:t xml:space="preserve"> dotyczących budynków w zakresie ich identyfikatorów, geometrii i rodzaju według Klasyfikacji Środków Trwałych;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udostępnianie w postaci elektronicznej zbiorów danych państwowego zasobu geodezyjnego i kartograficznego:</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w celu edukacyjnym:</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jednostkom organizacyjnym wchodzącym w skład systemu oświaty, o którym mowa w </w:t>
      </w:r>
      <w:r>
        <w:rPr>
          <w:rFonts w:ascii="Times New Roman"/>
          <w:b w:val="false"/>
          <w:i w:val="false"/>
          <w:color w:val="1b1b1b"/>
          <w:sz w:val="24"/>
          <w:lang w:val="pl-PL"/>
        </w:rPr>
        <w:t>ustawie</w:t>
      </w:r>
      <w:r>
        <w:rPr>
          <w:rFonts w:ascii="Times New Roman"/>
          <w:b w:val="false"/>
          <w:i w:val="false"/>
          <w:color w:val="000000"/>
          <w:sz w:val="24"/>
          <w:lang w:val="pl-PL"/>
        </w:rPr>
        <w:t xml:space="preserve"> z dnia 14 grudnia 2016 r. - Prawo oświatowe (Dz. U. z 2024 r. poz. 737 i 854),</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uczelniom w rozumieniu </w:t>
      </w:r>
      <w:r>
        <w:rPr>
          <w:rFonts w:ascii="Times New Roman"/>
          <w:b w:val="false"/>
          <w:i w:val="false"/>
          <w:color w:val="1b1b1b"/>
          <w:sz w:val="24"/>
          <w:lang w:val="pl-PL"/>
        </w:rPr>
        <w:t>ustawy</w:t>
      </w:r>
      <w:r>
        <w:rPr>
          <w:rFonts w:ascii="Times New Roman"/>
          <w:b w:val="false"/>
          <w:i w:val="false"/>
          <w:color w:val="000000"/>
          <w:sz w:val="24"/>
          <w:lang w:val="pl-PL"/>
        </w:rPr>
        <w:t xml:space="preserve"> z dnia 20 lipca 2018 r. - Prawo o szkolnictwie wyższym i nauce (Dz. U. z 2023 r. poz. 742, z późn. zm.),</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podmiotom, o których mowa w </w:t>
      </w:r>
      <w:r>
        <w:rPr>
          <w:rFonts w:ascii="Times New Roman"/>
          <w:b w:val="false"/>
          <w:i w:val="false"/>
          <w:color w:val="1b1b1b"/>
          <w:sz w:val="24"/>
          <w:lang w:val="pl-PL"/>
        </w:rPr>
        <w:t>art. 3 ust. 2</w:t>
      </w:r>
      <w:r>
        <w:rPr>
          <w:rFonts w:ascii="Times New Roman"/>
          <w:b w:val="false"/>
          <w:i w:val="false"/>
          <w:color w:val="000000"/>
          <w:sz w:val="24"/>
          <w:lang w:val="pl-PL"/>
        </w:rPr>
        <w:t xml:space="preserve"> i </w:t>
      </w:r>
      <w:r>
        <w:rPr>
          <w:rFonts w:ascii="Times New Roman"/>
          <w:b w:val="false"/>
          <w:i w:val="false"/>
          <w:color w:val="1b1b1b"/>
          <w:sz w:val="24"/>
          <w:lang w:val="pl-PL"/>
        </w:rPr>
        <w:t>3</w:t>
      </w:r>
      <w:r>
        <w:rPr>
          <w:rFonts w:ascii="Times New Roman"/>
          <w:b w:val="false"/>
          <w:i w:val="false"/>
          <w:color w:val="000000"/>
          <w:sz w:val="24"/>
          <w:lang w:val="pl-PL"/>
        </w:rPr>
        <w:t xml:space="preserve"> ustawy z dnia 24 kwietnia 2003 r. o działalności pożytku publicznego i o wolontariacie (Dz. U. z 2023 r. poz. 571 oraz z 2024 r. poz. 834),</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w celu prowadzenia badań naukowych oraz prac rozwojowych:</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podmiotom, o których mowa w </w:t>
      </w:r>
      <w:r>
        <w:rPr>
          <w:rFonts w:ascii="Times New Roman"/>
          <w:b w:val="false"/>
          <w:i w:val="false"/>
          <w:color w:val="1b1b1b"/>
          <w:sz w:val="24"/>
          <w:lang w:val="pl-PL"/>
        </w:rPr>
        <w:t>art. 7 ust. 1 pkt 1</w:t>
      </w:r>
      <w:r>
        <w:rPr>
          <w:rFonts w:ascii="Times New Roman"/>
          <w:b w:val="false"/>
          <w:i w:val="false"/>
          <w:color w:val="000000"/>
          <w:sz w:val="24"/>
          <w:lang w:val="pl-PL"/>
        </w:rPr>
        <w:t xml:space="preserve">, </w:t>
      </w:r>
      <w:r>
        <w:rPr>
          <w:rFonts w:ascii="Times New Roman"/>
          <w:b w:val="false"/>
          <w:i w:val="false"/>
          <w:color w:val="1b1b1b"/>
          <w:sz w:val="24"/>
          <w:lang w:val="pl-PL"/>
        </w:rPr>
        <w:t>2</w:t>
      </w:r>
      <w:r>
        <w:rPr>
          <w:rFonts w:ascii="Times New Roman"/>
          <w:b w:val="false"/>
          <w:i w:val="false"/>
          <w:color w:val="000000"/>
          <w:sz w:val="24"/>
          <w:lang w:val="pl-PL"/>
        </w:rPr>
        <w:t xml:space="preserve"> i </w:t>
      </w:r>
      <w:r>
        <w:rPr>
          <w:rFonts w:ascii="Times New Roman"/>
          <w:b w:val="false"/>
          <w:i w:val="false"/>
          <w:color w:val="1b1b1b"/>
          <w:sz w:val="24"/>
          <w:lang w:val="pl-PL"/>
        </w:rPr>
        <w:t>4-7</w:t>
      </w:r>
      <w:r>
        <w:rPr>
          <w:rFonts w:ascii="Times New Roman"/>
          <w:b w:val="false"/>
          <w:i w:val="false"/>
          <w:color w:val="000000"/>
          <w:sz w:val="24"/>
          <w:lang w:val="pl-PL"/>
        </w:rPr>
        <w:t xml:space="preserve"> ustawy z dnia 20 lipca 2018 r. - Prawo o szkolnictwie wyższym i nauce, oraz innym podmiotom posiadającym siedzibę na terytorium Rzeczypospolitej Polskiej, będącym organizacjami prowadzącymi badania i upowszechniającymi wiedzę w rozumieniu </w:t>
      </w:r>
      <w:r>
        <w:rPr>
          <w:rFonts w:ascii="Times New Roman"/>
          <w:b w:val="false"/>
          <w:i w:val="false"/>
          <w:color w:val="1b1b1b"/>
          <w:sz w:val="24"/>
          <w:lang w:val="pl-PL"/>
        </w:rPr>
        <w:t>art. 2 pkt 83</w:t>
      </w:r>
      <w:r>
        <w:rPr>
          <w:rFonts w:ascii="Times New Roman"/>
          <w:b w:val="false"/>
          <w:i w:val="false"/>
          <w:color w:val="000000"/>
          <w:sz w:val="24"/>
          <w:lang w:val="pl-PL"/>
        </w:rPr>
        <w:t xml:space="preserve"> rozporządzenia Komisji (UE) nr 651/2014 z dnia 17 czerwca 2014 r. uznającego niektóre rodzaje pomocy za zgodne z rynkiem wewnętrznym w zastosowaniu art. 107 i 108 Traktatu (Dz. Urz. UE L 187 z 26.06.2014, str. 1, z późn. zm.),</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podmiotom, o których mowa w </w:t>
      </w:r>
      <w:r>
        <w:rPr>
          <w:rFonts w:ascii="Times New Roman"/>
          <w:b w:val="false"/>
          <w:i w:val="false"/>
          <w:color w:val="1b1b1b"/>
          <w:sz w:val="24"/>
          <w:lang w:val="pl-PL"/>
        </w:rPr>
        <w:t>art. 3 ust. 2</w:t>
      </w:r>
      <w:r>
        <w:rPr>
          <w:rFonts w:ascii="Times New Roman"/>
          <w:b w:val="false"/>
          <w:i w:val="false"/>
          <w:color w:val="000000"/>
          <w:sz w:val="24"/>
          <w:lang w:val="pl-PL"/>
        </w:rPr>
        <w:t xml:space="preserve"> i </w:t>
      </w:r>
      <w:r>
        <w:rPr>
          <w:rFonts w:ascii="Times New Roman"/>
          <w:b w:val="false"/>
          <w:i w:val="false"/>
          <w:color w:val="1b1b1b"/>
          <w:sz w:val="24"/>
          <w:lang w:val="pl-PL"/>
        </w:rPr>
        <w:t>3</w:t>
      </w:r>
      <w:r>
        <w:rPr>
          <w:rFonts w:ascii="Times New Roman"/>
          <w:b w:val="false"/>
          <w:i w:val="false"/>
          <w:color w:val="000000"/>
          <w:sz w:val="24"/>
          <w:lang w:val="pl-PL"/>
        </w:rPr>
        <w:t xml:space="preserve"> ustawy z dnia 24 kwietnia 2003 r. o działalności pożytku publicznego i o wolontariacie,</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w celu realizacji ustawowych zadań w zakresie ochrony bezpieczeństwa wewnętrznego państwa i jego porządku konstytucyjnego - służbom specjalnym w rozumieniu </w:t>
      </w:r>
      <w:r>
        <w:rPr>
          <w:rFonts w:ascii="Times New Roman"/>
          <w:b w:val="false"/>
          <w:i w:val="false"/>
          <w:color w:val="1b1b1b"/>
          <w:sz w:val="24"/>
          <w:lang w:val="pl-PL"/>
        </w:rPr>
        <w:t>art. 11</w:t>
      </w:r>
      <w:r>
        <w:rPr>
          <w:rFonts w:ascii="Times New Roman"/>
          <w:b w:val="false"/>
          <w:i w:val="false"/>
          <w:color w:val="000000"/>
          <w:sz w:val="24"/>
          <w:lang w:val="pl-PL"/>
        </w:rPr>
        <w:t xml:space="preserve"> ustawy z dnia 24 maja 2002 r. o Agencji Bezpieczeństwa Wewnętrznego oraz Agencji Wywiadu (Dz. U. z 2024 r. poz. 812),</w:t>
      </w:r>
    </w:p>
    <w:p>
      <w:pPr>
        <w:spacing w:after="0"/>
        <w:ind w:left="746"/>
        <w:jc w:val="left"/>
        <w:textAlignment w:val="auto"/>
      </w:pPr>
      <w:r>
        <w:rPr>
          <w:rFonts w:ascii="Times New Roman"/>
          <w:b w:val="false"/>
          <w:i w:val="false"/>
          <w:color w:val="000000"/>
          <w:sz w:val="24"/>
          <w:lang w:val="pl-PL"/>
        </w:rPr>
        <w:t>d)</w:t>
      </w:r>
      <w:r>
        <w:rPr>
          <w:rFonts w:ascii="Times New Roman"/>
          <w:b w:val="false"/>
          <w:i w:val="false"/>
          <w:color w:val="000000"/>
          <w:sz w:val="24"/>
          <w:lang w:val="pl-PL"/>
        </w:rPr>
        <w:t xml:space="preserve"> w celu realizacji zadań w zakresie obronności państwa - Ministrowi Obrony Narodowej;</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udostępnianie wykonawcy prac geodezyjnych lub prac kartograficznych materiałów zasobu - w przypadku prac geodezyjnych lub prac kartograficznych wykonywanych w celu realizacji określonych w ustawie zadań organów administracji geodezyjnej i kartograficznej lub Głównego Geodety Kraju, po podpisaniu umowy w sprawie udzielenia zamówienia publicznego obejmującego takie prace, a w przypadku prac scaleniowych lub wymiennych realizowanych na podstawie </w:t>
      </w:r>
      <w:r>
        <w:rPr>
          <w:rFonts w:ascii="Times New Roman"/>
          <w:b w:val="false"/>
          <w:i w:val="false"/>
          <w:color w:val="1b1b1b"/>
          <w:sz w:val="24"/>
          <w:lang w:val="pl-PL"/>
        </w:rPr>
        <w:t>ustawy</w:t>
      </w:r>
      <w:r>
        <w:rPr>
          <w:rFonts w:ascii="Times New Roman"/>
          <w:b w:val="false"/>
          <w:i w:val="false"/>
          <w:color w:val="000000"/>
          <w:sz w:val="24"/>
          <w:lang w:val="pl-PL"/>
        </w:rPr>
        <w:t xml:space="preserve"> z dnia 26 marca 1982 r. o scalaniu i wymianie gruntów (Dz. U. z 2023 r. poz. 1197) po podpisaniu porozumienia na wykonanie takich prac;</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udostępnianie danych na podstawie:</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w:t>
      </w:r>
      <w:r>
        <w:rPr>
          <w:rFonts w:ascii="Times New Roman"/>
          <w:b w:val="false"/>
          <w:i w:val="false"/>
          <w:color w:val="1b1b1b"/>
          <w:sz w:val="24"/>
          <w:lang w:val="pl-PL"/>
        </w:rPr>
        <w:t>art. 12 ust. 1</w:t>
      </w:r>
      <w:r>
        <w:rPr>
          <w:rFonts w:ascii="Times New Roman"/>
          <w:b w:val="false"/>
          <w:i w:val="false"/>
          <w:color w:val="000000"/>
          <w:sz w:val="24"/>
          <w:lang w:val="pl-PL"/>
        </w:rPr>
        <w:t xml:space="preserve"> i </w:t>
      </w:r>
      <w:r>
        <w:rPr>
          <w:rFonts w:ascii="Times New Roman"/>
          <w:b w:val="false"/>
          <w:i w:val="false"/>
          <w:color w:val="1b1b1b"/>
          <w:sz w:val="24"/>
          <w:lang w:val="pl-PL"/>
        </w:rPr>
        <w:t>2</w:t>
      </w:r>
      <w:r>
        <w:rPr>
          <w:rFonts w:ascii="Times New Roman"/>
          <w:b w:val="false"/>
          <w:i w:val="false"/>
          <w:color w:val="000000"/>
          <w:sz w:val="24"/>
          <w:lang w:val="pl-PL"/>
        </w:rPr>
        <w:t xml:space="preserve">, </w:t>
      </w:r>
      <w:r>
        <w:rPr>
          <w:rFonts w:ascii="Times New Roman"/>
          <w:b w:val="false"/>
          <w:i w:val="false"/>
          <w:color w:val="1b1b1b"/>
          <w:sz w:val="24"/>
          <w:lang w:val="pl-PL"/>
        </w:rPr>
        <w:t>art. 14 ust. 1</w:t>
      </w:r>
      <w:r>
        <w:rPr>
          <w:rFonts w:ascii="Times New Roman"/>
          <w:b w:val="false"/>
          <w:i w:val="false"/>
          <w:color w:val="000000"/>
          <w:sz w:val="24"/>
          <w:lang w:val="pl-PL"/>
        </w:rPr>
        <w:t xml:space="preserve">, </w:t>
      </w:r>
      <w:r>
        <w:rPr>
          <w:rFonts w:ascii="Times New Roman"/>
          <w:b w:val="false"/>
          <w:i w:val="false"/>
          <w:color w:val="1b1b1b"/>
          <w:sz w:val="24"/>
          <w:lang w:val="pl-PL"/>
        </w:rPr>
        <w:t>art. 15 ust. 2</w:t>
      </w:r>
      <w:r>
        <w:rPr>
          <w:rFonts w:ascii="Times New Roman"/>
          <w:b w:val="false"/>
          <w:i w:val="false"/>
          <w:color w:val="000000"/>
          <w:sz w:val="24"/>
          <w:lang w:val="pl-PL"/>
        </w:rPr>
        <w:t xml:space="preserve"> i </w:t>
      </w:r>
      <w:r>
        <w:rPr>
          <w:rFonts w:ascii="Times New Roman"/>
          <w:b w:val="false"/>
          <w:i w:val="false"/>
          <w:color w:val="1b1b1b"/>
          <w:sz w:val="24"/>
          <w:lang w:val="pl-PL"/>
        </w:rPr>
        <w:t>3</w:t>
      </w:r>
      <w:r>
        <w:rPr>
          <w:rFonts w:ascii="Times New Roman"/>
          <w:b w:val="false"/>
          <w:i w:val="false"/>
          <w:color w:val="000000"/>
          <w:sz w:val="24"/>
          <w:lang w:val="pl-PL"/>
        </w:rPr>
        <w:t xml:space="preserve"> ustawy z dnia 4 marca 2010 r. o infrastrukturze informacji przestrzennej,</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w:t>
      </w:r>
      <w:r>
        <w:rPr>
          <w:rFonts w:ascii="Times New Roman"/>
          <w:b w:val="false"/>
          <w:i w:val="false"/>
          <w:color w:val="1b1b1b"/>
          <w:sz w:val="24"/>
          <w:lang w:val="pl-PL"/>
        </w:rPr>
        <w:t>art. 15</w:t>
      </w:r>
      <w:r>
        <w:rPr>
          <w:rFonts w:ascii="Times New Roman"/>
          <w:b w:val="false"/>
          <w:i w:val="false"/>
          <w:color w:val="000000"/>
          <w:sz w:val="24"/>
          <w:lang w:val="pl-PL"/>
        </w:rPr>
        <w:t xml:space="preserve"> ustawy z dnia 17 lutego 2005 r. o informatyzacji działalności podmiotów realizujących zadania publiczne;</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pierwsze udostępnienie podmiotowi władającemu siecią uzbrojenia terenu zbiorów danych powiatowej bazy GESUT, dotyczących sieci uzbrojenia terenu znajdującej się we władaniu tego podmiotu, po otrzymaniu przez starostę od tego podmiotu opinii, o której mowa w art. 28e ust. 1 pkt 1;</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udostępnianie materiałów zasobu w związku ze zgłoszeniem prac, o których mowa w art. 12 ust. 1 pkt 1 lit. b, lub jego uzupełnieniem;</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udostępnianie zestawień zbiorczych danych objętych ewidencją gruntów i budynków, o których mowa w art. 25 ust. 2 i 3, w postaci elektronicznej;</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udostępnianie w postaci elektronicznej kartograficznych opracowań specjalnych w postaci map tyflologicznych.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40b.</w:t>
      </w:r>
      <w:r>
        <w:rPr>
          <w:rFonts w:ascii="Times New Roman"/>
          <w:b/>
          <w:i w:val="false"/>
          <w:color w:val="000000"/>
          <w:sz w:val="24"/>
          <w:lang w:val="pl-PL"/>
        </w:rPr>
        <w:t xml:space="preserve"> [Opłaty za poszczególne czynności; zwolnienie z opłat]</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Organy prowadzące państwowy zasób geodezyjny i kartograficzny pobierają opłaty za: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sporządzanie i wydawanie wypisów oraz wyrysów z operatu ewidencyjnego;</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wysłanie materiałów zasobu pod wskazany adres;</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udostępnianie rzeczoznawcom majątkowym do wglądu zbiorów aktów notarialnych oraz orzeczeń sądowych i decyzji administracyjnych będących podstawą wpisów w ewidencji gruntów i budynków;</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uzgadnianie usytuowania projektowanej sieci uzbrojenia terenu.</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Nie pobiera się opłaty za umożliwienie korzystania z usług teleinformatycznego systemu ASG-EUPOS umożliwiającego udostępnianie danych podstawowej osnowy geodezyjnej.</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Nie pobiera się opłaty za wypisy i wyrysy z operatu ewidencyjnego sporządzane i wydawane na żądanie: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prokuratury;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sądów rozpoznających sprawy, w których stroną jest Skarb Państwa;</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organów kontroli państwowej w związku z wykonywaniem przez te organy ich ustawowych zadań;</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organów administracji rządowej oraz jednostek samorządu terytorialnego, w związku z ich działaniami mającymi na celu:</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ujawnienie prawa do nieruchomości Skarbu Państwa lub jednostki samorządu terytorialnego w księdze wieczystej,</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przeniesienie praw do nieruchomości Skarbu Państwa na rzecz jednostki samorządu terytorialnego,</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przeniesienie praw do nieruchomości jednostki samorządu terytorialnego na rzecz Skarbu Państwa;</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Krajowego Zasobu Nieruchomości w związku z jego działaniami mającymi na celu regulację stanu prawnego nieruchomości wchodzących w skład Zasobu, o którym mowa w </w:t>
      </w:r>
      <w:r>
        <w:rPr>
          <w:rFonts w:ascii="Times New Roman"/>
          <w:b w:val="false"/>
          <w:i w:val="false"/>
          <w:color w:val="1b1b1b"/>
          <w:sz w:val="24"/>
          <w:lang w:val="pl-PL"/>
        </w:rPr>
        <w:t>art. 2</w:t>
      </w:r>
      <w:r>
        <w:rPr>
          <w:rFonts w:ascii="Times New Roman"/>
          <w:b w:val="false"/>
          <w:i w:val="false"/>
          <w:color w:val="000000"/>
          <w:sz w:val="24"/>
          <w:lang w:val="pl-PL"/>
        </w:rPr>
        <w:t xml:space="preserve"> ustawy z dnia 20 lipca 2017 r. o Krajowym Zasobie Nieruchomości (Dz. U. z 2023 r. poz. 1054, 1688 i 1693), oraz zbycie lub udostępnienie nieruchomości wchodzących w skład tego zasobu.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40c.</w:t>
      </w:r>
      <w:r>
        <w:rPr>
          <w:rFonts w:ascii="Times New Roman"/>
          <w:b/>
          <w:i w:val="false"/>
          <w:color w:val="000000"/>
          <w:sz w:val="24"/>
          <w:lang w:val="pl-PL"/>
        </w:rPr>
        <w:t xml:space="preserve"> [Licencja na udostępnione materiały]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Uprawnienia podmiotu dotyczące możliwości wykorzystywania udostępnionych mu materiałów zasobu określa licencja wydawana przez organ udostępniający te materiały.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Uprawnienia określone w licencji dotyczą:</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 przypadku materiałów zasobu w postaci elektronicznej - możliwości wykonywania jakichkolwiek operacji na tych danych i materiałach, w szczególności ich utrwalania, zmieniania, udostępniania, zwłaszcza wykonywanych w systemach teleinformatycznych;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 przypadku materiałów zasobu w postaci nieelektronicznej - ich powielanie, a także ich przekształcenie do postaci elektronicznej.</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Podmioty, które wykorzystują materiały zasobu, zamieszczają w publikowanych opracowaniach informacje o źródle pochodzenia użytego materiału.</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Licencja wystawiona w postaci elektronicznej i generowana z systemu teleinformatycznego w sposób umożliwiający jej wydruk nie wymaga podpisu ani pieczęci.</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Licencji nie wydaje się w przypadku udostępnienia materiałów zasobu w związku ze zgłoszeniem prac lub jego uzupełnieniem oraz w przypadku udostępnienia materiałów zasobu, o których mowa w art. 40a ust. 2 pkt 1 i 3.</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40d.</w:t>
      </w:r>
      <w:r>
        <w:rPr>
          <w:rFonts w:ascii="Times New Roman"/>
          <w:b/>
          <w:i w:val="false"/>
          <w:color w:val="000000"/>
          <w:sz w:val="24"/>
          <w:lang w:val="pl-PL"/>
        </w:rPr>
        <w:t xml:space="preserve"> [Sposób obliczania opłaty za udostępnianie materiałów zasobu]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Opłata za udostępnianie materiałów zasobu oraz za wykonanie czynności, o których mowa w art. 40b ust. 1, jest iloczynem odpowiednich stawek podstawowych, liczby jednostek rozliczeniowych oraz współczynników korygujących lub sumą takich iloczynów.</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Za udostępnianie materiałów zasobu w związku ze zgłoszeniem prac, o których mowa w art. 12 ust. 1 pkt 3, lub jego uzupełnieniem, pobiera się opłatę zryczałtowaną, której wysokość jest uzależniona od wielkości obszaru wskazanego w tym zgłoszeniu lub jego uzupełnieniu.</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Wysokość stawek podstawowych w odniesieniu do odpowiednich jednostek rozliczeniowych, wysokość współczynników korygujących oraz zasady ustalania tych współczynników, a także szczegółowe zasady obliczania wysokości opłaty, w tym opłaty zryczałtowanej, określa załącznik do ustawy.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Opłaty, o których mowa w ust. 1 i 1a, pobiera się przed udostępnieniem materiałów zasobu lub przed wykonaniem czynności, o których mowa w art. 40b ust. 1.</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Opłaty poniesione w związku z udostępnieniem materiałów zasobu w związku ze zgłoszeniem prac, o których mowa w art. 12 ust. 1 pkt 3, lub jego uzupełnieniem nie podlegają zwrotowi, z wyjątkiem sytuacji, o której mowa w art. 40f ust. 3.</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40e.</w:t>
      </w:r>
      <w:r>
        <w:rPr>
          <w:rFonts w:ascii="Times New Roman"/>
          <w:b/>
          <w:i w:val="false"/>
          <w:color w:val="000000"/>
          <w:sz w:val="24"/>
          <w:lang w:val="pl-PL"/>
        </w:rPr>
        <w:t xml:space="preserve"> [Dokument Obliczenia Opłaty]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Wysokość należnej opłaty oraz sposób jej wyliczenia utrwala się w Dokumencie Obliczenia Opłaty, który zawiera: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nazwę jednostki organizacyjnej, która wystawiła dokument;</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identyfikator i datę, odpowiednio:</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wniosku o udostępnienie materiałów zasobu albo</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wniosku o wydanie wypisu lub wyrysu z operatu ewidencyjnego, albo</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(uchylona)</w:t>
      </w:r>
    </w:p>
    <w:p>
      <w:pPr>
        <w:spacing w:after="0"/>
        <w:ind w:left="746"/>
        <w:jc w:val="left"/>
        <w:textAlignment w:val="auto"/>
      </w:pPr>
      <w:r>
        <w:rPr>
          <w:rFonts w:ascii="Times New Roman"/>
          <w:b w:val="false"/>
          <w:i w:val="false"/>
          <w:color w:val="000000"/>
          <w:sz w:val="24"/>
          <w:lang w:val="pl-PL"/>
        </w:rPr>
        <w:t>d)</w:t>
      </w:r>
      <w:r>
        <w:rPr>
          <w:rFonts w:ascii="Times New Roman"/>
          <w:b w:val="false"/>
          <w:i w:val="false"/>
          <w:color w:val="000000"/>
          <w:sz w:val="24"/>
          <w:lang w:val="pl-PL"/>
        </w:rPr>
        <w:t xml:space="preserve"> zgłoszenia prac lub jego uzupełnienia, albo</w:t>
      </w:r>
    </w:p>
    <w:p>
      <w:pPr>
        <w:spacing w:after="0"/>
        <w:ind w:left="746"/>
        <w:jc w:val="left"/>
        <w:textAlignment w:val="auto"/>
      </w:pPr>
      <w:r>
        <w:rPr>
          <w:rFonts w:ascii="Times New Roman"/>
          <w:b w:val="false"/>
          <w:i w:val="false"/>
          <w:color w:val="000000"/>
          <w:sz w:val="24"/>
          <w:lang w:val="pl-PL"/>
        </w:rPr>
        <w:t>e)</w:t>
      </w:r>
      <w:r>
        <w:rPr>
          <w:rFonts w:ascii="Times New Roman"/>
          <w:b w:val="false"/>
          <w:i w:val="false"/>
          <w:color w:val="000000"/>
          <w:sz w:val="24"/>
          <w:lang w:val="pl-PL"/>
        </w:rPr>
        <w:t xml:space="preserve"> wniosku o udostępnienie do wglądu zbiorów aktów notarialnych oraz orzeczeń sądowych i decyzji administracyjnych będących podstawą wpisów w ewidencji gruntów i budynków, podmiotom, które posiadają uprawnienia do wglądu do takich zbiorów na podstawie odrębnych przepisów, albo</w:t>
      </w:r>
    </w:p>
    <w:p>
      <w:pPr>
        <w:spacing w:after="0"/>
        <w:ind w:left="746"/>
        <w:jc w:val="left"/>
        <w:textAlignment w:val="auto"/>
      </w:pPr>
      <w:r>
        <w:rPr>
          <w:rFonts w:ascii="Times New Roman"/>
          <w:b w:val="false"/>
          <w:i w:val="false"/>
          <w:color w:val="000000"/>
          <w:sz w:val="24"/>
          <w:lang w:val="pl-PL"/>
        </w:rPr>
        <w:t>f)</w:t>
      </w:r>
      <w:r>
        <w:rPr>
          <w:rFonts w:ascii="Times New Roman"/>
          <w:b w:val="false"/>
          <w:i w:val="false"/>
          <w:color w:val="000000"/>
          <w:sz w:val="24"/>
          <w:lang w:val="pl-PL"/>
        </w:rPr>
        <w:t xml:space="preserve"> wniosku o koordynację usytuowania projektowanych sieci uzbrojenia terenu;</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nazwy oraz liczbę jednostek rozliczeniowych udostępnianych materiałów zasobu lub czynności, o których mowa w art. 40b ust. 1, a także oznaczenia pozycji w odpowiedniej tabeli opłat zawartej w załączniku do ustawy;</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wysokość użytych do wyliczenia podstawowych stawek jednostkowych oraz współczynników korygujących;</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kwotę opłaty;</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datę wystawienia dokumentu oraz podpis organu lub upoważnionej przez niego osoby.</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W przypadku udostępniania materiałów zasobu w związku ze zgłoszeniem prac lub jego uzupełnieniem Dokument Obliczenia Opłaty zawiera informacje, o których mowa w ust. 1 pkt 1, 2, 5 i 6, oraz powierzchnię obszaru objętego tym zgłoszeniem lub jego uzupełnieniem.</w:t>
      </w:r>
    </w:p>
    <w:p>
      <w:pPr>
        <w:spacing w:before="26" w:after="0"/>
        <w:ind w:left="0"/>
        <w:jc w:val="left"/>
        <w:textAlignment w:val="auto"/>
      </w:pPr>
      <w:r>
        <w:rPr>
          <w:rFonts w:ascii="Times New Roman"/>
          <w:b w:val="false"/>
          <w:i w:val="false"/>
          <w:color w:val="000000"/>
          <w:sz w:val="24"/>
          <w:lang w:val="pl-PL"/>
        </w:rPr>
        <w:t>1b.</w:t>
      </w:r>
      <w:r>
        <w:rPr>
          <w:rFonts w:ascii="Times New Roman"/>
          <w:b w:val="false"/>
          <w:i w:val="false"/>
          <w:color w:val="000000"/>
          <w:sz w:val="24"/>
          <w:lang w:val="pl-PL"/>
        </w:rPr>
        <w:t> W przypadku udostępniania materiałów zasobu w związku ze zgłoszeniem prac lub jego uzupełnieniem Dokument Obliczenia Opłaty wystawia się nie później niż w dniu roboczym następującym po dniu otrzymania zgłoszenia prac lub jego uzupełnienia.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Dokument Obliczenia Opłaty wystawiany w postaci elektronicznej i generowany z systemu teleinformatycznego w sposób umożliwiający jego wydruk nie wymaga podpisu ani pieczęci.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40f.</w:t>
      </w:r>
      <w:r>
        <w:rPr>
          <w:rFonts w:ascii="Times New Roman"/>
          <w:b/>
          <w:i w:val="false"/>
          <w:color w:val="000000"/>
          <w:sz w:val="24"/>
          <w:lang w:val="pl-PL"/>
        </w:rPr>
        <w:t xml:space="preserve"> [Spór dotyczący zakresu udostępnianych materiałów zasobu lub wysokości należnej opłaty]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 przypadku sporu dotyczącego zakresu udostępnianych materiałów zasobu lub wysokości należnej opłaty, właściwy organ Służby Geodezyjnej i Kartograficznej wydaje decyzję administracyjną.</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Wniesienie odwołania od decyzji w sprawie ustalenia wysokości opłaty za udostępnianie materiałów zasobu nie wstrzymuje udostępnienia tych materiałów, pod warunkiem uiszczenia opłaty w wysokości ustalonej w zaskarżonej decyzji.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 przypadku gdy w wyniku rozpatrzenia odwołania lub ponownego rozpatrzenia sprawy na skutek wyroku sądu administracyjnego wysokość opłaty zostanie zmniejszona, nadpłata podlega zwrotowi wraz z odsetkami ustawowymi.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40g.</w:t>
      </w:r>
      <w:r>
        <w:rPr>
          <w:rFonts w:ascii="Times New Roman"/>
          <w:b/>
          <w:i w:val="false"/>
          <w:color w:val="000000"/>
          <w:sz w:val="24"/>
          <w:lang w:val="pl-PL"/>
        </w:rPr>
        <w:t xml:space="preserve"> [Delegacja ustawowa]</w:t>
      </w:r>
    </w:p>
    <w:p>
      <w:pPr>
        <w:spacing w:after="0"/>
        <w:ind w:left="0"/>
        <w:jc w:val="left"/>
        <w:textAlignment w:val="auto"/>
      </w:pPr>
      <w:r>
        <w:rPr>
          <w:rFonts w:ascii="Times New Roman"/>
          <w:b w:val="false"/>
          <w:i w:val="false"/>
          <w:color w:val="000000"/>
          <w:sz w:val="24"/>
          <w:lang w:val="pl-PL"/>
        </w:rPr>
        <w:t> Minister właściwy do spraw budownictwa, planowania i zagospodarowania przestrzennego oraz mieszkalnictwa określi, w drodze rozporządzenia: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wzory wniosków o udostępnienie materiałów zasobu,</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sposób wydawania licencji oraz ich wzory,</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wzór Dokumentu Obliczenia Opłaty</w:t>
      </w:r>
    </w:p>
    <w:p>
      <w:pPr>
        <w:spacing w:before="25" w:after="0"/>
        <w:ind w:left="0"/>
        <w:jc w:val="left"/>
        <w:textAlignment w:val="auto"/>
      </w:pPr>
      <w:r>
        <w:rPr>
          <w:rFonts w:ascii="Times New Roman"/>
          <w:b w:val="false"/>
          <w:i w:val="false"/>
          <w:color w:val="000000"/>
          <w:sz w:val="24"/>
          <w:lang w:val="pl-PL"/>
        </w:rPr>
        <w:t>- mając na uwadze potrzebę dostosowania treści i formy wniosków do specyfiki poszczególnych części państwowego zasobu geodezyjnego i kartograficznego oraz określonych w ustawie zasad ustalania opłat za udostępnianie materiałów zasobu.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40h.</w:t>
      </w:r>
    </w:p>
    <w:p>
      <w:pPr>
        <w:spacing w:after="0"/>
        <w:ind w:left="0"/>
        <w:jc w:val="left"/>
        <w:textAlignment w:val="auto"/>
      </w:pP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40i.</w:t>
      </w:r>
    </w:p>
    <w:p>
      <w:pPr>
        <w:spacing w:after="0"/>
        <w:ind w:left="0"/>
        <w:jc w:val="left"/>
        <w:textAlignment w:val="auto"/>
      </w:pP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40j.</w:t>
      </w:r>
      <w:r>
        <w:rPr>
          <w:rFonts w:ascii="Times New Roman"/>
          <w:b/>
          <w:i w:val="false"/>
          <w:color w:val="000000"/>
          <w:sz w:val="24"/>
          <w:lang w:val="pl-PL"/>
        </w:rPr>
        <w:t xml:space="preserve"> [Waloryzacja stawek opłat]</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Stawki opłat za udostępnianie materiałów zasobu, określone w załączniku do ustawy, podlegają corocznej waloryzacji w stopniu odpowiadającym wskaźnikowi cen towarów i usług konsumpcyjnych w okresie pierwszego półrocza roku, w którym stawki te są waloryzowane, w stosunku do analogicznego okresu roku poprzedniego, ogłaszanego komunikatem Prezesa Głównego Urzędu Statystycznego w Dzienniku Urzędowym Rzeczypospolitej Polskiej "Monitor Polski". W przypadku gdy wskaźnik ten ma wartość ujemną, stawki opłat nie ulegają zmianie.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Minister właściwy do spraw budownictwa, planowania i zagospodarowania przestrzennego oraz mieszkalnictwa ogłasza, najpóźniej do dnia 31 października każdego roku, w drodze obwieszczenia, w Dzienniku Urzędowym Rzeczypospolitej Polskiej "Monitor Polski", wysokości zwaloryzowanych stawek, które będą obowiązywały od dnia 1 stycznia następnego roku.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40k.</w:t>
      </w:r>
      <w:r>
        <w:rPr>
          <w:rFonts w:ascii="Times New Roman"/>
          <w:b/>
          <w:i w:val="false"/>
          <w:color w:val="000000"/>
          <w:sz w:val="24"/>
          <w:lang w:val="pl-PL"/>
        </w:rPr>
        <w:t xml:space="preserve"> [Stosowanie przepisów ustawy o otwartych danych i ponownym wykorzystywaniu informacji sektora publicznego]</w:t>
      </w:r>
    </w:p>
    <w:p>
      <w:pPr>
        <w:spacing w:after="0"/>
        <w:ind w:left="0"/>
        <w:jc w:val="left"/>
        <w:textAlignment w:val="auto"/>
      </w:pPr>
      <w:r>
        <w:rPr>
          <w:rFonts w:ascii="Times New Roman"/>
          <w:b w:val="false"/>
          <w:i w:val="false"/>
          <w:color w:val="000000"/>
          <w:sz w:val="24"/>
          <w:lang w:val="pl-PL"/>
        </w:rPr>
        <w:t xml:space="preserve"> W zakresie nieuregulowanym niniejszą ustawą stosuje się przepisy </w:t>
      </w:r>
      <w:r>
        <w:rPr>
          <w:rFonts w:ascii="Times New Roman"/>
          <w:b w:val="false"/>
          <w:i w:val="false"/>
          <w:color w:val="1b1b1b"/>
          <w:sz w:val="24"/>
          <w:lang w:val="pl-PL"/>
        </w:rPr>
        <w:t>ustawy</w:t>
      </w:r>
      <w:r>
        <w:rPr>
          <w:rFonts w:ascii="Times New Roman"/>
          <w:b w:val="false"/>
          <w:i w:val="false"/>
          <w:color w:val="000000"/>
          <w:sz w:val="24"/>
          <w:lang w:val="pl-PL"/>
        </w:rPr>
        <w:t xml:space="preserve"> z dnia 11 sierpnia 2021 r. o otwartych danych i ponownym wykorzystywaniu informacji sektora publicznego (Dz. U. z 2023 r. poz. 1524).</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41.</w:t>
      </w:r>
      <w:r>
        <w:rPr>
          <w:rFonts w:ascii="Times New Roman"/>
          <w:b/>
          <w:i w:val="false"/>
          <w:color w:val="000000"/>
          <w:sz w:val="24"/>
          <w:lang w:val="pl-PL"/>
        </w:rPr>
        <w:t xml:space="preserve"> [Fundusz Gospodarki Zasobem Geodezyjnym i Kartograficznym]</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Tworzy się Fundusz Gospodarki Zasobem Geodezyjnym i Kartograficznym, zwany dalej "Funduszem", będący państwowym funduszem celowym w rozumieniu </w:t>
      </w:r>
      <w:r>
        <w:rPr>
          <w:rFonts w:ascii="Times New Roman"/>
          <w:b w:val="false"/>
          <w:i w:val="false"/>
          <w:color w:val="1b1b1b"/>
          <w:sz w:val="24"/>
          <w:lang w:val="pl-PL"/>
        </w:rPr>
        <w:t>ustawy</w:t>
      </w:r>
      <w:r>
        <w:rPr>
          <w:rFonts w:ascii="Times New Roman"/>
          <w:b w:val="false"/>
          <w:i w:val="false"/>
          <w:color w:val="000000"/>
          <w:sz w:val="24"/>
          <w:lang w:val="pl-PL"/>
        </w:rPr>
        <w:t xml:space="preserve"> z dnia 27 sierpnia 2009 r. o finansach publicznych (Dz. U. z 2023 r. poz. 1270, z późn. zm.).</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Przychodami Funduszu są wpływy z opłat:</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za udostępnienie zbiorów danych oraz innych materiałów z zasobu centralnego oraz za czynności urzędowe związane z prowadzeniem tego zasobu;</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za przeprowadzenie postępowania kwalifikacyjnego dla osób ubiegających się o nadanie uprawnień zawodowych w dziedzinie geodezji i kartografii oraz za wydanie dziennika praktyki zawodowej;</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za przeprowadzenie testu umiejętności w postępowaniu w sprawie uznania kwalifikacji do wykonywania zawodów regulowanych w dziedzinie geodezji i kartografii;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(uchylony).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Środki Funduszu są przeznaczone na dofinansowanie zadań związanych z aktualizacją i utrzymywaniem państwowego zasobu geodezyjnego i kartograficznego, w szczególności na: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zakładanie, aktualizację i modernizację krajowego systemu informacji o terenie, map topograficznych i tematycznych, osnów geodezyjnych, mapy zasadniczej, geodezyjnej ewidencji sieci uzbrojenia terenu, ewidencji gruntów i budynków;</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zakup urządzeń i wyposażenia lokali niezbędnych do prowadzenia zasobu;</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informatyzację zasobu, w tym zakup sprzętu informatycznego i oprogramowania;</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podnoszenie kwalifikacji pracowników Służby Geodezyjnej i Kartograficznej zatrudnionych w związku z prowadzeniem zasobu poprzez pokrywanie kosztów szkoleń, narad i konferencji w zakresie udostępniania, aktualizacji, utrzymywania i rozwoju tego zasobu;</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opracowywanie, drukowanie i dystrybucję standardów i instrukcji technicznych, a także materiałów informacyjnych dotyczących zasobu oraz upowszechnianie informacji o zasobie;</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działalność wydawniczą Służby Geodezyjnej i Kartograficznej.</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Środki Funduszu poza dofinansowaniem zadań, o których mowa w ust. 3, przeznacza się również na: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finansowanie kosztów przeprowadzania postępowania kwalifikacyjnego dla osób ubiegających się o nadanie uprawnień zawodowych w dziedzinie geodezji i kartografii oraz kosztów druku i dystrybucji dziennika praktyki zawodowej;</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finansowanie kosztów przeprowadzania testu umiejętności w postępowaniu w sprawie uznania kwalifikacji do wykonywania zawodów regulowanych w dziedzinie geodezji i kartografii.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Środkami Funduszu dysponuje Główny Geodeta Kraju.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41a.</w:t>
      </w:r>
    </w:p>
    <w:p>
      <w:pPr>
        <w:spacing w:after="0"/>
        <w:ind w:left="0"/>
        <w:jc w:val="left"/>
        <w:textAlignment w:val="auto"/>
      </w:pP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41b.</w:t>
      </w:r>
      <w:r>
        <w:rPr>
          <w:rFonts w:ascii="Times New Roman"/>
          <w:b/>
          <w:i w:val="false"/>
          <w:color w:val="000000"/>
          <w:sz w:val="24"/>
          <w:lang w:val="pl-PL"/>
        </w:rPr>
        <w:t xml:space="preserve"> [Zasoby wojewódzkie i powiatowe – finansowanie zadań związanych z prowadzeniem zasobu geodezyjnego i kartograficznego]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Wpływy z udostępniania map oraz innych materiałów i informacji z zasobów wojewódzkich, a także z opłat za czynności związane z prowadzeniem tych zasobów są dochodami własnymi budżetu samorządu województwa.</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Wpływy z udostępniania map, danych z ewidencji gruntów i budynków oraz innych materiałów i informacji z zasobów powiatowych, a także z opłat za czynności związane z prowadzeniem tych zasobów i uzgadnianiem usytuowania projektowanych sieci uzbrojenia terenu są dochodami własnymi budżetu powiatu.</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Z budżetu odpowiednio samorządu województwa i powiatu, w wysokości nie mniejszej niż uzyskana w roku poprzednim kwota wpływów, o których mowa w ust. 1 i 2, są finansowane zadania związane z gromadzeniem, aktualizacją, uzupełnianiem, udostępnianiem i zabezpieczaniem zasobu geodezyjnego i kartograficznego oraz wyłączaniem materiałów z zasobu, w szczególności: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przebudowa i remont lokali przeznaczonych do prowadzenia zasobu;</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wyposażenie i utrzymanie w należytym stanie technicznym lokali przeznaczonych do prowadzenia zasobu;</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informatyzacja zasobu;</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zakładanie, aktualizacja i modernizacja map topograficznych i tematycznych, osnów geodezyjnych, mapy zasadniczej, geodezyjnej ewidencji sieci uzbrojenia terenu, ewidencji gruntów i budynków;</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weryfikacja wyników zgłoszonych prac geodezyjnych przekazywanych do organu Służby Geodezyjnej i Kartograficznej;</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wykonywanie ekspertyz i opracowań dotyczących stanu zasobu oraz jego potrzeb rozwojowych;</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zakup urządzeń, oprzyrządowania, sprzętu informatycznego, oprogramowania oraz sprzętu poligraficznego, niezbędnych do realizowania zadań wymienionych w pkt 1-6;</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podnoszenie kwalifikacji pracowników Służby Geodezyjnej i Kartograficznej zatrudnionych w związku z prowadzeniem zasobu poprzez pokrywanie kosztów szkoleń, narad i konferencji w zakresie udostępniania, aktualizacji, utrzymywania i rozwoju tego zasobu.</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8</w:t>
      </w:r>
    </w:p>
    <w:p>
      <w:pPr>
        <w:spacing w:before="25" w:after="0"/>
        <w:ind w:left="0"/>
        <w:jc w:val="center"/>
        <w:textAlignment w:val="auto"/>
      </w:pPr>
      <w:r>
        <w:rPr>
          <w:rFonts w:ascii="Times New Roman"/>
          <w:b/>
          <w:i w:val="false"/>
          <w:color w:val="000000"/>
          <w:sz w:val="24"/>
          <w:lang w:val="pl-PL"/>
        </w:rPr>
        <w:t>Uprawnienia zawodowe oraz odpowiedzialność dyscyplinarna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42.</w:t>
      </w:r>
      <w:r>
        <w:rPr>
          <w:rFonts w:ascii="Times New Roman"/>
          <w:b/>
          <w:i w:val="false"/>
          <w:color w:val="000000"/>
          <w:sz w:val="24"/>
          <w:lang w:val="pl-PL"/>
        </w:rPr>
        <w:t xml:space="preserve"> [Samodzielne funkcje w dziedzinie geodezji i kartografii]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Do wykonywania samodzielnych funkcji w dziedzinie geodezji i kartografii jest niezbędne posiadanie uprawnień zawodowych.</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Przez wykonywanie samodzielnych funkcji w dziedzinie geodezji i kartografii rozumie się:</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kierowanie pracami geodezyjnymi i kartograficznymi, podlegającymi zgłoszeniu do organu Służby Geodezyjnej i Kartograficznej lub wykonywanymi na zlecenie tego organu, oraz sprawowanie nad nimi bezpośredniego nadzoru;</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wykonywanie czynności rzeczoznawcy z zakresu prac geodezyjnych, podlegających zgłoszeniu do organu Służby Geodezyjnej i Kartograficznej lub wykonywanych na zlecenie tego organu, oraz sprawowanie nad nimi bezpośredniego nadzoru;</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pełnienie funkcji inspektora nadzoru z zakresu geodezji i kartografii;</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wykonywanie czynności technicznych i administracyjnych związanych z rozgraniczaniem nieruchomości;</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wykonywanie prac geodezyjnych i kartograficznych niezbędnych do dokonywania wpisów w księgach wieczystych oraz prac, w wyniku których mogłoby nastąpić zagrożenie dla zdrowia lub życia ludzkiego, w szczególności wytyczenie obiektów budowlanych w terenie, wykonywanie pomiarów kontrolnych oraz wykonywanie pomiarów przemieszczeń i odkształceń obiektów budowlanych.</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Osoby wykonujące samodzielne funkcje w dziedzinie geodezji i kartografii są obowiązane wykonywać swoje zadania z należytą starannością, zgodnie z zasadami współczesnej wiedzy technicznej i obowiązującymi przepisami prawa.</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Osoby wykonujące samodzielne funkcje w dziedzinie geodezji i kartografii mogą poświadczać za zgodność z oryginałem sporządzone przez siebie kopie protokołów, map i innych dokumentów, które podlegają przekazaniu do państwowego zasobu geodezyjnego i kartograficznego wraz z wynikami prac geodezyjnych.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43.</w:t>
      </w:r>
      <w:r>
        <w:rPr>
          <w:rFonts w:ascii="Times New Roman"/>
          <w:b/>
          <w:i w:val="false"/>
          <w:color w:val="000000"/>
          <w:sz w:val="24"/>
          <w:lang w:val="pl-PL"/>
        </w:rPr>
        <w:t xml:space="preserve"> [Zakresy uprawnień zawodowych w dziedzinie geodezji i kartografii]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Uprawnienia zawodowe nadaje się w następujących zakresach:</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geodezyjne pomiary sytuacyjno-wysokościowe, realizacyjne i inwentaryzacyjne;</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rozgraniczanie i podziały nieruchomości (gruntów) oraz sporządzanie dokumentacji do celów prawnych;</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geodezyjne pomiary podstawowe;</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geodezyjna obsługa inwestycji;</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geodezyjne urządzanie terenów rolnych i leśnych;</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redakcja map;</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fotogrametria i teledetekcja;</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44.</w:t>
      </w:r>
      <w:r>
        <w:rPr>
          <w:rFonts w:ascii="Times New Roman"/>
          <w:b/>
          <w:i w:val="false"/>
          <w:color w:val="000000"/>
          <w:sz w:val="24"/>
          <w:lang w:val="pl-PL"/>
        </w:rPr>
        <w:t xml:space="preserve"> [Warunki uzyskania uprawnień zawodowych w dziedzinie geodezji i kartografii]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Uprawnienia zawodowe w dziedzinie geodezji i kartografii w zakresach, o których mowa w art. 43 pkt 1, 2, 4 i 5, mogą uzyskać osoby, które: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posiadają pełną zdolność do czynności prawnych;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nie były karane za przestępstwo przeciwko działalności instytucji państwowych oraz samorządu terytorialnego, za przestępstwo przeciwko wymiarowi sprawiedliwości, za przestępstwo przeciwko wiarygodności dokumentów, za przestępstwo przeciwko mieniu, za przestępstwo przeciwko obrotowi gospodarczemu, za przestępstwo przeciwko obrotowi pieniędzmi i papierami wartościowymi lub za przestępstwo skarbowe;</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posiadają wyższe, średnie lub średnie branżowe wykształcenie geodezyjne;</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posiadają rok praktyki zawodowej w przypadku ukończenia studiów wyższych drugiego stopnia lub jednolitych studiów magisterskich, 2 lata praktyki zawodowej w przypadku ukończenia studiów wyższych pierwszego stopnia albo 6 lat praktyki zawodowej w przypadku posiadania średniego lub średniego branżowego wykształcenia geodezyjnego;</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wykażą się znajomością przepisów w dziedzinie geodezji i kartografii.</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2a.</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Osoby posiadające w dziedzinie geodezji i kartografii tytuł naukowy profesora albo I lub II stopień specjalizacji zawodowej, nadane w trybie odrębnych przepisów, są zwolnione z obowiązku spełnienia wymagań określonych w ust. 1 pkt 4 i 5.</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Główny Geodeta Kraju może w uzasadnionych przypadkach, na wniosek osoby ubiegającej się o uzyskanie uprawnień zawodowych, uznać posiadanie innego pokrewnego wykształcenia i długoletniej geodezyjnej lub kartograficznej praktyki zawodowej za spełnienie wymagań kwalifikacyjnych, o których mowa w ust. 1.</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44a.</w:t>
      </w:r>
      <w:r>
        <w:rPr>
          <w:rFonts w:ascii="Times New Roman"/>
          <w:b/>
          <w:i w:val="false"/>
          <w:color w:val="000000"/>
          <w:sz w:val="24"/>
          <w:lang w:val="pl-PL"/>
        </w:rPr>
        <w:t xml:space="preserve"> [Warunki uzyskania uprawnień zawodowych w dziedzinie geodezji i kartografii]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Uprawnienia zawodowe w dziedzinie geodezji i kartografii w zakresach, o których mowa w art. 43 pkt 3, 6 i 7, mogą uzyskać osoby, które: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posiadają pełną zdolność do czynności prawnych;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nie były karane za przestępstwo przeciwko działalności instytucji państwowych oraz samorządu terytorialnego, za przestępstwo przeciwko wymiarowi sprawiedliwości, za przestępstwo przeciwko wiarygodności dokumentów, za przestępstwo przeciwko mieniu, za przestępstwo przeciwko obrotowi gospodarczemu, za przestępstwo przeciwko obrotowi pieniędzmi i papierami wartościowymi lub za przestępstwo skarbowe;</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posiadają odpowiednio:</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dyplom ukończenia studiów wyższych pierwszego stopnia, studiów wyższych drugiego stopnia lub jednolitych studiów magisterskich:</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na kierunku studiów w obszarze nauk technicznych, którego program umożliwia nabycie umiejętności dotyczących geodezyjnych pomiarów podstawowych - dla zakresu geodezyjne pomiary podstawowe,</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na kierunku studiów w obszarze nauk technicznych lub w obszarze nauk przyrodniczych, którego program umożliwia nabycie umiejętności dotyczących redakcji map - dla zakresu redakcja map,</w:t>
      </w:r>
    </w:p>
    <w:p>
      <w:pPr>
        <w:spacing w:after="0"/>
        <w:ind w:left="746"/>
        <w:jc w:val="left"/>
        <w:textAlignment w:val="auto"/>
      </w:pPr>
      <w:r>
        <w:rPr>
          <w:rFonts w:ascii="Times New Roman"/>
          <w:b w:val="false"/>
          <w:i w:val="false"/>
          <w:color w:val="000000"/>
          <w:sz w:val="24"/>
          <w:lang w:val="pl-PL"/>
        </w:rPr>
        <w:t>-</w:t>
      </w:r>
      <w:r>
        <w:rPr>
          <w:rFonts w:ascii="Times New Roman"/>
          <w:b w:val="false"/>
          <w:i w:val="false"/>
          <w:color w:val="000000"/>
          <w:sz w:val="24"/>
          <w:lang w:val="pl-PL"/>
        </w:rPr>
        <w:t xml:space="preserve"> na kierunku studiów w obszarze nauk technicznych lub w obszarze nauk przyrodniczych, którego program umożliwia nabycie umiejętności dotyczących fotogrametrii i teledetekcji - dla zakresu fotogrametria i teledetekcja,</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rok praktyki zawodowej w przypadku ukończenia studiów wyższych drugiego stopnia lub jednolitych studiów magisterskich albo 2 lata praktyki zawodowej w przypadku ukończenia studiów wyższych pierwszego stopnia.</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Uprawnienia, o których mowa w ust. 1, mogą otrzymać również osoby, które: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posiadają pełną zdolność do czynności prawnych;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nie były karane za przestępstwo przeciwko działalności instytucji państwowych oraz samorządu terytorialnego, za przestępstwo przeciwko wymiarowi sprawiedliwości, za przestępstwo przeciwko wiarygodności dokumentów, za przestępstwo przeciwko mieniu, za przestępstwo przeciwko obrotowi gospodarczemu, za przestępstwo przeciwko obrotowi pieniędzmi i papierami wartościowymi lub za przestępstwo skarbowe;</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posiadają średnie lub średnie branżowe wykształcenie geodezyjne;</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posiadają 6 lat praktyki zawodowej;</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wykażą się znajomością przepisów w dziedzinie geodezji i kartografii.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Osoby posiadające w dziedzinie geodezji i kartografii tytuł naukowy profesora albo I lub II stopień specjalizacji zawodowej, nadane w trybie odrębnych przepisów, są zwolnione z obowiązku spełnienia wymagań określonych w ust. 1 pkt 3 lit. b.</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Główny Geodeta Kraju może w uzasadnionych przypadkach, na wniosek osoby ubiegającej się o uzyskanie uprawnień zawodowych, uznać posiadanie innego pokrewnego wykształcenia i długoletniej geodezyjnej lub kartograficznej praktyki zawodowej za spełnienie wymagań kwalifikacyjnych, o których mowa w ust. 1 lub 2.</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44b.</w:t>
      </w:r>
      <w:r>
        <w:rPr>
          <w:rFonts w:ascii="Times New Roman"/>
          <w:b/>
          <w:i w:val="false"/>
          <w:color w:val="000000"/>
          <w:sz w:val="24"/>
          <w:lang w:val="pl-PL"/>
        </w:rPr>
        <w:t xml:space="preserve"> [Praktyka zawodowa osób ubiegających się o nadanie uprawnień w dziedzinie geodezji i kartografii]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Praktyka zawodowa obejmuje wykonywanie prac geodezyjnych i kartograficznych z odpowiedniego zakresu pod kierunkiem osoby posiadającej uprawnienia zawodowe w odpowiednim zakresie u przedsiębiorców lub w jednostkach organizacyjnych, o których mowa w art. 11.</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Osoba ubiegająca się o nadanie uprawnień zawodowych, zwana dalej "osobą zainteresowaną", może rozpocząć praktykę zawodową:</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jeżeli spełnia wymagania, o których mowa w art. 44 ust. 1 pkt 3, art. 44a ust. 1 pkt 3 lit. a lub w art. 44a ust. 2 pkt 3, albo</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po zaliczeniu szóstego semestru studiów wyższych, o których mowa w art. 44 ust. 1 pkt 3 albo w art. 44a ust. 1 pkt 3 lit. a, na podstawie umowy o pracę, umowy cywilnoprawnej lub umowy o praktykę absolwencką u przedsiębiorców lub w jednostkach organizacyjnych, o których mowa w art. 11, lub na podstawie umowy dotyczącej praktyki zawartej między uczelnią a takimi podmiotami.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Praktykę zawodową odbywaną przez osobę zainteresowaną, w przypadku, o którym mowa w ust. 2 pkt 2, wlicza się do okresów, o których mowa odpowiednio w art. 44 ust. 1 pkt 4 oraz w art. 44a ust. 1 pkt 3 lit. b, w wymiarze nieprzekraczającym 6 miesięcy.</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Osoba zainteresowana prowadzi dziennik praktyki zawodowej. Prace geodezyjne i kartograficzne wykonywane w ramach praktyki zawodowej są potwierdzane przez osobę posiadającą uprawnienia zawodowe w odpowiednim zakresie, pod kierunkiem której prace te były wykonywane.</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Dziennik praktyki zawodowej wydaje, na wniosek osoby zainteresowanej, Główny Geodeta Kraju.</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Osoba zainteresowana ponosi opłatę za wydanie dziennika praktyki zawodowej w wysokości 50 zł.</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Główny Geodeta Kraju prowadzi rejestr wydanych dzienników praktyki zawodowej.</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Rejestr wydanych dzienników praktyki zawodowej zawiera: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datę wydania dziennika praktyki zawodowej;</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imię, nazwisko i adres osoby zainteresowanej, której wydano dziennik praktyki zawodowej;</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określenie zakresu uprawnień zawodowych, o których nadanie ubiega się osoba zainteresowana;</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oznaczenie dokumentu potwierdzającego wykształcenie osoby zainteresowanej wymagane do rozpoczęcia praktyki zawodowej;</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potwierdzenie odbioru dziennika praktyki zawodowej przez osobę zainteresowaną.</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45.</w:t>
      </w:r>
      <w:r>
        <w:rPr>
          <w:rFonts w:ascii="Times New Roman"/>
          <w:b/>
          <w:i w:val="false"/>
          <w:color w:val="000000"/>
          <w:sz w:val="24"/>
          <w:lang w:val="pl-PL"/>
        </w:rPr>
        <w:t xml:space="preserve"> [Tryb nadawania uprawnień zawodowych w dziedzinie geodezji i kartografii]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Główny Geodeta Kraju nadaje uprawnienia zawodowe na wniosek osoby zainteresowanej.</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Wniosek o nadanie uprawnień zawodowych może dotyczyć tylko jednego z zakresów, o których mowa w art. 43. Złożenie przez osobę zainteresowaną wniosku w jednym zakresie nie wyłącza możliwości złożenia przez nią wniosku o nadanie uprawnień zawodowych w innym zakresie, z tym że będzie on rozpatrywany w kolejnym postępowaniu kwalifikacyjnym.</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Do wniosku o nadanie uprawnień zawodowych osoba zainteresowana dołącza: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dokumenty potwierdzające spełnienie wymagań, o których mowa w art. 44 lub art. 44a;</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potwierdzenie wniesienia opłaty za przeprowadzenie postępowania kwalifikacyjnego;</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oświadczenie o treści:</w:t>
      </w:r>
    </w:p>
    <w:p>
      <w:pPr>
        <w:spacing w:before="25" w:after="0"/>
        <w:ind w:left="373"/>
        <w:jc w:val="left"/>
        <w:textAlignment w:val="auto"/>
      </w:pPr>
      <w:r>
        <w:rPr>
          <w:rFonts w:ascii="Times New Roman"/>
          <w:b w:val="false"/>
          <w:i w:val="false"/>
          <w:color w:val="000000"/>
          <w:sz w:val="24"/>
          <w:lang w:val="pl-PL"/>
        </w:rPr>
        <w:t>"Świadomy odpowiedzialności karnej za złożenie fałszywego oświadczenia oświadczam, że zawarte we wniosku o nadanie uprawnień zawodowych i w załącznikach do tego wniosku informacje są zgodne z prawdą.".</w:t>
      </w:r>
    </w:p>
    <w:p>
      <w:pPr>
        <w:spacing w:before="26" w:after="0"/>
        <w:ind w:left="0"/>
        <w:jc w:val="left"/>
        <w:textAlignment w:val="auto"/>
      </w:pPr>
      <w:r>
        <w:rPr>
          <w:rFonts w:ascii="Times New Roman"/>
          <w:b w:val="false"/>
          <w:i w:val="false"/>
          <w:color w:val="000000"/>
          <w:sz w:val="24"/>
          <w:lang w:val="pl-PL"/>
        </w:rPr>
        <w:t>3a.</w:t>
      </w:r>
      <w:r>
        <w:rPr>
          <w:rFonts w:ascii="Times New Roman"/>
          <w:b w:val="false"/>
          <w:i w:val="false"/>
          <w:color w:val="000000"/>
          <w:sz w:val="24"/>
          <w:lang w:val="pl-PL"/>
        </w:rPr>
        <w:t> Oświadczenie, o którym mowa w ust. 3 pkt 3, składa się pod rygorem odpowiedzialności karnej za składanie fałszywych oświadczeń. Klauzula zawarta w tym oświadczeniu zastępuje pouczenie organu o odpowiedzialności karnej za składanie fałszywych oświadczeń.</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Główny Geodeta Kraju sprawdza wniosek o nadanie uprawnień zawodowych pod względem formalno-prawnym, a w razie konieczności wzywa osobę zainteresowaną do uzupełnienia wniosku w terminie 7 dni od dnia otrzymania wezwania. Wniosek nieuzupełniony w terminie pozostawia się bez rozpoznania.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45a.</w:t>
      </w:r>
      <w:r>
        <w:rPr>
          <w:rFonts w:ascii="Times New Roman"/>
          <w:b/>
          <w:i w:val="false"/>
          <w:color w:val="000000"/>
          <w:sz w:val="24"/>
          <w:lang w:val="pl-PL"/>
        </w:rPr>
        <w:t xml:space="preserve"> [Postępowanie kwalifikacyjne w sprawie nadania uprawnień zawodowych w dziedzinie geodezji i kartografii]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Stwierdzenie spełnienia przez osobę zainteresowaną wymagań określonych w art. 44 lub art. 44a następuje w drodze postępowania kwalifikacyjnego.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Postępowanie kwalifikacyjne obejmuje: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część wstępną, polegającą na weryfikacji dokumentów, o których mowa w art. 45 ust. 3;</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część sprawdzającą, polegającą na przeprowadzeniu egzaminu ze znajomości przepisów w dziedzinie geodezji i kartografii.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Postępowania kwalifikacyjnego określonego w ust. 2 pkt 2 nie prowadzi się wobec osób, o których mowa w art. 44 ust. 3 i art. 44a ust. 1 pkt 3 i ust. 3.</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45b.</w:t>
      </w:r>
      <w:r>
        <w:rPr>
          <w:rFonts w:ascii="Times New Roman"/>
          <w:b/>
          <w:i w:val="false"/>
          <w:color w:val="000000"/>
          <w:sz w:val="24"/>
          <w:lang w:val="pl-PL"/>
        </w:rPr>
        <w:t xml:space="preserve"> [Komisja kwalifikacyjna do spraw uprawnień zawodowych w dziedzinie geodezji i kartografii]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Postępowanie kwalifikacyjne prowadzi komisja kwalifikacyjna do spraw uprawnień zawodowych w dziedzinie geodezji i kartografii, zwana dalej "komisją kwalifikacyjną".</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Komisję kwalifikacyjną powołuje i odwołuje Główny Geodeta Kraju.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Komisję kwalifikacyjną powołuje się z udziałem przedstawicieli stowarzyszeń społeczno-zawodowych działających w dziedzinie geodezji i kartografii.</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Główny Geodeta Kraju wyznacza przewodniczącego komisji kwalifikacyjnej.</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Główny Geodeta Kraju, na wniosek przewodniczącego komisji kwalifikacyjnej, może powoływać zespoły kwalifikacyjne spośród członków tej komisji.</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Przewodniczącemu i członkom komisji kwalifikacyjnej przysługuje wynagrodzenie za przeprowadzenie postępowania kwalifikacyjnego.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45c.</w:t>
      </w:r>
      <w:r>
        <w:rPr>
          <w:rFonts w:ascii="Times New Roman"/>
          <w:b/>
          <w:i w:val="false"/>
          <w:color w:val="000000"/>
          <w:sz w:val="24"/>
          <w:lang w:val="pl-PL"/>
        </w:rPr>
        <w:t xml:space="preserve"> [Wszczęcie postępowania kwalifikacyjnego w sprawie nadania uprawnień zawodowych w dziedzinie geodezji i kartografii]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Główny Geodeta Kraju przekazuje wniosek o nadanie uprawnień zawodowych komisji kwalifikacyjnej po dokonaniu sprawdzenia, o którym mowa w art. 45 ust. 4.</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Postępowanie kwalifikacyjne wszczyna się z dniem przekazania wniosku komisji kwalifikacyjnej.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45d.</w:t>
      </w:r>
      <w:r>
        <w:rPr>
          <w:rFonts w:ascii="Times New Roman"/>
          <w:b/>
          <w:i w:val="false"/>
          <w:color w:val="000000"/>
          <w:sz w:val="24"/>
          <w:lang w:val="pl-PL"/>
        </w:rPr>
        <w:t xml:space="preserve"> [Opłata za przeprowadzenie postępowania kwalifikacyjnego w sprawie nadania uprawnień zawodowych w dziedzinie geodezji i kartografii]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Przed przystąpieniem do postępowania kwalifikacyjnego osoby zainteresowane ponoszą opłatę za przeprowadzenie tego postępowania.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Wysokość opłaty za przeprowadzenie postępowania kwalifikacyjnego nie może być większa niż połowa wysokości kwoty przeciętnego miesięcznego wynagrodzenia w gospodarce narodowej w roku poprzedzającym przeprowadzenie postępowania kwalifikacyjnego, ogłaszanego przez Prezesa Głównego Urzędu Statystycznego na podstawie </w:t>
      </w:r>
      <w:r>
        <w:rPr>
          <w:rFonts w:ascii="Times New Roman"/>
          <w:b w:val="false"/>
          <w:i w:val="false"/>
          <w:color w:val="1b1b1b"/>
          <w:sz w:val="24"/>
          <w:lang w:val="pl-PL"/>
        </w:rPr>
        <w:t>ustawy</w:t>
      </w:r>
      <w:r>
        <w:rPr>
          <w:rFonts w:ascii="Times New Roman"/>
          <w:b w:val="false"/>
          <w:i w:val="false"/>
          <w:color w:val="000000"/>
          <w:sz w:val="24"/>
          <w:lang w:val="pl-PL"/>
        </w:rPr>
        <w:t xml:space="preserve"> z dnia 17 grudnia 1998 r. o emeryturach i rentach z Funduszu Ubezpieczeń Społecznych (Dz. U. z 2023 r. poz. 1251, 1429 i 1672 oraz z 2024 r. poz. 834 i 858).</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 przypadku gdy postępowanie kwalifikacyjne obejmuje tylko część wstępną, o której mowa w art. 45a ust. 2 pkt 1, wysokość opłaty nie może być większa niż 20% opłaty, o której mowa w ust. 2.</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Wniesiona opłata za przeprowadzenie postępowania kwalifikacyjnego podlega zwrotowi: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 całości, w przypadku gdy osoba zainteresowana nie później niż w terminie 14 dni przed wyznaczoną datą przeprowadzenia części wstępnej wycofa wniosek o nadanie uprawnień zawodowych;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za część sprawdzającą, o której mowa w art. 45a ust. 2 pkt 2, w przypadku gdy osoba zainteresowana:</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nie została dopuszczona do egzaminu,</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nie przystąpiła do egzaminu w wyznaczonym terminie z przyczyn losowych i złożyła udokumentowany wniosek o zwrot opłaty w terminie 7 dni od wyznaczonej daty egzaminu.</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Opłatę wniesioną za przeprowadzenie postępowania kwalifikacyjnego, na wniosek osoby zainteresowanej, zwraca się na podany przez tę osobę numer rachunku bankowego albo przekazem pocztowym.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45e.</w:t>
      </w:r>
      <w:r>
        <w:rPr>
          <w:rFonts w:ascii="Times New Roman"/>
          <w:b/>
          <w:i w:val="false"/>
          <w:color w:val="000000"/>
          <w:sz w:val="24"/>
          <w:lang w:val="pl-PL"/>
        </w:rPr>
        <w:t xml:space="preserve"> [Termin zakończenia postępowania kwalifikacyjnego w sprawie nadania uprawnień zawodowych w dziedzinie geodezji i kartografii]</w:t>
      </w:r>
    </w:p>
    <w:p>
      <w:pPr>
        <w:spacing w:after="0"/>
        <w:ind w:left="0"/>
        <w:jc w:val="left"/>
        <w:textAlignment w:val="auto"/>
      </w:pPr>
      <w:r>
        <w:rPr>
          <w:rFonts w:ascii="Times New Roman"/>
          <w:b w:val="false"/>
          <w:i w:val="false"/>
          <w:color w:val="000000"/>
          <w:sz w:val="24"/>
          <w:lang w:val="pl-PL"/>
        </w:rPr>
        <w:t> Postępowanie kwalifikacyjne w sprawie nadania uprawnień zawodowych trwa nie dłużej niż 4 miesiące od dnia jego wszczęcia, a w przypadku postępowania obejmującego tylko część wstępną - nie dłużej niż 2 miesiące.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45f.</w:t>
      </w:r>
      <w:r>
        <w:rPr>
          <w:rFonts w:ascii="Times New Roman"/>
          <w:b/>
          <w:i w:val="false"/>
          <w:color w:val="000000"/>
          <w:sz w:val="24"/>
          <w:lang w:val="pl-PL"/>
        </w:rPr>
        <w:t xml:space="preserve"> [Wpis do centralnego rejestru osób posiadających uprawnienia zawodowe w dziedzinie geodezji i kartografii]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Po zakończeniu postępowania kwalifikacyjnego stwierdzającego spełnienie wymagań określonych w art. 44 lub art. 44a Główny Geodeta Kraju wydaje osobie zainteresowanej świadectwo stwierdzające nadanie uprawnień zawodowych i wpisuje ją do centralnego rejestru osób posiadających uprawnienia zawodowe. Odmowa nadania uprawnień zawodowych następuje w drodze decyzji.</w:t>
      </w:r>
    </w:p>
    <w:p>
      <w:pPr>
        <w:spacing w:before="26" w:after="0"/>
        <w:ind w:left="0"/>
        <w:jc w:val="left"/>
        <w:textAlignment w:val="auto"/>
      </w:pPr>
      <w:r>
        <w:rPr>
          <w:rFonts w:ascii="Times New Roman"/>
          <w:b w:val="false"/>
          <w:i w:val="false"/>
          <w:color w:val="000000"/>
          <w:sz w:val="24"/>
          <w:lang w:val="pl-PL"/>
        </w:rPr>
        <w:t xml:space="preserve">1a. </w:t>
      </w:r>
      <w:r>
        <w:rPr>
          <w:rFonts w:ascii="Times New Roman"/>
          <w:b w:val="false"/>
          <w:i w:val="false"/>
          <w:color w:val="000000"/>
          <w:sz w:val="24"/>
          <w:lang w:val="pl-PL"/>
        </w:rPr>
        <w:t xml:space="preserve"> </w:t>
      </w:r>
      <w:r>
        <w:rPr>
          <w:rFonts w:ascii="Times New Roman"/>
          <w:b w:val="false"/>
          <w:i w:val="false"/>
          <w:color w:val="000000"/>
          <w:sz w:val="24"/>
          <w:lang w:val="pl-PL"/>
        </w:rPr>
        <w:t xml:space="preserve">  Świadectwo, o którym mowa w ust. 1, może być udostępnione w postaci dokumentu mobilnego, o którym mowa w </w:t>
      </w:r>
      <w:r>
        <w:rPr>
          <w:rFonts w:ascii="Times New Roman"/>
          <w:b w:val="false"/>
          <w:i w:val="false"/>
          <w:color w:val="1b1b1b"/>
          <w:sz w:val="24"/>
          <w:lang w:val="pl-PL"/>
        </w:rPr>
        <w:t>art. 2 pkt 7</w:t>
      </w:r>
      <w:r>
        <w:rPr>
          <w:rFonts w:ascii="Times New Roman"/>
          <w:b w:val="false"/>
          <w:i w:val="false"/>
          <w:color w:val="000000"/>
          <w:sz w:val="24"/>
          <w:lang w:val="pl-PL"/>
        </w:rPr>
        <w:t xml:space="preserve"> ustawy z dnia 26 maja 2023 r. o aplikacji mObywatel (Dz. U. z 2024 r. poz. 1275 i 1717 oraz z 2025 r. poz. 1019), po uwierzytelnieniu osoby zainteresowanej przy użyciu certyfikatu podstawowego, o którym mowa w art. 2 pkt 2 tej ustawy.</w:t>
      </w:r>
    </w:p>
    <w:p>
      <w:pPr>
        <w:spacing w:before="26" w:after="0"/>
        <w:ind w:left="0"/>
        <w:jc w:val="left"/>
        <w:textAlignment w:val="auto"/>
      </w:pPr>
      <w:r>
        <w:rPr>
          <w:rFonts w:ascii="Times New Roman"/>
          <w:b w:val="false"/>
          <w:i w:val="false"/>
          <w:color w:val="000000"/>
          <w:sz w:val="24"/>
          <w:lang w:val="pl-PL"/>
        </w:rPr>
        <w:t xml:space="preserve">1b. </w:t>
      </w:r>
      <w:r>
        <w:rPr>
          <w:rFonts w:ascii="Times New Roman"/>
          <w:b w:val="false"/>
          <w:i w:val="false"/>
          <w:color w:val="000000"/>
          <w:sz w:val="24"/>
          <w:lang w:val="pl-PL"/>
        </w:rPr>
        <w:t xml:space="preserve"> </w:t>
      </w:r>
      <w:r>
        <w:rPr>
          <w:rFonts w:ascii="Times New Roman"/>
          <w:b w:val="false"/>
          <w:i w:val="false"/>
          <w:color w:val="000000"/>
          <w:sz w:val="24"/>
          <w:lang w:val="pl-PL"/>
        </w:rPr>
        <w:t xml:space="preserve">  Świadectwo, o którym mowa w ust. 1, udostępnione w postaci dokumentu mobilnego, o którym mowa w </w:t>
      </w:r>
      <w:r>
        <w:rPr>
          <w:rFonts w:ascii="Times New Roman"/>
          <w:b w:val="false"/>
          <w:i w:val="false"/>
          <w:color w:val="1b1b1b"/>
          <w:sz w:val="24"/>
          <w:lang w:val="pl-PL"/>
        </w:rPr>
        <w:t>art. 2 pkt 7</w:t>
      </w:r>
      <w:r>
        <w:rPr>
          <w:rFonts w:ascii="Times New Roman"/>
          <w:b w:val="false"/>
          <w:i w:val="false"/>
          <w:color w:val="000000"/>
          <w:sz w:val="24"/>
          <w:lang w:val="pl-PL"/>
        </w:rPr>
        <w:t xml:space="preserve"> ustawy z dnia 26 maja 2023 r. o aplikacji mObywatel, zawiera następujące informacje: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wskazanie organu wydającego świadectwo;</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numer świadectwa;</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zdjęcie osoby, której nadano uprawnienia zawodowe;</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nazwisko i imię (imiona) osoby, której nadano uprawnienia zawodowe;</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zakresy posiadanych uprawnień zawodowych i daty nadania.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45g.</w:t>
      </w:r>
      <w:r>
        <w:rPr>
          <w:rFonts w:ascii="Times New Roman"/>
          <w:b/>
          <w:i w:val="false"/>
          <w:color w:val="000000"/>
          <w:sz w:val="24"/>
          <w:lang w:val="pl-PL"/>
        </w:rPr>
        <w:t xml:space="preserve"> [Centralny rejestr osób posiadających uprawnienia zawodowe w dziedzinie geodezji i kartografii]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Prawo do wykonywania samodzielnych funkcji w dziedzinie geodezji i kartografii nabywa się z dniem wpisu do centralnego rejestru osób posiadających uprawnienia zawodowe.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Główny Geodeta Kraju prowadzi centralny rejestr, o którym mowa w ust. 1.</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 rejestrze wpisuje się następujące dane dotyczące osób, którym nadano uprawnienia zawodowe: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numer kolejny wpisu;</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nazwisko i imię (imiona);</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imię ojca;</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datę i miejsce urodzenia;</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numer PESEL albo rodzaj i numer dokumentu tożsamości w przypadku osoby nieposiadającej numeru PESEL;</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adres zamieszkania;</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wykształcenie;</w:t>
      </w:r>
    </w:p>
    <w:p>
      <w:pPr>
        <w:spacing w:before="26" w:after="0"/>
        <w:ind w:left="373"/>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xml:space="preserve"> numer świadectwa;</w:t>
      </w:r>
    </w:p>
    <w:p>
      <w:pPr>
        <w:spacing w:before="26" w:after="0"/>
        <w:ind w:left="373"/>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xml:space="preserve"> zakresy posiadanych uprawnień zawodowych i daty nadania;</w:t>
      </w:r>
    </w:p>
    <w:p>
      <w:pPr>
        <w:spacing w:before="26" w:after="0"/>
        <w:ind w:left="373"/>
        <w:jc w:val="left"/>
        <w:textAlignment w:val="auto"/>
      </w:pPr>
      <w:r>
        <w:rPr>
          <w:rFonts w:ascii="Times New Roman"/>
          <w:b w:val="false"/>
          <w:i w:val="false"/>
          <w:color w:val="000000"/>
          <w:sz w:val="24"/>
          <w:lang w:val="pl-PL"/>
        </w:rPr>
        <w:t>10)</w:t>
      </w:r>
      <w:r>
        <w:rPr>
          <w:rFonts w:ascii="Times New Roman"/>
          <w:b w:val="false"/>
          <w:i w:val="false"/>
          <w:color w:val="000000"/>
          <w:sz w:val="24"/>
          <w:lang w:val="pl-PL"/>
        </w:rPr>
        <w:t xml:space="preserve"> informacje o orzeczonych karach dyscyplinarnych, w tym datę wydania i oznaczenie orzeczenia oraz rodzaj orzeczonej kary dyscyplinarnej;</w:t>
      </w:r>
    </w:p>
    <w:p>
      <w:pPr>
        <w:spacing w:before="26" w:after="0"/>
        <w:ind w:left="373"/>
        <w:jc w:val="left"/>
        <w:textAlignment w:val="auto"/>
      </w:pPr>
      <w:r>
        <w:rPr>
          <w:rFonts w:ascii="Times New Roman"/>
          <w:b w:val="false"/>
          <w:i w:val="false"/>
          <w:color w:val="000000"/>
          <w:sz w:val="24"/>
          <w:lang w:val="pl-PL"/>
        </w:rPr>
        <w:t>11)</w:t>
      </w:r>
      <w:r>
        <w:rPr>
          <w:rFonts w:ascii="Times New Roman"/>
          <w:b w:val="false"/>
          <w:i w:val="false"/>
          <w:color w:val="000000"/>
          <w:sz w:val="24"/>
          <w:lang w:val="pl-PL"/>
        </w:rPr>
        <w:t xml:space="preserve"> informacje o wykreśleniach z rejestru oraz przyczynach tych wykreśleń.</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 rejestrze wpisuje się również dane dotyczące osób, którym uznano kwalifikacje do wykonywania zawodów regulowanych w dziedzinie geodezji i kartografii na terytorium Rzeczypospolitej Polskiej na zasadach określonych w </w:t>
      </w:r>
      <w:r>
        <w:rPr>
          <w:rFonts w:ascii="Times New Roman"/>
          <w:b w:val="false"/>
          <w:i w:val="false"/>
          <w:color w:val="1b1b1b"/>
          <w:sz w:val="24"/>
          <w:lang w:val="pl-PL"/>
        </w:rPr>
        <w:t>ustawie</w:t>
      </w:r>
      <w:r>
        <w:rPr>
          <w:rFonts w:ascii="Times New Roman"/>
          <w:b w:val="false"/>
          <w:i w:val="false"/>
          <w:color w:val="000000"/>
          <w:sz w:val="24"/>
          <w:lang w:val="pl-PL"/>
        </w:rPr>
        <w:t xml:space="preserve"> z dnia 22 grudnia 2015 r. o zasadach uznawania kwalifikacji zawodowych nabytych w państwach członkowskich Unii Europejskiej (Dz. U. z 2023 r. poz. 334).</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Wyciągi z rejestru zawierające dane wymienione w ust. 3 pkt 1-3, 8 i 9 podlegają publikacji w Biuletynie Informacji Publicznej na stronie podmiotowej Głównego Urzędu Geodezji i Kartografii. Publikacji podlegają także zmiany w rejestrze.</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Publikacji w Biuletynie Informacji Publicznej na stronie podmiotowej Głównego Urzędu Geodezji i Kartografii nie podlegają dane, o których mowa w ust. 3 pkt 1-3, 8 i 9, dotyczące osób, wobec których prawomocnie orzeczono karę, o której mowa w art. 46a ust. 1 pkt 3, w okresie jej trwania.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45h.</w:t>
      </w:r>
      <w:r>
        <w:rPr>
          <w:rFonts w:ascii="Times New Roman"/>
          <w:b/>
          <w:i w:val="false"/>
          <w:color w:val="000000"/>
          <w:sz w:val="24"/>
          <w:lang w:val="pl-PL"/>
        </w:rPr>
        <w:t xml:space="preserve"> [Delegacja ustawowa]</w:t>
      </w:r>
    </w:p>
    <w:p>
      <w:pPr>
        <w:spacing w:after="0"/>
        <w:ind w:left="0"/>
        <w:jc w:val="left"/>
        <w:textAlignment w:val="auto"/>
      </w:pPr>
      <w:r>
        <w:rPr>
          <w:rFonts w:ascii="Times New Roman"/>
          <w:b w:val="false"/>
          <w:i w:val="false"/>
          <w:color w:val="000000"/>
          <w:sz w:val="24"/>
          <w:lang w:val="pl-PL"/>
        </w:rPr>
        <w:t> Minister właściwy do spraw budownictwa, planowania i zagospodarowania przestrzennego oraz mieszkalnictwa określi, w drodze rozporządzenia: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sposób, tryb i szczegółowe warunki nadawania uprawnień zawodowych oraz działania komisji kwalifikacyjnej, w szczególności:</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tryb składania dokumentów, o których mowa w art. 45 ust. 3,</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warunki uznawania praktyki zawodowej, a także sposób prowadzenia dziennika praktyki zawodowej, w tym jego wzór,</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organizację i sposób działania komisji kwalifikacyjnej,</w:t>
      </w:r>
    </w:p>
    <w:p>
      <w:pPr>
        <w:spacing w:after="0"/>
        <w:ind w:left="746"/>
        <w:jc w:val="left"/>
        <w:textAlignment w:val="auto"/>
      </w:pPr>
      <w:r>
        <w:rPr>
          <w:rFonts w:ascii="Times New Roman"/>
          <w:b w:val="false"/>
          <w:i w:val="false"/>
          <w:color w:val="000000"/>
          <w:sz w:val="24"/>
          <w:lang w:val="pl-PL"/>
        </w:rPr>
        <w:t>d)</w:t>
      </w:r>
      <w:r>
        <w:rPr>
          <w:rFonts w:ascii="Times New Roman"/>
          <w:b w:val="false"/>
          <w:i w:val="false"/>
          <w:color w:val="000000"/>
          <w:sz w:val="24"/>
          <w:lang w:val="pl-PL"/>
        </w:rPr>
        <w:t xml:space="preserve"> sposób przeprowadzania postępowania kwalifikacyjnego i ustalania jego kosztów,</w:t>
      </w:r>
    </w:p>
    <w:p>
      <w:pPr>
        <w:spacing w:after="0"/>
        <w:ind w:left="746"/>
        <w:jc w:val="left"/>
        <w:textAlignment w:val="auto"/>
      </w:pPr>
      <w:r>
        <w:rPr>
          <w:rFonts w:ascii="Times New Roman"/>
          <w:b w:val="false"/>
          <w:i w:val="false"/>
          <w:color w:val="000000"/>
          <w:sz w:val="24"/>
          <w:lang w:val="pl-PL"/>
        </w:rPr>
        <w:t>e)</w:t>
      </w:r>
      <w:r>
        <w:rPr>
          <w:rFonts w:ascii="Times New Roman"/>
          <w:b w:val="false"/>
          <w:i w:val="false"/>
          <w:color w:val="000000"/>
          <w:sz w:val="24"/>
          <w:lang w:val="pl-PL"/>
        </w:rPr>
        <w:t xml:space="preserve"> wzory świadectw stwierdzających nadanie uprawnień zawodowych w dziedzinie geodezji i kartografii,</w:t>
      </w:r>
    </w:p>
    <w:p>
      <w:pPr>
        <w:spacing w:after="0"/>
        <w:ind w:left="746"/>
        <w:jc w:val="left"/>
        <w:textAlignment w:val="auto"/>
      </w:pPr>
      <w:r>
        <w:rPr>
          <w:rFonts w:ascii="Times New Roman"/>
          <w:b w:val="false"/>
          <w:i w:val="false"/>
          <w:color w:val="000000"/>
          <w:sz w:val="24"/>
          <w:lang w:val="pl-PL"/>
        </w:rPr>
        <w:t>f)</w:t>
      </w:r>
      <w:r>
        <w:rPr>
          <w:rFonts w:ascii="Times New Roman"/>
          <w:b w:val="false"/>
          <w:i w:val="false"/>
          <w:color w:val="000000"/>
          <w:sz w:val="24"/>
          <w:lang w:val="pl-PL"/>
        </w:rPr>
        <w:t xml:space="preserve"> warunki, które powinien spełniać program studiów osób ubiegających się o nadanie uprawnień zawodowych w zakresach, o których mowa w art. 43 pkt 3, 6 i 7, aby komisja kwalifikacyjna mogła uznać umiejętności, o których mowa w art. 44a ust. 1 pkt 3 lit. a, jako spełniające wymagania do nadania uprawnień zawodowych;</w:t>
      </w:r>
    </w:p>
    <w:p>
      <w:pPr>
        <w:spacing w:before="25" w:after="0"/>
        <w:ind w:left="373"/>
        <w:jc w:val="left"/>
        <w:textAlignment w:val="auto"/>
      </w:pPr>
      <w:r>
        <w:rPr>
          <w:rFonts w:ascii="Times New Roman"/>
          <w:b w:val="false"/>
          <w:i w:val="false"/>
          <w:color w:val="000000"/>
          <w:sz w:val="24"/>
          <w:lang w:val="pl-PL"/>
        </w:rPr>
        <w:t>- mając na względzie zapewnienie przejrzystego i sprawnego przeprowadzania czynności związanych z nadawaniem uprawnień zawodowych, a także uznawaniem praktyki zawodowe;</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wysokość opłaty za postępowanie kwalifikacyjne, kierując się wysokością kosztów postępowania kwalifikacyjnego i wydatków związanych z funkcjonowaniem komisji kwalifikacyjnej oraz tryb pobierania tej opłaty, uwzględniając części postępowania kwalifikacyjnego;</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wysokość wynagrodzenia przewodniczącego i członków komisji kwalifikacyjnej, uwzględniając liczbę osób przystępujących do postępowania kwalifikacyjnego oraz sposób przeprowadzenia postępowania kwalifikacyjnego.</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w:t>
      </w:r>
      <w:r>
        <w:rPr>
          <w:rFonts w:ascii="Times New Roman"/>
          <w:b/>
          <w:i w:val="false"/>
          <w:color w:val="000000"/>
          <w:sz w:val="24"/>
          <w:lang w:val="pl-PL"/>
        </w:rPr>
        <w:t xml:space="preserve"> [Odpowiedzialność dyscyplinarna osób wykonujących samodzielne funkcje w dziedzinie geodezji i kartografii]</w:t>
      </w:r>
    </w:p>
    <w:p>
      <w:pPr>
        <w:spacing w:after="0"/>
        <w:ind w:left="0"/>
        <w:jc w:val="left"/>
        <w:textAlignment w:val="auto"/>
      </w:pPr>
      <w:r>
        <w:rPr>
          <w:rFonts w:ascii="Times New Roman"/>
          <w:b w:val="false"/>
          <w:i w:val="false"/>
          <w:color w:val="000000"/>
          <w:sz w:val="24"/>
          <w:lang w:val="pl-PL"/>
        </w:rPr>
        <w:t> Osoba wykonująca samodzielne funkcje w dziedzinie geodezji i kartografii ponosi odpowiedzialność dyscyplinarną, jeżeli wykonuje swoje zadania: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z naruszeniem przepisów prawa;</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nie dochowując należytej staranności;</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niezgodnie z zasadami współczesnej wiedzy technicznej.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46a.</w:t>
      </w:r>
      <w:r>
        <w:rPr>
          <w:rFonts w:ascii="Times New Roman"/>
          <w:b/>
          <w:i w:val="false"/>
          <w:color w:val="000000"/>
          <w:sz w:val="24"/>
          <w:lang w:val="pl-PL"/>
        </w:rPr>
        <w:t xml:space="preserve"> [Katalog kar dyscyplinarnych]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Karami dyscyplinarnymi są:</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upomnienie;</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nagana;</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zawieszenie możliwości wykonywania uprawnień zawodowych na okres od 6 miesięcy do 1 roku;</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odebranie uprawnień zawodowych.</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Osoba, której odebrano uprawnienia zawodowe, może ubiegać się o ponowne ich uzyskanie po upływie 3 lat od dnia ich odebrania.</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Organ orzekający w sprawach odpowiedzialności dyscyplinarnej osób wykonujących samodzielne funkcje w dziedzinie geodezji i kartografii wymierza karę w granicach określonych w ustawie, uwzględniając stopień szkodliwości czynu, stopień winy, a także cele kary w zakresie społecznego oddziaływania oraz cele zapobiegawcze i dyscyplinujące, które ma osiągnąć w stosunku do ukaranego.</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Wymierzając karę, organ orzekający uwzględnia motywy i sposób działania, okoliczności działania lub zaniechania, jak również właściwości, warunki osobiste osoby, wobec której toczy się postępowanie dyscyplinarne oraz jej doświadczenie zawodowe.</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Karę określoną w ust. 1 pkt 3 wymierza się w przypadku rażącego naruszenia przepisów obowiązujących w geodezji i kartografii.</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Karę określoną w ust. 1 pkt 4 wymierza się w przypadku, gdy na skutek rażącego naruszenia przepisów nastąpiło zagrożenie dla zdrowia, życia lub mienia o dużej wartości.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46b.</w:t>
      </w:r>
      <w:r>
        <w:rPr>
          <w:rFonts w:ascii="Times New Roman"/>
          <w:b/>
          <w:i w:val="false"/>
          <w:color w:val="000000"/>
          <w:sz w:val="24"/>
          <w:lang w:val="pl-PL"/>
        </w:rPr>
        <w:t xml:space="preserve"> [Wszczęcie postępowania dyscyplinarnego]</w:t>
      </w:r>
    </w:p>
    <w:p>
      <w:pPr>
        <w:spacing w:after="0"/>
        <w:ind w:left="0"/>
        <w:jc w:val="left"/>
        <w:textAlignment w:val="auto"/>
      </w:pPr>
      <w:r>
        <w:rPr>
          <w:rFonts w:ascii="Times New Roman"/>
          <w:b w:val="false"/>
          <w:i w:val="false"/>
          <w:color w:val="000000"/>
          <w:sz w:val="24"/>
          <w:lang w:val="pl-PL"/>
        </w:rPr>
        <w:t> Postępowanie dyscyplinarne może być wszczęte niezależnie od innych rodzajów odpowiedzialności za ten sam czyn.</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46c.</w:t>
      </w:r>
      <w:r>
        <w:rPr>
          <w:rFonts w:ascii="Times New Roman"/>
          <w:b/>
          <w:i w:val="false"/>
          <w:color w:val="000000"/>
          <w:sz w:val="24"/>
          <w:lang w:val="pl-PL"/>
        </w:rPr>
        <w:t xml:space="preserve"> [Termin do wszczęcia postępowania dyscyplinarnego]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Nie można wszcząć postępowania dyscyplinarnego, jeżeli od chwili popełnienia czynu upłynęły trzy lata.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Jeżeli jednak czyn zawiera znamiona przestępstwa, przedawnienie dyscyplinarne nie następuje wcześniej niż przedawnienie przewidziane w przepisach </w:t>
      </w:r>
      <w:r>
        <w:rPr>
          <w:rFonts w:ascii="Times New Roman"/>
          <w:b w:val="false"/>
          <w:i w:val="false"/>
          <w:color w:val="1b1b1b"/>
          <w:sz w:val="24"/>
          <w:lang w:val="pl-PL"/>
        </w:rPr>
        <w:t>ustawy</w:t>
      </w:r>
      <w:r>
        <w:rPr>
          <w:rFonts w:ascii="Times New Roman"/>
          <w:b w:val="false"/>
          <w:i w:val="false"/>
          <w:color w:val="000000"/>
          <w:sz w:val="24"/>
          <w:lang w:val="pl-PL"/>
        </w:rPr>
        <w:t xml:space="preserve"> z dnia 6 czerwca 1997 r. - Kodeks karny (Dz. U. z 2024 r. poz. 17).</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Wszczęcie postępowania wyjaśniającego przerywa bieg terminu przedawnienia, o którym mowa w ust. 1.</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Karalność przewinienia dyscyplinarnego ustaje, jeżeli od czasu jego popełnienia upłynęło pięć lat.</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46d.</w:t>
      </w:r>
      <w:r>
        <w:rPr>
          <w:rFonts w:ascii="Times New Roman"/>
          <w:b/>
          <w:i w:val="false"/>
          <w:color w:val="000000"/>
          <w:sz w:val="24"/>
          <w:lang w:val="pl-PL"/>
        </w:rPr>
        <w:t xml:space="preserve"> [Rzecznik dyscyplinarny]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Rzecznika dyscyplinarnego powołuje i odwołuje wojewoda na wniosek wojewódzkiego inspektora nadzoru geodezyjnego i kartograficznego.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Rzecznikiem dyscyplinarnym może być osoba zatrudniona w urzędzie wojewódzkim dająca należytą rękojmię wykonywania tej funkcji z racji posiadanej wiedzy oraz doświadczenia w dziedzinie geodezji i kartografii.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46e.</w:t>
      </w:r>
      <w:r>
        <w:rPr>
          <w:rFonts w:ascii="Times New Roman"/>
          <w:b/>
          <w:i w:val="false"/>
          <w:color w:val="000000"/>
          <w:sz w:val="24"/>
          <w:lang w:val="pl-PL"/>
        </w:rPr>
        <w:t xml:space="preserve"> [Zadania rzecznika dyscyplinarnego]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Do zadań rzecznika dyscyplinarnego należą w szczególności:</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prowadzenie postępowania wyjaśniającego;</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składanie wniosków o ukaranie;</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udział w postępowaniu dyscyplinarnym w charakterze strony.</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Rzecznik dyscyplinarny wszczyna postępowanie wyjaśniające na wniosek wojewódzkiego inspektora nadzoru geodezyjnego i kartograficznego albo Głównego Geodety Kraju. O wszczęciu tego postępowania rzecznik dyscyplinarny zawiadamia osobę wykonującą samodzielne funkcje w dziedzinie geodezji i kartografii, której ono dotyczy.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Jeżeli zebrany materiał dowodowy nie daje podstaw do sporządzenia wniosku o ukaranie, rzecznik dyscyplinarny wydaje postanowienie o umorzeniu postępowania wyjaśniającego, o czym zawiadamia osobę wykonującą samodzielne funkcje w dziedzinie geodezji i kartografii, której ono dotyczy.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46f.</w:t>
      </w:r>
      <w:r>
        <w:rPr>
          <w:rFonts w:ascii="Times New Roman"/>
          <w:b/>
          <w:i w:val="false"/>
          <w:color w:val="000000"/>
          <w:sz w:val="24"/>
          <w:lang w:val="pl-PL"/>
        </w:rPr>
        <w:t xml:space="preserve"> [Spory o właściwość pomiędzy rzecznikami dyscyplinarnymi]</w:t>
      </w:r>
    </w:p>
    <w:p>
      <w:pPr>
        <w:spacing w:after="0"/>
        <w:ind w:left="0"/>
        <w:jc w:val="left"/>
        <w:textAlignment w:val="auto"/>
      </w:pPr>
      <w:r>
        <w:rPr>
          <w:rFonts w:ascii="Times New Roman"/>
          <w:b w:val="false"/>
          <w:i w:val="false"/>
          <w:color w:val="000000"/>
          <w:sz w:val="24"/>
          <w:lang w:val="pl-PL"/>
        </w:rPr>
        <w:t> Spory o właściwość pomiędzy rzecznikami dyscyplinarnymi rozstrzyga Główny Geodeta Kraju.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46g.</w:t>
      </w:r>
      <w:r>
        <w:rPr>
          <w:rFonts w:ascii="Times New Roman"/>
          <w:b/>
          <w:i w:val="false"/>
          <w:color w:val="000000"/>
          <w:sz w:val="24"/>
          <w:lang w:val="pl-PL"/>
        </w:rPr>
        <w:t xml:space="preserve"> [Wojewódzkie komisje dyscyplinarne; Odwoławcza Komisja Dyscyplinarna]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 sprawach dyscyplinarnych orzekają w I instancji wojewódzkie komisje dyscyplinarne.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sprawach dyscyplinarnych orzeka w II instancji Odwoławcza Komisja Dyscyplinarna działająca przy Głównym Geodecie Kraju.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Komisją dyscyplinarną właściwą do rozpoznania sprawy jest wojewódzka komisja dyscyplinarna, na której obszarze działania popełniono czyn uzasadniający odpowiedzialność dyscyplinarną.</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Wojewodowie, w drodze porozumienia, mogą utworzyć wspólną komisję dyscyplinarną, właściwą dla dwóch lub więcej województw.</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Spory o właściwość pomiędzy wojewódzkimi komisjami dyscyplinarnymi rozstrzyga Główny Geodeta Kraju.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46h.</w:t>
      </w:r>
      <w:r>
        <w:rPr>
          <w:rFonts w:ascii="Times New Roman"/>
          <w:b/>
          <w:i w:val="false"/>
          <w:color w:val="000000"/>
          <w:sz w:val="24"/>
          <w:lang w:val="pl-PL"/>
        </w:rPr>
        <w:t xml:space="preserve"> [Powołanie członków wojewódzkiej komisji dyscyplinarnej]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Członków wojewódzkiej komisji dyscyplinarnej, w tym przewodniczącego, powołuje, w drodze zarządzenia, na czteroletnią kadencję, wojewoda, na wniosek wojewódzkiego inspektora nadzoru geodezyjnego i kartograficznego.</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Członkiem wojewódzkiej komisji dyscyplinarnej może być osoba dająca należytą rękojmię wykonywania tej funkcji z racji posiadanej wiedzy oraz doświadczenia w dziedzinie geodezji i kartografii.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46i.</w:t>
      </w:r>
      <w:r>
        <w:rPr>
          <w:rFonts w:ascii="Times New Roman"/>
          <w:b/>
          <w:i w:val="false"/>
          <w:color w:val="000000"/>
          <w:sz w:val="24"/>
          <w:lang w:val="pl-PL"/>
        </w:rPr>
        <w:t xml:space="preserve"> [Powołanie członków Odwoławczej Komisji Dyscyplinarnej]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Członków Odwoławczej Komisji Dyscyplinarnej, w tym przewodniczącego, powołuje, w drodze zarządzenia, na czteroletnią kadencję, Główny Geodeta Kraju.</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Członkiem Odwoławczej Komisji Dyscyplinarnej może być osoba dająca należytą rękojmię wykonywania tej funkcji z racji posiadanej wiedzy oraz doświadczenia w dziedzinie geodezji i kartografii.</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46j.</w:t>
      </w:r>
      <w:r>
        <w:rPr>
          <w:rFonts w:ascii="Times New Roman"/>
          <w:b/>
          <w:i w:val="false"/>
          <w:color w:val="000000"/>
          <w:sz w:val="24"/>
          <w:lang w:val="pl-PL"/>
        </w:rPr>
        <w:t xml:space="preserve"> [Skład komisji dyscyplinarnych]</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Wojewódzkie komisje dyscyplinarne oraz Odwoławcza Komisja Dyscyplinarna, zwane dalej "komisjami dyscyplinarnymi", orzekają w składach trzyosobowych, wyznaczonych przez przewodniczącego odpowiedniej komisji dyscyplinarnej.</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Członkowie komisji dyscyplinarnych w zakresie orzekania są niezawiśli.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Obsługę administracyjną wojewódzkich komisji dyscyplinarnych zapewniają odpowiedni wojewodowie, a Odwoławczej Komisji Dyscyplinarnej - Główny Geodeta Kraju.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46k.</w:t>
      </w:r>
      <w:r>
        <w:rPr>
          <w:rFonts w:ascii="Times New Roman"/>
          <w:b/>
          <w:i w:val="false"/>
          <w:color w:val="000000"/>
          <w:sz w:val="24"/>
          <w:lang w:val="pl-PL"/>
        </w:rPr>
        <w:t xml:space="preserve"> [Wyłączenie rzecznika dyscyplinarnego]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 przypadku wyłączenia rzecznika dyscyplinarnego, Główny Geodeta Kraju wskazuje innego rzecznika dyscyplinarnego, właściwego do udziału w sprawie.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przypadku wyłączenia członka wojewódzkiej komisji dyscyplinarnej albo Odwoławczej Komisji Dyscyplinarnej od udziału w sprawie odpowiednio przewodniczący wojewódzkiej komisji dyscyplinarnej albo przewodniczący Odwoławczej Komisji Dyscyplinarnej wyznacza innego członka komisji dyscyplinarnej do udziału w sprawie.</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Zmiana w składzie orzekającym nie powoduje konieczności powtórzenia czynności w postępowaniu dyscyplinarnym.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46l.</w:t>
      </w:r>
      <w:r>
        <w:rPr>
          <w:rFonts w:ascii="Times New Roman"/>
          <w:b/>
          <w:i w:val="false"/>
          <w:color w:val="000000"/>
          <w:sz w:val="24"/>
          <w:lang w:val="pl-PL"/>
        </w:rPr>
        <w:t xml:space="preserve"> [Strony w postępowaniu dyscyplinarnym]</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Stronami w postępowaniu dyscyplinarnym są obwiniony i rzecznik dyscyplinarny.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Oskarżycielem jest rzecznik dyscyplinarny.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Za obwinionego uważa się osobę wykonującą samodzielne funkcje w dziedzinie geodezji i kartografii, przeciwko której rzecznik dyscyplinarny złożył do wojewódzkiej komisji dyscyplinarnej wniosek o ukaranie.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46m.</w:t>
      </w:r>
      <w:r>
        <w:rPr>
          <w:rFonts w:ascii="Times New Roman"/>
          <w:b/>
          <w:i w:val="false"/>
          <w:color w:val="000000"/>
          <w:sz w:val="24"/>
          <w:lang w:val="pl-PL"/>
        </w:rPr>
        <w:t xml:space="preserve"> [Wniosek o ukaranie]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Wniosek rzecznika dyscyplinarnego o ukaranie wszczyna postępowanie dyscyplinarne.</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Obwiniony ma prawo korzystania z pomocy wybranego przez siebie obrońcy. Obrońcą może być adwokat, radca prawny, osoba posiadająca uprawnienia zawodowe w dziedzinie geodezji i kartografii lub osoba będąca członkiem organizacji społeczno-zawodowej działającej w dziedzinie geodezji i kartografii.</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Wojewódzka komisja dyscyplinarna wydaje orzeczenie po przeprowadzeniu rozprawy, w toku której wysłuchuje rzecznika dyscyplinarnego i obwinionego oraz jego obrońcy, jeżeli został ustanowiony, a także po rozpatrzeniu innych dowodów mających znaczenie w sprawie.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46n.</w:t>
      </w:r>
      <w:r>
        <w:rPr>
          <w:rFonts w:ascii="Times New Roman"/>
          <w:b/>
          <w:i w:val="false"/>
          <w:color w:val="000000"/>
          <w:sz w:val="24"/>
          <w:lang w:val="pl-PL"/>
        </w:rPr>
        <w:t xml:space="preserve"> [Odwołanie od orzeczenia wojewódzkiej komisji dyscyplinarnej]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Od orzeczenia wojewódzkiej komisji dyscyplinarnej strony mają prawo wniesienia odwołania. W odwołaniu można zaskarżyć całość orzeczenia lub jego część.</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Odwołanie wnosi się do Odwoławczej Komisji Dyscyplinarnej za pośrednictwem wojewódzkiej komisji dyscyplinarnej, która wydała zaskarżone orzeczenie, w terminie 14 dni od dnia doręczenia orzeczenia wraz z uzasadnieniem.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46o.</w:t>
      </w:r>
      <w:r>
        <w:rPr>
          <w:rFonts w:ascii="Times New Roman"/>
          <w:b/>
          <w:i w:val="false"/>
          <w:color w:val="000000"/>
          <w:sz w:val="24"/>
          <w:lang w:val="pl-PL"/>
        </w:rPr>
        <w:t xml:space="preserve"> [Postępowanie przed Odwoławczą Komisją Dyscyplinarną]</w:t>
      </w:r>
    </w:p>
    <w:p>
      <w:pPr>
        <w:spacing w:after="0"/>
        <w:ind w:left="0"/>
        <w:jc w:val="left"/>
        <w:textAlignment w:val="auto"/>
      </w:pPr>
      <w:r>
        <w:rPr>
          <w:rFonts w:ascii="Times New Roman"/>
          <w:b w:val="false"/>
          <w:i w:val="false"/>
          <w:color w:val="000000"/>
          <w:sz w:val="24"/>
          <w:lang w:val="pl-PL"/>
        </w:rPr>
        <w:t> W postępowaniu przed Odwoławczą Komisją Dyscyplinarną stosuje się przepisy art. 46k ust. 1 i 3 oraz art. 46m ust. 2 i 3.</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46p.</w:t>
      </w:r>
      <w:r>
        <w:rPr>
          <w:rFonts w:ascii="Times New Roman"/>
          <w:b/>
          <w:i w:val="false"/>
          <w:color w:val="000000"/>
          <w:sz w:val="24"/>
          <w:lang w:val="pl-PL"/>
        </w:rPr>
        <w:t xml:space="preserve"> [Odwołanie od orzeczeń Odwoławczej Komisji Dyscyplinarnej]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Od orzeczeń Odwoławczej Komisji Dyscyplinarnej stronom służy odwołanie do właściwego ze względu na miejsce zamieszkania obwinionego sądu apelacyjnego - sądu pracy i ubezpieczeń społecznych. Do rozpoznania odwołania stosuje się przepisy </w:t>
      </w:r>
      <w:r>
        <w:rPr>
          <w:rFonts w:ascii="Times New Roman"/>
          <w:b w:val="false"/>
          <w:i w:val="false"/>
          <w:color w:val="1b1b1b"/>
          <w:sz w:val="24"/>
          <w:lang w:val="pl-PL"/>
        </w:rPr>
        <w:t>ustawy</w:t>
      </w:r>
      <w:r>
        <w:rPr>
          <w:rFonts w:ascii="Times New Roman"/>
          <w:b w:val="false"/>
          <w:i w:val="false"/>
          <w:color w:val="000000"/>
          <w:sz w:val="24"/>
          <w:lang w:val="pl-PL"/>
        </w:rPr>
        <w:t xml:space="preserve"> z dnia 17 listopada 1964 r. - Kodeks postępowania cywilnego (Dz. U. z 2023 r. poz. 1550, z późn. zm.) o apelacji.</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Odwołanie wnosi się za pośrednictwem Odwoławczej Komisji Dyscyplinarnej w terminie 30 dni od dnia doręczenia orzeczenia wraz z uzasadnieniem.</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46r.</w:t>
      </w:r>
      <w:r>
        <w:rPr>
          <w:rFonts w:ascii="Times New Roman"/>
          <w:b/>
          <w:i w:val="false"/>
          <w:color w:val="000000"/>
          <w:sz w:val="24"/>
          <w:lang w:val="pl-PL"/>
        </w:rPr>
        <w:t xml:space="preserve"> [Zatarcie ukarania]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Karę dyscyplinarną, z wyjątkiem kary odebrania uprawnień zawodowych, uważa się za niebyłą i wzmiankę o niej wykreśla się z centralnego rejestru osób posiadających uprawnienia zawodowe po upływie 2 lat od uprawomocnienia się orzeczenia.</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Karę dyscyplinarną odebrania uprawnień zawodowych uważa się za niebyłą po upływie 5 lat od uprawomocnienia się orzeczenia.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46s.</w:t>
      </w:r>
      <w:r>
        <w:rPr>
          <w:rFonts w:ascii="Times New Roman"/>
          <w:b/>
          <w:i w:val="false"/>
          <w:color w:val="000000"/>
          <w:sz w:val="24"/>
          <w:lang w:val="pl-PL"/>
        </w:rPr>
        <w:t xml:space="preserve"> [Odpisy prawomocnych orzeczeń o ukaraniu]</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Komisje dyscyplinarne oraz sądy niezwłocznie, nie później niż w terminie 14 dni od dnia uprawomocnienia się orzeczenia, przesyłają Głównemu Geodecie Kraju odpisy prawomocnych orzeczeń o ukaraniu.</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Prawomocne orzeczenie o ukaraniu stanowi podstawę wpisu odpowiedniej wzmianki w centralnym rejestrze osób posiadających uprawnienia zawodowe albo wykreślenia ukaranego z tego rejestru.</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46t.</w:t>
      </w:r>
      <w:r>
        <w:rPr>
          <w:rFonts w:ascii="Times New Roman"/>
          <w:b/>
          <w:i w:val="false"/>
          <w:color w:val="000000"/>
          <w:sz w:val="24"/>
          <w:lang w:val="pl-PL"/>
        </w:rPr>
        <w:t xml:space="preserve"> [Wykreślenie z centralnego rejestru osób posiadających uprawnienia zawodowe]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Wykreślenie z centralnego rejestru osób posiadających uprawnienia zawodowe następuje w przypadku:</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utraty pełnej zdolności do czynności prawnych;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sądowego zakazu wykonywania zawodu geodety lub kartografa;</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odebrania uprawnień zawodowych;</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śmierci.</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Wykreślenia z centralnego rejestru osób posiadających uprawnienia zawodowe dokonuje się z urzędu na podstawie prawomocnego orzeczenia albo udokumentowanej informacji z rejestru PESEL lub innej udokumentowanej informacji w przypadku osób nieposiadających numeru PESEL.</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46u.</w:t>
      </w:r>
      <w:r>
        <w:rPr>
          <w:rFonts w:ascii="Times New Roman"/>
          <w:b/>
          <w:i w:val="false"/>
          <w:color w:val="000000"/>
          <w:sz w:val="24"/>
          <w:lang w:val="pl-PL"/>
        </w:rPr>
        <w:t xml:space="preserve"> [Koszty postępowania dyscyplinarnego]</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Koszty postępowania dyscyplinarnego stanowią wydatki poniesione w związku z tym postępowaniem.</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razie ukarania koszty postępowania dyscyplinarnego ponosi obwiniony. W pozostałych przypadkach koszty postępowania przed wojewódzką komisją dyscyplinarną pokrywa właściwy wojewoda, a koszty postępowania przed Odwoławczą Komisją Dyscyplinarną - Główny Geodeta Kraju.</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Wpływy z tytułu zwrotu kosztów postępowania dyscyplinarnego stanowią dochód budżetu państwa.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46w.</w:t>
      </w:r>
      <w:r>
        <w:rPr>
          <w:rFonts w:ascii="Times New Roman"/>
          <w:b/>
          <w:i w:val="false"/>
          <w:color w:val="000000"/>
          <w:sz w:val="24"/>
          <w:lang w:val="pl-PL"/>
        </w:rPr>
        <w:t xml:space="preserve"> [Uzupełniające stosowanie przepisów k.p.k.]</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 xml:space="preserve">Do postępowań przed komisjami dyscyplinarnymi w sprawach odpowiedzialności dyscyplinarnej, w zakresie nieuregulowanym w ustawie stosuje się odpowiednio przepisy </w:t>
      </w:r>
      <w:r>
        <w:rPr>
          <w:rFonts w:ascii="Times New Roman"/>
          <w:b w:val="false"/>
          <w:i w:val="false"/>
          <w:color w:val="1b1b1b"/>
          <w:sz w:val="24"/>
          <w:lang w:val="pl-PL"/>
        </w:rPr>
        <w:t>ustawy</w:t>
      </w:r>
      <w:r>
        <w:rPr>
          <w:rFonts w:ascii="Times New Roman"/>
          <w:b w:val="false"/>
          <w:i w:val="false"/>
          <w:color w:val="000000"/>
          <w:sz w:val="24"/>
          <w:lang w:val="pl-PL"/>
        </w:rPr>
        <w:t xml:space="preserve"> z dnia 6 czerwca 1997 r. - Kodeks postępowania karnego (Dz. U. z 2024 r. poz. 37), z tym że nie stosuje się przepisów o oskarżycielu prywatnym, przedstawicielu społecznym, postępowaniu przygotowawczym oraz środkach przymusu, z wyjątkiem przepisów o karze pieniężnej.</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47.</w:t>
      </w:r>
      <w:r>
        <w:rPr>
          <w:rFonts w:ascii="Times New Roman"/>
          <w:b/>
          <w:i w:val="false"/>
          <w:color w:val="000000"/>
          <w:sz w:val="24"/>
          <w:lang w:val="pl-PL"/>
        </w:rPr>
        <w:t xml:space="preserve"> [Uprawnienia zawodowe w dziedzinie geodezji i kartografii a wykonywanie funkcji mierniczych górniczych lub biegłych sądowych]</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Jeżeli przy wykonywaniu funkcji mierniczych górniczych lub biegłych sądowych jest niezbędne prowadzenie prac geodezyjnych podlegających obowiązkowi zgłoszenia do organu Służby Geodezyjnej i Kartograficznej, osoby wykonujące te prace powinny posiadać uprawnienia zawodowe zgodnie z przepisami ustawy.</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8a</w:t>
      </w:r>
    </w:p>
    <w:p>
      <w:pPr>
        <w:spacing w:before="25" w:after="0"/>
        <w:ind w:left="0"/>
        <w:jc w:val="center"/>
        <w:textAlignment w:val="auto"/>
      </w:pPr>
      <w:r>
        <w:rPr>
          <w:rFonts w:ascii="Times New Roman"/>
          <w:b/>
          <w:i w:val="false"/>
          <w:color w:val="000000"/>
          <w:sz w:val="24"/>
          <w:lang w:val="pl-PL"/>
        </w:rPr>
        <w:t>Ewidencja miejscowości, ulic i adresów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47a.</w:t>
      </w:r>
      <w:r>
        <w:rPr>
          <w:rFonts w:ascii="Times New Roman"/>
          <w:b/>
          <w:i w:val="false"/>
          <w:color w:val="000000"/>
          <w:sz w:val="24"/>
          <w:lang w:val="pl-PL"/>
        </w:rPr>
        <w:t xml:space="preserve"> [Ewidencja miejscowości, ulic i adresów – zakres danych, zakładanie, zadania gminy]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Do zadań gminy należy:</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ustalanie numerów porządkowych oraz zakładanie i prowadzenie ewidencji miejscowości, ulic i adresów;</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umieszczanie i utrzymywanie w należytym stanie tabliczek z nazwami ulic i placów w miastach oraz innych miejscowościach na obszarze gminy.</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Ewidencję miejscowości, ulic i adresów prowadzi się w systemie teleinformatycznym.</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Ewidencję miejscowości, ulic i adresów prowadzi się na podstawie:</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wykazu urzędowych nazw miejscowości, o którym mowa w </w:t>
      </w:r>
      <w:r>
        <w:rPr>
          <w:rFonts w:ascii="Times New Roman"/>
          <w:b w:val="false"/>
          <w:i w:val="false"/>
          <w:color w:val="1b1b1b"/>
          <w:sz w:val="24"/>
          <w:lang w:val="pl-PL"/>
        </w:rPr>
        <w:t>art. 9</w:t>
      </w:r>
      <w:r>
        <w:rPr>
          <w:rFonts w:ascii="Times New Roman"/>
          <w:b w:val="false"/>
          <w:i w:val="false"/>
          <w:color w:val="000000"/>
          <w:sz w:val="24"/>
          <w:lang w:val="pl-PL"/>
        </w:rPr>
        <w:t xml:space="preserve"> ustawy z dnia 29 sierpnia 2003 r. o urzędowych nazwach miejscowości i obiektów fizjograficznych;</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danych państwowego rejestru nazw geograficznych;</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danych krajowego rejestru urzędowego podziału terytorialnego kraju;</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uchwał rady gminy w sprawie przebiegu oraz nadania nazw ulic i placów;</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planu ogólnego gminy, miejscowego planu zagospodarowania przestrzennego oraz decyzji o warunkach zabudowy i zagospodarowaniu terenu;</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ewidencji gruntów i budynków oraz innych materiałów geodezyjnych i kartograficznych.</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Ewidencja miejscowości, ulic i adresów zawiera: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nazwy miejscowości oraz dane określające położenie tych miejscowości;</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nazwy ulic i placów oraz dane określające położenie tych ulic i placów;</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identyfikatory miejscowości, ulic i placów pochodzące z krajowego rejestru urzędowego podziału terytorialnego kraju;</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dodatkowe tradycyjne nazwy miejscowości, ulic i placów w języku mniejszości, jeżeli zachodzą okoliczności, o których mowa w </w:t>
      </w:r>
      <w:r>
        <w:rPr>
          <w:rFonts w:ascii="Times New Roman"/>
          <w:b w:val="false"/>
          <w:i w:val="false"/>
          <w:color w:val="1b1b1b"/>
          <w:sz w:val="24"/>
          <w:lang w:val="pl-PL"/>
        </w:rPr>
        <w:t>art. 12</w:t>
      </w:r>
      <w:r>
        <w:rPr>
          <w:rFonts w:ascii="Times New Roman"/>
          <w:b w:val="false"/>
          <w:i w:val="false"/>
          <w:color w:val="000000"/>
          <w:sz w:val="24"/>
          <w:lang w:val="pl-PL"/>
        </w:rPr>
        <w:t xml:space="preserve"> ustawy z dnia 6 stycznia 2005 r. o mniejszościach narodowych i etnicznych oraz o języku regionalnym (Dz. U. z 2017 r. poz. 823);</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dane adresowe określające:</w:t>
      </w:r>
    </w:p>
    <w:p>
      <w:pPr>
        <w:spacing w:after="0"/>
        <w:ind w:left="746"/>
        <w:jc w:val="left"/>
        <w:textAlignment w:val="auto"/>
      </w:pPr>
      <w:r>
        <w:rPr>
          <w:rFonts w:ascii="Times New Roman"/>
          <w:b w:val="false"/>
          <w:i w:val="false"/>
          <w:color w:val="000000"/>
          <w:sz w:val="24"/>
          <w:lang w:val="pl-PL"/>
        </w:rPr>
        <w:t>a)</w:t>
      </w:r>
      <w:r>
        <w:rPr>
          <w:rFonts w:ascii="Times New Roman"/>
          <w:b w:val="false"/>
          <w:i w:val="false"/>
          <w:color w:val="000000"/>
          <w:sz w:val="24"/>
          <w:lang w:val="pl-PL"/>
        </w:rPr>
        <w:t xml:space="preserve"> numery porządkowe budynków mieszkalnych oraz innych budynków przeznaczonych do stałego lub czasowego przebywania ludzi, w tym w szczególności budynków: biurowych, ogólnodostępnych wykorzystywanych na cele kultury i kultury fizycznej, o charakterze edukacyjnym, szpitali i opieki medycznej oraz przeznaczonych do działalności gospodarczej, wybudowanych, w trakcie budowy i prognozowanych do wybudowania,</w:t>
      </w:r>
    </w:p>
    <w:p>
      <w:pPr>
        <w:spacing w:after="0"/>
        <w:ind w:left="746"/>
        <w:jc w:val="left"/>
        <w:textAlignment w:val="auto"/>
      </w:pPr>
      <w:r>
        <w:rPr>
          <w:rFonts w:ascii="Times New Roman"/>
          <w:b w:val="false"/>
          <w:i w:val="false"/>
          <w:color w:val="000000"/>
          <w:sz w:val="24"/>
          <w:lang w:val="pl-PL"/>
        </w:rPr>
        <w:t>b)</w:t>
      </w:r>
      <w:r>
        <w:rPr>
          <w:rFonts w:ascii="Times New Roman"/>
          <w:b w:val="false"/>
          <w:i w:val="false"/>
          <w:color w:val="000000"/>
          <w:sz w:val="24"/>
          <w:lang w:val="pl-PL"/>
        </w:rPr>
        <w:t xml:space="preserve"> kody pocztowe,</w:t>
      </w:r>
    </w:p>
    <w:p>
      <w:pPr>
        <w:spacing w:after="0"/>
        <w:ind w:left="746"/>
        <w:jc w:val="left"/>
        <w:textAlignment w:val="auto"/>
      </w:pPr>
      <w:r>
        <w:rPr>
          <w:rFonts w:ascii="Times New Roman"/>
          <w:b w:val="false"/>
          <w:i w:val="false"/>
          <w:color w:val="000000"/>
          <w:sz w:val="24"/>
          <w:lang w:val="pl-PL"/>
        </w:rPr>
        <w:t>c)</w:t>
      </w:r>
      <w:r>
        <w:rPr>
          <w:rFonts w:ascii="Times New Roman"/>
          <w:b w:val="false"/>
          <w:i w:val="false"/>
          <w:color w:val="000000"/>
          <w:sz w:val="24"/>
          <w:lang w:val="pl-PL"/>
        </w:rPr>
        <w:t xml:space="preserve"> położenie budynków, o których mowa w lit. a, w państwowym systemie odniesień przestrzennych.</w:t>
      </w:r>
    </w:p>
    <w:p>
      <w:pPr>
        <w:spacing w:before="26" w:after="0"/>
        <w:ind w:left="0"/>
        <w:jc w:val="left"/>
        <w:textAlignment w:val="auto"/>
      </w:pPr>
      <w:r>
        <w:rPr>
          <w:rFonts w:ascii="Times New Roman"/>
          <w:b w:val="false"/>
          <w:i w:val="false"/>
          <w:color w:val="000000"/>
          <w:sz w:val="24"/>
          <w:lang w:val="pl-PL"/>
        </w:rPr>
        <w:t>4a.</w:t>
      </w:r>
      <w:r>
        <w:rPr>
          <w:rFonts w:ascii="Times New Roman"/>
          <w:b w:val="false"/>
          <w:i w:val="false"/>
          <w:color w:val="000000"/>
          <w:sz w:val="24"/>
          <w:lang w:val="pl-PL"/>
        </w:rPr>
        <w:t> Ewidencja miejscowości, ulic i adresów, oprócz danych wymienionych w ust. 4, może zawierać także dane adresowe dotyczące obiektów, takich jak: parkingi, garaże, wjazdy i wejścia do parków, ogrodów oraz innych miejsc zorganizowanego wypoczynku lub działalności gospodarczej.</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Wójt (burmistrz, prezydent miasta) ustala numery porządkowe, o których mowa w ust. 4 pkt 5 lit. a, z urzędu lub na wniosek zainteresowanych i zawiadamia o tych ustaleniach właścicieli nieruchomości lub inne podmioty uwidocznione w ewidencji gruntów i budynków, które tymi nieruchomościami władają.</w:t>
      </w:r>
    </w:p>
    <w:p>
      <w:pPr>
        <w:spacing w:before="26" w:after="0"/>
        <w:ind w:left="0"/>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Wniosek, o którym mowa w ust. 5, zawiera:</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imię i nazwisko lub nazwę wnioskodawcy oraz jego adres;</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określenie przedmiotu wniosku;</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informacje o położeniu budynku, którego dotyczy wniosek, według danych zawartych w ewidencji gruntów i budynków.</w:t>
      </w:r>
    </w:p>
    <w:p>
      <w:pPr>
        <w:spacing w:before="26" w:after="0"/>
        <w:ind w:left="0"/>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Numery porządkowe dotyczące budynków wybudowanych lub prognozowanych na nieruchomościach przyległych do ulicy położonej na granicy gminy lub przyległej do tej granicy ustalają, w drodze porozumienia, właściwi miejscowo wójtowie (burmistrzowie, prezydenci miast).</w:t>
      </w:r>
    </w:p>
    <w:p>
      <w:pPr>
        <w:spacing w:before="26" w:after="0"/>
        <w:ind w:left="0"/>
        <w:jc w:val="left"/>
        <w:textAlignment w:val="auto"/>
      </w:pPr>
      <w:r>
        <w:rPr>
          <w:rFonts w:ascii="Times New Roman"/>
          <w:b w:val="false"/>
          <w:i w:val="false"/>
          <w:color w:val="000000"/>
          <w:sz w:val="24"/>
          <w:lang w:val="pl-PL"/>
        </w:rPr>
        <w:t>8.</w:t>
      </w:r>
      <w:r>
        <w:rPr>
          <w:rFonts w:ascii="Times New Roman"/>
          <w:b w:val="false"/>
          <w:i w:val="false"/>
          <w:color w:val="000000"/>
          <w:sz w:val="24"/>
          <w:lang w:val="pl-PL"/>
        </w:rPr>
        <w:t> W przypadku braku porozumienia, o którym mowa w ust. 7, numery porządkowe ustala, w drodze zarządzenia, wojewoda.</w:t>
      </w:r>
    </w:p>
    <w:p>
      <w:pPr>
        <w:spacing w:before="26" w:after="0"/>
        <w:ind w:left="0"/>
        <w:jc w:val="left"/>
        <w:textAlignment w:val="auto"/>
      </w:pPr>
      <w:r>
        <w:rPr>
          <w:rFonts w:ascii="Times New Roman"/>
          <w:b w:val="false"/>
          <w:i w:val="false"/>
          <w:color w:val="000000"/>
          <w:sz w:val="24"/>
          <w:lang w:val="pl-PL"/>
        </w:rPr>
        <w:t>9.</w:t>
      </w:r>
      <w:r>
        <w:rPr>
          <w:rFonts w:ascii="Times New Roman"/>
          <w:b w:val="false"/>
          <w:i w:val="false"/>
          <w:color w:val="000000"/>
          <w:sz w:val="24"/>
          <w:lang w:val="pl-PL"/>
        </w:rPr>
        <w:t> Numery porządkowe nowo budowanych budynków, niewykazanych w ewidencji, o której mowa w ust. 4, ustala się przed rozpoczęciem ich użytkowania.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47b.</w:t>
      </w:r>
      <w:r>
        <w:rPr>
          <w:rFonts w:ascii="Times New Roman"/>
          <w:b/>
          <w:i w:val="false"/>
          <w:color w:val="000000"/>
          <w:sz w:val="24"/>
          <w:lang w:val="pl-PL"/>
        </w:rPr>
        <w:t xml:space="preserve"> [Obowiązki w zakresie umieszczania tabliczek z numerem porządkowym nieruchomości]</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Właściciele nieruchomości zabudowanych lub inne podmioty uwidocznione w ewidencji gruntów i budynków, które takimi nieruchomościami władają, mają obowiązek umieszczenia w widocznym miejscu - na ścianie frontowej budynku albo ogrodzeniu tabliczki z numerem porządkowym w terminie 30 dni od dnia otrzymania zawiadomienia o ustaleniu tego numeru.</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Rada gminy, w drodze uchwały, może wprowadzić obowiązek umieszczania na tabliczce, o której mowa w ust. 1, nazwy miejscowości lub nazwy dzielnicy, osiedla, zespołu urbanistycznego, a także nazwy ulicy lub placu.</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(uchylony).</w:t>
      </w:r>
    </w:p>
    <w:p>
      <w:pPr>
        <w:spacing w:before="26" w:after="0"/>
        <w:ind w:left="0"/>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Minister właściwy do spraw budownictwa, planowania i zagospodarowania przestrzennego oraz mieszkalnictwa określi, w drodze rozporządzenia, szczegółowy zakres informacji gromadzonych w bazach danych ewidencji miejscowości, ulic i adresów, organizację i tryb tworzenia, aktualizacji i udostępniania tych baz, a także wzór wniosku, o którym mowa w art. 47a ust. 6, mając na uwadze zachowanie w jak najszerszym zakresie dotychczasowych danych adresowych, zasadę interoperacyjności, o której mowa w przepisach o infrastrukturze informacji przestrzennej, potrzebę harmonizacji zbiorów danych tej ewidencji ze zbiorami innych rejestrów publicznych, o których mowa w art. 4 ust. 1a, a także usprawnienie obsługi obywateli.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9</w:t>
      </w:r>
    </w:p>
    <w:p>
      <w:pPr>
        <w:spacing w:before="25" w:after="0"/>
        <w:ind w:left="0"/>
        <w:jc w:val="center"/>
        <w:textAlignment w:val="auto"/>
      </w:pPr>
      <w:r>
        <w:rPr>
          <w:rFonts w:ascii="Times New Roman"/>
          <w:b/>
          <w:i w:val="false"/>
          <w:color w:val="000000"/>
          <w:sz w:val="24"/>
          <w:lang w:val="pl-PL"/>
        </w:rPr>
        <w:t>Przepisy karne i kary pieniężne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48.</w:t>
      </w:r>
      <w:r>
        <w:rPr>
          <w:rFonts w:ascii="Times New Roman"/>
          <w:b/>
          <w:i w:val="false"/>
          <w:color w:val="000000"/>
          <w:sz w:val="24"/>
          <w:lang w:val="pl-PL"/>
        </w:rPr>
        <w:t xml:space="preserve"> [Odpowiedzialność wykroczeniowa za naruszenie przepisów ustawy]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Kto:</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wbrew przepisom art. 12 ust. 1 nie zgłasza prac geodezyjnych do organu Służby Geodezyjnej i Kartograficznej lub wbrew przepisom art. 12a nie przekazuje do organu Służby Geodezyjnej i Kartograficznej wyników zgłoszonych prac geodezyjnych,</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wbrew przepisom art. 13 ust. 1 pkt 1 utrudnia lub uniemożliwia osobie wykonującej prace geodezyjne i kartograficzne wejście na grunt lub do obiektu budowlanego i dokonanie niezbędnych czynności związanych z wykonywaną pracą,</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wbrew przepisom art. 15 niszczy, uszkadza, przemieszcza znaki geodezyjne, grawimetryczne lub magnetyczne i urządzenia zabezpieczające te znaki oraz budowle triangulacyjne, a także nie zawiadamia właściwych organów o zniszczeniu, uszkodzeniu lub przemieszczeniu znaków geodezyjnych, grawimetrycznych lub magnetycznych, urządzeń zabezpieczających te znaki oraz budowli triangulacyjnych,</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wbrew przepisom art. 22 ust. 2, będąc obowiązany do zgłoszenia zmian danych objętych ewidencją gruntów i budynków, nie zgłosi ich do właściwego organu w ciągu 30 dni od dnia powstania zmian,</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(uchylony),</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wbrew przepisom art. 42 bez wymaganych uprawnień zawodowych wykonuje samodzielne funkcje w dziedzinie geodezji i kartografii</w:t>
      </w:r>
    </w:p>
    <w:p>
      <w:pPr>
        <w:spacing w:before="25" w:after="0"/>
        <w:ind w:left="0"/>
        <w:jc w:val="left"/>
        <w:textAlignment w:val="auto"/>
      </w:pPr>
      <w:r>
        <w:rPr>
          <w:rFonts w:ascii="Times New Roman"/>
          <w:b w:val="false"/>
          <w:i w:val="false"/>
          <w:color w:val="000000"/>
          <w:sz w:val="24"/>
          <w:lang w:val="pl-PL"/>
        </w:rPr>
        <w:t>- podlega karze grzywny.</w:t>
      </w:r>
    </w:p>
    <w:p>
      <w:pPr>
        <w:spacing w:after="0"/>
        <w:ind w:left="0"/>
        <w:jc w:val="left"/>
        <w:textAlignment w:val="auto"/>
      </w:pP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Kto wbrew przepisom art. 47b ust. 1, będąc obowiązanym do umieszczenia tabliczki z numerem porządkowym, nie umieści jej w widocznym miejscu - na ścianie frontowej budynku albo ogrodzeniu w terminie 30 dni od dnia otrzymania zawiadomienia o ustaleniu tego numeru podlega karze grzywny do 250 złotych albo karze nagany.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W wypadkach określonych w ust. 1 i 1a orzekanie następuje na podstawie przepisów o postępowaniu w sprawach o wykroczenia.</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48a.</w:t>
      </w:r>
      <w:r>
        <w:rPr>
          <w:rFonts w:ascii="Times New Roman"/>
          <w:b/>
          <w:i w:val="false"/>
          <w:color w:val="000000"/>
          <w:sz w:val="24"/>
          <w:lang w:val="pl-PL"/>
        </w:rPr>
        <w:t xml:space="preserve"> [Kara pieniężna]</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Kto wykorzystuje materiały zasobu bez wymaganej licencji lub niezgodnie z warunkami licencji lub udostępnia je wbrew postanowieniom licencji osobom trzecim, podlega karze pieniężnej w wysokości dziesięciokrotności opłaty za udostępnienie tych materiałów.</w:t>
      </w:r>
    </w:p>
    <w:p>
      <w:pPr>
        <w:spacing w:before="26" w:after="0"/>
        <w:ind w:left="0"/>
        <w:jc w:val="left"/>
        <w:textAlignment w:val="auto"/>
      </w:pPr>
      <w:r>
        <w:rPr>
          <w:rFonts w:ascii="Times New Roman"/>
          <w:b w:val="false"/>
          <w:i w:val="false"/>
          <w:color w:val="000000"/>
          <w:sz w:val="24"/>
          <w:lang w:val="pl-PL"/>
        </w:rPr>
        <w:t>1a.</w:t>
      </w:r>
      <w:r>
        <w:rPr>
          <w:rFonts w:ascii="Times New Roman"/>
          <w:b w:val="false"/>
          <w:i w:val="false"/>
          <w:color w:val="000000"/>
          <w:sz w:val="24"/>
          <w:lang w:val="pl-PL"/>
        </w:rPr>
        <w:t> Kto wykorzystuje materiały zasobu niezgodnie z art. 12 ust. 8, podlega karze pieniężnej w wysokości dziesięciokrotności opłaty zryczałtowanej wniesionej w związku ze zgłoszeniem prac i jego uzupełnieniem, do których udostępnione zostały te materiały.</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Kary pieniężne, o których mowa w ust. 1 i 1a, nakładają w drodze decyzji administracyjnej:</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Główny Geodeta Kraju, jeżeli naruszenie dotyczy wykorzystywania materiałów centralnego zasobu geodezyjnego i kartograficznego;</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wojewódzki inspektor nadzoru geodezyjnego i kartograficznego, jeżeli naruszenie dotyczy wykorzystywania materiałów wojewódzkiego lub powiatowego zasobu geodezyjnego i kartograficznego.</w:t>
      </w:r>
    </w:p>
    <w:p>
      <w:pPr>
        <w:spacing w:before="26" w:after="0"/>
        <w:ind w:left="0"/>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Kary pieniężne stanowią dochód budżetu państwa.</w:t>
      </w:r>
    </w:p>
    <w:p>
      <w:pPr>
        <w:spacing w:before="26" w:after="0"/>
        <w:ind w:left="0"/>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W przypadku uchylenia albo stwierdzenia nieważności decyzji oraz uwzględnienia skargi przez sąd administracyjny uiszczona kara pieniężna podlega zwrotowi.</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Rozdział  10</w:t>
      </w:r>
    </w:p>
    <w:p>
      <w:pPr>
        <w:spacing w:before="25" w:after="0"/>
        <w:ind w:left="0"/>
        <w:jc w:val="center"/>
        <w:textAlignment w:val="auto"/>
      </w:pPr>
      <w:r>
        <w:rPr>
          <w:rFonts w:ascii="Times New Roman"/>
          <w:b/>
          <w:i w:val="false"/>
          <w:color w:val="000000"/>
          <w:sz w:val="24"/>
          <w:lang w:val="pl-PL"/>
        </w:rPr>
        <w:t>Przepisy przejściowe i końcowe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49.</w:t>
      </w:r>
      <w:r>
        <w:rPr>
          <w:rFonts w:ascii="Times New Roman"/>
          <w:b/>
          <w:i w:val="false"/>
          <w:color w:val="000000"/>
          <w:sz w:val="24"/>
          <w:lang w:val="pl-PL"/>
        </w:rPr>
        <w:t xml:space="preserve"> [Przepis intertemporalny; stosowanie wyłączenie stosowania przepisów o rzemiośle do osób wykonujących prace geodezyjne i kartograficzne]</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Działalność gospodarcza w zakresie prac geodezyjnych i kartograficznych, prowadzona w dniu wejścia w życie ustawy na podstawie zezwoleń przez podmioty niebędące osobami prawnymi, podlega w terminie trzech miesięcy wpisowi z urzędu do ewidencji prowadzonej na podstawie przepisów o działalności gospodarczej.</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 stosunku do osób wykonujących prace geodezyjne i kartograficzne nie mają zastosowania przepisy </w:t>
      </w:r>
      <w:r>
        <w:rPr>
          <w:rFonts w:ascii="Times New Roman"/>
          <w:b w:val="false"/>
          <w:i w:val="false"/>
          <w:color w:val="1b1b1b"/>
          <w:sz w:val="24"/>
          <w:lang w:val="pl-PL"/>
        </w:rPr>
        <w:t>ustawy</w:t>
      </w:r>
      <w:r>
        <w:rPr>
          <w:rFonts w:ascii="Times New Roman"/>
          <w:b w:val="false"/>
          <w:i w:val="false"/>
          <w:color w:val="000000"/>
          <w:sz w:val="24"/>
          <w:lang w:val="pl-PL"/>
        </w:rPr>
        <w:t xml:space="preserve"> z dnia 22 marca 1989 r. o rzemiośle (Dz. U. z 2020 r. poz. 2159).</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50.</w:t>
      </w:r>
      <w:r>
        <w:rPr>
          <w:rFonts w:ascii="Times New Roman"/>
          <w:b/>
          <w:i w:val="false"/>
          <w:color w:val="000000"/>
          <w:sz w:val="24"/>
          <w:lang w:val="pl-PL"/>
        </w:rPr>
        <w:t xml:space="preserve"> [Dokumenty stwierdzające posiadanie kwalifikacji zawodowych - przepis intertemporalny]</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Dokumenty stwierdzające posiadanie kwalifikacji zawodowych, uzyskane w trybie przepisów obowiązujących przed dniem wejścia w życie ustawy, są jednoznaczne z uprawnieniami zawodowymi, o których mowa w art. 42.</w:t>
      </w:r>
    </w:p>
    <w:p>
      <w:pPr>
        <w:spacing w:before="26" w:after="0"/>
        <w:ind w:left="0"/>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Osoby nieposiadające uprawnień zawodowych, zatrudnione w istniejących jednostkach gospodarki uspołecznionej na stanowiskach, do których zajmowania jest wymagane posiadanie tych uprawnień, są obowiązane do ich uzyskania w ciągu 5 lat od dnia wejścia w życie ustawy.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51.</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(uchylony).</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52.</w:t>
      </w:r>
      <w:r>
        <w:rPr>
          <w:rFonts w:ascii="Times New Roman"/>
          <w:b/>
          <w:i w:val="false"/>
          <w:color w:val="000000"/>
          <w:sz w:val="24"/>
          <w:lang w:val="pl-PL"/>
        </w:rPr>
        <w:t xml:space="preserve"> [Stosowanie przepisów ustawy do postępowań o rozgraniczenie nieruchomości]</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Postępowanie o rozgraniczenie nieruchomości, wszczęte przed dniem wejścia w życie ustawy, prowadzi się według przepisów dotychczasowych.</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53.</w:t>
      </w:r>
      <w:r>
        <w:rPr>
          <w:rFonts w:ascii="Times New Roman"/>
          <w:b/>
          <w:i w:val="false"/>
          <w:color w:val="000000"/>
          <w:sz w:val="24"/>
          <w:lang w:val="pl-PL"/>
        </w:rPr>
        <w:t xml:space="preserve"> [Zarządzanie nieruchomościami państwowymi wydzielonymi pod znaki geodezyjne, grawimetryczne i magnetyczne]</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Nieruchomości państwowe, wydzielone w związku z usytuowaniem na nich znaków geodezyjnych, grawimetrycznych i magnetycznych, urządzeń zabezpieczających te znaki i budowli triangulacyjnych, przechodzą w zarząd właściwych starostów.</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53a.</w:t>
      </w:r>
      <w:r>
        <w:rPr>
          <w:rFonts w:ascii="Times New Roman"/>
          <w:b/>
          <w:i w:val="false"/>
          <w:color w:val="000000"/>
          <w:sz w:val="24"/>
          <w:lang w:val="pl-PL"/>
        </w:rPr>
        <w:t xml:space="preserve"> [Przekształcenie ewidencji gruntów i budynków w kataster nieruchomości - przepis intertemporalny]</w:t>
      </w:r>
    </w:p>
    <w:p>
      <w:pPr>
        <w:spacing w:after="0"/>
        <w:ind w:left="0"/>
        <w:jc w:val="left"/>
        <w:textAlignment w:val="auto"/>
      </w:pPr>
      <w:r>
        <w:rPr>
          <w:rFonts w:ascii="Times New Roman"/>
          <w:b w:val="false"/>
          <w:i w:val="false"/>
          <w:color w:val="000000"/>
          <w:sz w:val="24"/>
          <w:lang w:val="pl-PL"/>
        </w:rPr>
        <w:t> Do czasu przekształcenia ewidencji gruntów i budynków w kataster nieruchomości przez użyte w niniejszej ustawie pojęcie "kataster" rozumie się tę ewidencję.</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53b.</w:t>
      </w:r>
      <w:r>
        <w:rPr>
          <w:rFonts w:ascii="Times New Roman"/>
          <w:b/>
          <w:i w:val="false"/>
          <w:color w:val="000000"/>
          <w:sz w:val="24"/>
          <w:lang w:val="pl-PL"/>
        </w:rPr>
        <w:t xml:space="preserve"> [Ograniczenia terminu prowadzenia przez starostę mapy zasadniczej w postaci papierowej]</w:t>
      </w:r>
    </w:p>
    <w:p>
      <w:pPr>
        <w:spacing w:after="0"/>
        <w:ind w:left="0"/>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Organ administracji może prowadzić mapę zasadniczą w postaci analogowej do czasu jej przekształcenia do postaci cyfrowej i utworzenia baz danych, o których mowa w art. 4 ust. 1a pkt 2, 3 i 10 oraz ust. 1b, nie dłużej jednak niż do dnia 31 grudnia 2013 r.</w:t>
      </w:r>
    </w:p>
    <w:p>
      <w:pPr>
        <w:spacing w:before="26" w:after="0"/>
        <w:ind w:left="0"/>
        <w:jc w:val="left"/>
        <w:textAlignment w:val="auto"/>
      </w:pPr>
      <w:r>
        <w:rPr>
          <w:rFonts w:ascii="Times New Roman"/>
          <w:b w:val="false"/>
          <w:i w:val="false"/>
          <w:color w:val="000000"/>
          <w:sz w:val="24"/>
          <w:lang w:val="pl-PL"/>
        </w:rPr>
        <w:t xml:space="preserve">2. </w:t>
      </w:r>
      <w:r>
        <w:rPr>
          <w:rFonts w:ascii="Times New Roman"/>
          <w:b w:val="false"/>
          <w:i w:val="false"/>
          <w:color w:val="000000"/>
          <w:sz w:val="24"/>
          <w:lang w:val="pl-PL"/>
        </w:rPr>
        <w:t xml:space="preserve"> </w:t>
      </w:r>
      <w:r>
        <w:rPr>
          <w:rFonts w:ascii="Times New Roman"/>
          <w:b w:val="false"/>
          <w:i w:val="false"/>
          <w:color w:val="000000"/>
          <w:sz w:val="24"/>
          <w:lang w:val="pl-PL"/>
        </w:rPr>
        <w:t>  W okresie od dnia 1 stycznia 2014 r. do dnia 31 grudnia 2027 r., w przypadku nieutworzenia baz danych, o których mowa w art. 4 ust. 1a pkt 2, 3, 10 i 12, mapa zasadnicza może być prowadzona w postaci wektorowej lub w postaci rastrowej uzupełnianej systematycznie danymi wektorowymi, na zasadach stosowanych przed dniem 1 stycznia 2014 r.</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54.</w:t>
      </w:r>
      <w:r>
        <w:rPr>
          <w:rFonts w:ascii="Times New Roman"/>
          <w:b/>
          <w:i w:val="false"/>
          <w:color w:val="000000"/>
          <w:sz w:val="24"/>
          <w:lang w:val="pl-PL"/>
        </w:rPr>
        <w:t xml:space="preserve"> [Stosowanie przepisów dotychczasowych]</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Ustawa nie narusza przepisów:</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t>
      </w:r>
      <w:r>
        <w:rPr>
          <w:rFonts w:ascii="Times New Roman"/>
          <w:b w:val="false"/>
          <w:i/>
          <w:color w:val="1b1b1b"/>
          <w:sz w:val="24"/>
          <w:lang w:val="pl-PL"/>
        </w:rPr>
        <w:t>art. 1</w:t>
      </w:r>
      <w:r>
        <w:rPr>
          <w:rFonts w:ascii="Times New Roman"/>
          <w:b w:val="false"/>
          <w:i w:val="false"/>
          <w:color w:val="000000"/>
          <w:sz w:val="24"/>
          <w:lang w:val="pl-PL"/>
        </w:rPr>
        <w:t xml:space="preserve"> </w:t>
      </w:r>
      <w:r>
        <w:rPr>
          <w:rFonts w:ascii="Times New Roman"/>
          <w:b w:val="false"/>
          <w:i/>
          <w:color w:val="000000"/>
          <w:sz w:val="24"/>
          <w:lang w:val="pl-PL"/>
        </w:rPr>
        <w:t xml:space="preserve"> i </w:t>
      </w:r>
      <w:r>
        <w:rPr>
          <w:rFonts w:ascii="Times New Roman"/>
          <w:b w:val="false"/>
          <w:i w:val="false"/>
          <w:color w:val="000000"/>
          <w:sz w:val="24"/>
          <w:lang w:val="pl-PL"/>
        </w:rPr>
        <w:t xml:space="preserve"> </w:t>
      </w:r>
      <w:r>
        <w:rPr>
          <w:rFonts w:ascii="Times New Roman"/>
          <w:b w:val="false"/>
          <w:i/>
          <w:color w:val="1b1b1b"/>
          <w:sz w:val="24"/>
          <w:lang w:val="pl-PL"/>
        </w:rPr>
        <w:t>4</w:t>
      </w:r>
      <w:r>
        <w:rPr>
          <w:rFonts w:ascii="Times New Roman"/>
          <w:b w:val="false"/>
          <w:i w:val="false"/>
          <w:color w:val="000000"/>
          <w:sz w:val="24"/>
          <w:lang w:val="pl-PL"/>
        </w:rPr>
        <w:t xml:space="preserve"> </w:t>
      </w:r>
      <w:r>
        <w:rPr>
          <w:rFonts w:ascii="Times New Roman"/>
          <w:b w:val="false"/>
          <w:i/>
          <w:color w:val="000000"/>
          <w:sz w:val="24"/>
          <w:lang w:val="pl-PL"/>
        </w:rPr>
        <w:t xml:space="preserve"> dekretu z dnia 6 września 1951 r. o obszarach szczególnie ważnych dla obrony kraju (Dz. U. poz. 341 oraz z 2001 r. poz. 725)</w:t>
      </w:r>
      <w:r>
        <w:rPr>
          <w:rFonts w:ascii="Times New Roman"/>
          <w:b w:val="false"/>
          <w:i w:val="false"/>
          <w:color w:val="000000"/>
          <w:sz w:val="24"/>
          <w:lang w:val="pl-PL"/>
        </w:rPr>
        <w:t xml:space="preserve"> </w:t>
      </w:r>
      <w:r>
        <w:rPr>
          <w:rFonts w:ascii="Times New Roman"/>
          <w:b w:val="false"/>
          <w:i w:val="false"/>
          <w:color w:val="000000"/>
          <w:sz w:val="24"/>
          <w:lang w:val="pl-PL"/>
        </w:rPr>
        <w:t xml:space="preserve"> ;</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t>
      </w:r>
      <w:r>
        <w:rPr>
          <w:rFonts w:ascii="Times New Roman"/>
          <w:b w:val="false"/>
          <w:i/>
          <w:color w:val="1b1b1b"/>
          <w:sz w:val="24"/>
          <w:lang w:val="pl-PL"/>
        </w:rPr>
        <w:t>dekretu</w:t>
      </w:r>
      <w:r>
        <w:rPr>
          <w:rFonts w:ascii="Times New Roman"/>
          <w:b w:val="false"/>
          <w:i w:val="false"/>
          <w:color w:val="000000"/>
          <w:sz w:val="24"/>
          <w:lang w:val="pl-PL"/>
        </w:rPr>
        <w:t xml:space="preserve"> </w:t>
      </w:r>
      <w:r>
        <w:rPr>
          <w:rFonts w:ascii="Times New Roman"/>
          <w:b w:val="false"/>
          <w:i/>
          <w:color w:val="000000"/>
          <w:sz w:val="24"/>
          <w:lang w:val="pl-PL"/>
        </w:rPr>
        <w:t xml:space="preserve"> z dnia 6 maja 1953 r. - Prawo górnicze (Dz. U. z 1978 r. poz. 12, z późn. zm.)</w:t>
      </w:r>
      <w:r>
        <w:rPr>
          <w:rFonts w:ascii="Times New Roman"/>
          <w:b w:val="false"/>
          <w:i w:val="false"/>
          <w:color w:val="000000"/>
          <w:sz w:val="24"/>
          <w:lang w:val="pl-PL"/>
        </w:rPr>
        <w:t xml:space="preserve"> </w:t>
      </w:r>
      <w:r>
        <w:rPr>
          <w:rFonts w:ascii="Times New Roman"/>
          <w:b w:val="false"/>
          <w:i w:val="false"/>
          <w:color w:val="000000"/>
          <w:sz w:val="24"/>
          <w:lang w:val="pl-PL"/>
        </w:rPr>
        <w:t xml:space="preserve"> ;</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t>
      </w:r>
      <w:r>
        <w:rPr>
          <w:rFonts w:ascii="Times New Roman"/>
          <w:b w:val="false"/>
          <w:i/>
          <w:color w:val="1b1b1b"/>
          <w:sz w:val="24"/>
          <w:lang w:val="pl-PL"/>
        </w:rPr>
        <w:t>art. 5</w:t>
      </w:r>
      <w:r>
        <w:rPr>
          <w:rFonts w:ascii="Times New Roman"/>
          <w:b w:val="false"/>
          <w:i w:val="false"/>
          <w:color w:val="000000"/>
          <w:sz w:val="24"/>
          <w:lang w:val="pl-PL"/>
        </w:rPr>
        <w:t xml:space="preserve"> </w:t>
      </w:r>
      <w:r>
        <w:rPr>
          <w:rFonts w:ascii="Times New Roman"/>
          <w:b w:val="false"/>
          <w:i/>
          <w:color w:val="000000"/>
          <w:sz w:val="24"/>
          <w:lang w:val="pl-PL"/>
        </w:rPr>
        <w:t xml:space="preserve"> i </w:t>
      </w:r>
      <w:r>
        <w:rPr>
          <w:rFonts w:ascii="Times New Roman"/>
          <w:b w:val="false"/>
          <w:i w:val="false"/>
          <w:color w:val="000000"/>
          <w:sz w:val="24"/>
          <w:lang w:val="pl-PL"/>
        </w:rPr>
        <w:t xml:space="preserve"> </w:t>
      </w:r>
      <w:r>
        <w:rPr>
          <w:rFonts w:ascii="Times New Roman"/>
          <w:b w:val="false"/>
          <w:i/>
          <w:color w:val="1b1b1b"/>
          <w:sz w:val="24"/>
          <w:lang w:val="pl-PL"/>
        </w:rPr>
        <w:t>art. 18</w:t>
      </w:r>
      <w:r>
        <w:rPr>
          <w:rFonts w:ascii="Times New Roman"/>
          <w:b w:val="false"/>
          <w:i/>
          <w:color w:val="1b1b1b"/>
          <w:sz w:val="24"/>
          <w:lang w:val="pl-PL"/>
        </w:rPr>
        <w:t xml:space="preserve"> ust. 2 pkt 4</w:t>
      </w:r>
      <w:r>
        <w:rPr>
          <w:rFonts w:ascii="Times New Roman"/>
          <w:b w:val="false"/>
          <w:i w:val="false"/>
          <w:color w:val="000000"/>
          <w:sz w:val="24"/>
          <w:lang w:val="pl-PL"/>
        </w:rPr>
        <w:t xml:space="preserve"> </w:t>
      </w:r>
      <w:r>
        <w:rPr>
          <w:rFonts w:ascii="Times New Roman"/>
          <w:b w:val="false"/>
          <w:i/>
          <w:color w:val="000000"/>
          <w:sz w:val="24"/>
          <w:lang w:val="pl-PL"/>
        </w:rPr>
        <w:t xml:space="preserve"> dekretu z dnia 23 marca 1956 r. o ochronie granic państwowych (Dz. U. poz. 51, z 1959 r. poz. 168, z 1969 r. poz. 95, z 1977 r. poz. 162 oraz z 1990 r. poz. 198)</w:t>
      </w:r>
      <w:r>
        <w:rPr>
          <w:rFonts w:ascii="Times New Roman"/>
          <w:b w:val="false"/>
          <w:i w:val="false"/>
          <w:color w:val="000000"/>
          <w:sz w:val="24"/>
          <w:lang w:val="pl-PL"/>
        </w:rPr>
        <w:t xml:space="preserve"> </w:t>
      </w:r>
      <w:r>
        <w:rPr>
          <w:rFonts w:ascii="Times New Roman"/>
          <w:b w:val="false"/>
          <w:i w:val="false"/>
          <w:color w:val="000000"/>
          <w:sz w:val="24"/>
          <w:lang w:val="pl-PL"/>
        </w:rPr>
        <w:t xml:space="preserve"> ;</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t>
      </w:r>
      <w:r>
        <w:rPr>
          <w:rFonts w:ascii="Times New Roman"/>
          <w:b w:val="false"/>
          <w:i w:val="false"/>
          <w:color w:val="1b1b1b"/>
          <w:sz w:val="24"/>
          <w:lang w:val="pl-PL"/>
        </w:rPr>
        <w:t>ustawy</w:t>
      </w:r>
      <w:r>
        <w:rPr>
          <w:rFonts w:ascii="Times New Roman"/>
          <w:b w:val="false"/>
          <w:i w:val="false"/>
          <w:color w:val="000000"/>
          <w:sz w:val="24"/>
          <w:lang w:val="pl-PL"/>
        </w:rPr>
        <w:t xml:space="preserve"> z dnia 23 lipca 2003 r. o ochronie zabytków i opiece nad zabytkami (Dz. U. z 2022 r. poz. 840 oraz z 2023 r. poz. 951, 1688 i 1904);</w:t>
      </w:r>
    </w:p>
    <w:p>
      <w:pPr>
        <w:spacing w:before="26" w:after="0"/>
        <w:ind w:left="373"/>
        <w:jc w:val="left"/>
        <w:textAlignment w:val="auto"/>
      </w:pPr>
      <w:r>
        <w:rPr>
          <w:rFonts w:ascii="Times New Roman"/>
          <w:b w:val="false"/>
          <w:i w:val="false"/>
          <w:color w:val="000000"/>
          <w:sz w:val="24"/>
          <w:lang w:val="pl-PL"/>
        </w:rPr>
        <w:t>5)</w:t>
      </w:r>
      <w:r>
        <w:rPr>
          <w:rFonts w:ascii="Times New Roman"/>
          <w:b w:val="false"/>
          <w:i w:val="false"/>
          <w:color w:val="000000"/>
          <w:sz w:val="24"/>
          <w:lang w:val="pl-PL"/>
        </w:rPr>
        <w:t xml:space="preserve"> </w:t>
      </w:r>
      <w:r>
        <w:rPr>
          <w:rFonts w:ascii="Times New Roman"/>
          <w:b w:val="false"/>
          <w:i/>
          <w:color w:val="1b1b1b"/>
          <w:sz w:val="24"/>
          <w:lang w:val="pl-PL"/>
        </w:rPr>
        <w:t>ustawy</w:t>
      </w:r>
      <w:r>
        <w:rPr>
          <w:rFonts w:ascii="Times New Roman"/>
          <w:b w:val="false"/>
          <w:i w:val="false"/>
          <w:color w:val="000000"/>
          <w:sz w:val="24"/>
          <w:lang w:val="pl-PL"/>
        </w:rPr>
        <w:t xml:space="preserve"> </w:t>
      </w:r>
      <w:r>
        <w:rPr>
          <w:rFonts w:ascii="Times New Roman"/>
          <w:b w:val="false"/>
          <w:i/>
          <w:color w:val="000000"/>
          <w:sz w:val="24"/>
          <w:lang w:val="pl-PL"/>
        </w:rPr>
        <w:t xml:space="preserve"> z dnia 24 października 1974 r. - Prawo budowlane (Dz. U. poz. 229, z późn. zm.)</w:t>
      </w:r>
      <w:r>
        <w:rPr>
          <w:rFonts w:ascii="Times New Roman"/>
          <w:b w:val="false"/>
          <w:i w:val="false"/>
          <w:color w:val="000000"/>
          <w:sz w:val="24"/>
          <w:lang w:val="pl-PL"/>
        </w:rPr>
        <w:t xml:space="preserve"> </w:t>
      </w:r>
      <w:r>
        <w:rPr>
          <w:rFonts w:ascii="Times New Roman"/>
          <w:b w:val="false"/>
          <w:i w:val="false"/>
          <w:color w:val="000000"/>
          <w:sz w:val="24"/>
          <w:lang w:val="pl-PL"/>
        </w:rPr>
        <w:t xml:space="preserve"> ;</w:t>
      </w:r>
    </w:p>
    <w:p>
      <w:pPr>
        <w:spacing w:before="26" w:after="0"/>
        <w:ind w:left="373"/>
        <w:jc w:val="left"/>
        <w:textAlignment w:val="auto"/>
      </w:pPr>
      <w:r>
        <w:rPr>
          <w:rFonts w:ascii="Times New Roman"/>
          <w:b w:val="false"/>
          <w:i w:val="false"/>
          <w:color w:val="000000"/>
          <w:sz w:val="24"/>
          <w:lang w:val="pl-PL"/>
        </w:rPr>
        <w:t>6)</w:t>
      </w:r>
      <w:r>
        <w:rPr>
          <w:rFonts w:ascii="Times New Roman"/>
          <w:b w:val="false"/>
          <w:i w:val="false"/>
          <w:color w:val="000000"/>
          <w:sz w:val="24"/>
          <w:lang w:val="pl-PL"/>
        </w:rPr>
        <w:t xml:space="preserve"> </w:t>
      </w:r>
      <w:r>
        <w:rPr>
          <w:rFonts w:ascii="Times New Roman"/>
          <w:b w:val="false"/>
          <w:i/>
          <w:color w:val="1b1b1b"/>
          <w:sz w:val="24"/>
          <w:lang w:val="pl-PL"/>
        </w:rPr>
        <w:t>ustawy</w:t>
      </w:r>
      <w:r>
        <w:rPr>
          <w:rFonts w:ascii="Times New Roman"/>
          <w:b w:val="false"/>
          <w:i w:val="false"/>
          <w:color w:val="000000"/>
          <w:sz w:val="24"/>
          <w:lang w:val="pl-PL"/>
        </w:rPr>
        <w:t xml:space="preserve"> </w:t>
      </w:r>
      <w:r>
        <w:rPr>
          <w:rFonts w:ascii="Times New Roman"/>
          <w:b w:val="false"/>
          <w:i/>
          <w:color w:val="000000"/>
          <w:sz w:val="24"/>
          <w:lang w:val="pl-PL"/>
        </w:rPr>
        <w:t xml:space="preserve"> z dnia 24 października 1974 r. - Prawo wodne (Dz. U. poz. 230, z późn. zm.)</w:t>
      </w:r>
      <w:r>
        <w:rPr>
          <w:rFonts w:ascii="Times New Roman"/>
          <w:b w:val="false"/>
          <w:i w:val="false"/>
          <w:color w:val="000000"/>
          <w:sz w:val="24"/>
          <w:lang w:val="pl-PL"/>
        </w:rPr>
        <w:t xml:space="preserve"> </w:t>
      </w:r>
      <w:r>
        <w:rPr>
          <w:rFonts w:ascii="Times New Roman"/>
          <w:b w:val="false"/>
          <w:i w:val="false"/>
          <w:color w:val="000000"/>
          <w:sz w:val="24"/>
          <w:lang w:val="pl-PL"/>
        </w:rPr>
        <w:t xml:space="preserve"> ;</w:t>
      </w:r>
    </w:p>
    <w:p>
      <w:pPr>
        <w:spacing w:before="26" w:after="0"/>
        <w:ind w:left="373"/>
        <w:jc w:val="left"/>
        <w:textAlignment w:val="auto"/>
      </w:pPr>
      <w:r>
        <w:rPr>
          <w:rFonts w:ascii="Times New Roman"/>
          <w:b w:val="false"/>
          <w:i w:val="false"/>
          <w:color w:val="000000"/>
          <w:sz w:val="24"/>
          <w:lang w:val="pl-PL"/>
        </w:rPr>
        <w:t>7)</w:t>
      </w:r>
      <w:r>
        <w:rPr>
          <w:rFonts w:ascii="Times New Roman"/>
          <w:b w:val="false"/>
          <w:i w:val="false"/>
          <w:color w:val="000000"/>
          <w:sz w:val="24"/>
          <w:lang w:val="pl-PL"/>
        </w:rPr>
        <w:t xml:space="preserve"> </w:t>
      </w:r>
      <w:r>
        <w:rPr>
          <w:rFonts w:ascii="Times New Roman"/>
          <w:b w:val="false"/>
          <w:i w:val="false"/>
          <w:color w:val="1b1b1b"/>
          <w:sz w:val="24"/>
          <w:lang w:val="pl-PL"/>
        </w:rPr>
        <w:t>ustawy</w:t>
      </w:r>
      <w:r>
        <w:rPr>
          <w:rFonts w:ascii="Times New Roman"/>
          <w:b w:val="false"/>
          <w:i w:val="false"/>
          <w:color w:val="000000"/>
          <w:sz w:val="24"/>
          <w:lang w:val="pl-PL"/>
        </w:rPr>
        <w:t xml:space="preserve"> z dnia 16 września 1982 r. o pracownikach urzędów państwowych (Dz. U. z 2023 r. poz. 1917).</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55.</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 xml:space="preserve">W ustawie z dnia 26 marca 1982 r. o scalaniu i wymianie gruntów (Dz. U. Nr 11, poz. 80 i z 1989 r. Nr 10, poz. 55) w </w:t>
      </w:r>
      <w:r>
        <w:rPr>
          <w:rFonts w:ascii="Times New Roman"/>
          <w:b w:val="false"/>
          <w:i w:val="false"/>
          <w:color w:val="1b1b1b"/>
          <w:sz w:val="24"/>
          <w:lang w:val="pl-PL"/>
        </w:rPr>
        <w:t>art. 24</w:t>
      </w:r>
      <w:r>
        <w:rPr>
          <w:rFonts w:ascii="Times New Roman"/>
          <w:b w:val="false"/>
          <w:i w:val="false"/>
          <w:color w:val="000000"/>
          <w:sz w:val="24"/>
          <w:lang w:val="pl-PL"/>
        </w:rPr>
        <w:t xml:space="preserve"> w ust. 4 dodaje się pkt 3 w brzmieniu: (zmiany pominięte).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56.</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 xml:space="preserve">W ustawie z dnia 12 listopada 1985 r. o zmianach w organizacji oraz zakresie działania niektórych naczelnych i centralnych organów administracji państwowej (Dz. U. Nr 50, poz. 262 i z 1987 r. Nr 33, poz. 180) w </w:t>
      </w:r>
      <w:r>
        <w:rPr>
          <w:rFonts w:ascii="Times New Roman"/>
          <w:b w:val="false"/>
          <w:i w:val="false"/>
          <w:color w:val="1b1b1b"/>
          <w:sz w:val="24"/>
          <w:lang w:val="pl-PL"/>
        </w:rPr>
        <w:t>art. 2</w:t>
      </w:r>
      <w:r>
        <w:rPr>
          <w:rFonts w:ascii="Times New Roman"/>
          <w:b w:val="false"/>
          <w:i w:val="false"/>
          <w:color w:val="000000"/>
          <w:sz w:val="24"/>
          <w:lang w:val="pl-PL"/>
        </w:rPr>
        <w:t xml:space="preserve"> w ust. 2 pkt 10 otrzymuje brzmienie: (zmiany pominięte).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57.</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 xml:space="preserve">W ustawie z dnia 23 października 1987 r. o utworzeniu urzędu Ministra Gospodarki Przestrzennej i Budownictwa (Dz. U. Nr 33, poz. 173) w </w:t>
      </w:r>
      <w:r>
        <w:rPr>
          <w:rFonts w:ascii="Times New Roman"/>
          <w:b w:val="false"/>
          <w:i w:val="false"/>
          <w:color w:val="1b1b1b"/>
          <w:sz w:val="24"/>
          <w:lang w:val="pl-PL"/>
        </w:rPr>
        <w:t>art. 3</w:t>
      </w:r>
      <w:r>
        <w:rPr>
          <w:rFonts w:ascii="Times New Roman"/>
          <w:b w:val="false"/>
          <w:i w:val="false"/>
          <w:color w:val="000000"/>
          <w:sz w:val="24"/>
          <w:lang w:val="pl-PL"/>
        </w:rPr>
        <w:t xml:space="preserve"> ust. 3 otrzymuje brzmienie: (zmiany pominięte).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58.</w:t>
      </w:r>
      <w:r>
        <w:rPr>
          <w:rFonts w:ascii="Times New Roman"/>
          <w:b/>
          <w:i w:val="false"/>
          <w:color w:val="000000"/>
          <w:sz w:val="24"/>
          <w:lang w:val="pl-PL"/>
        </w:rPr>
        <w:t xml:space="preserve"> [Przepis derogacyjny]</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Tracą moc:</w:t>
      </w:r>
    </w:p>
    <w:p>
      <w:pPr>
        <w:spacing w:before="26" w:after="0"/>
        <w:ind w:left="373"/>
        <w:jc w:val="left"/>
        <w:textAlignment w:val="auto"/>
      </w:pPr>
      <w:r>
        <w:rPr>
          <w:rFonts w:ascii="Times New Roman"/>
          <w:b w:val="false"/>
          <w:i w:val="false"/>
          <w:color w:val="000000"/>
          <w:sz w:val="24"/>
          <w:lang w:val="pl-PL"/>
        </w:rPr>
        <w:t>1)</w:t>
      </w:r>
      <w:r>
        <w:rPr>
          <w:rFonts w:ascii="Times New Roman"/>
          <w:b w:val="false"/>
          <w:i w:val="false"/>
          <w:color w:val="000000"/>
          <w:sz w:val="24"/>
          <w:lang w:val="pl-PL"/>
        </w:rPr>
        <w:t xml:space="preserve"> </w:t>
      </w:r>
      <w:r>
        <w:rPr>
          <w:rFonts w:ascii="Times New Roman"/>
          <w:b w:val="false"/>
          <w:i w:val="false"/>
          <w:color w:val="1b1b1b"/>
          <w:sz w:val="24"/>
          <w:lang w:val="pl-PL"/>
        </w:rPr>
        <w:t>dekret</w:t>
      </w:r>
      <w:r>
        <w:rPr>
          <w:rFonts w:ascii="Times New Roman"/>
          <w:b w:val="false"/>
          <w:i w:val="false"/>
          <w:color w:val="000000"/>
          <w:sz w:val="24"/>
          <w:lang w:val="pl-PL"/>
        </w:rPr>
        <w:t xml:space="preserve"> z dnia 13 września 1946 r. o rozgraniczeniu nieruchomości (Dz. U. poz. 298 i 382);</w:t>
      </w:r>
    </w:p>
    <w:p>
      <w:pPr>
        <w:spacing w:before="26" w:after="0"/>
        <w:ind w:left="373"/>
        <w:jc w:val="left"/>
        <w:textAlignment w:val="auto"/>
      </w:pPr>
      <w:r>
        <w:rPr>
          <w:rFonts w:ascii="Times New Roman"/>
          <w:b w:val="false"/>
          <w:i w:val="false"/>
          <w:color w:val="000000"/>
          <w:sz w:val="24"/>
          <w:lang w:val="pl-PL"/>
        </w:rPr>
        <w:t>2)</w:t>
      </w:r>
      <w:r>
        <w:rPr>
          <w:rFonts w:ascii="Times New Roman"/>
          <w:b w:val="false"/>
          <w:i w:val="false"/>
          <w:color w:val="000000"/>
          <w:sz w:val="24"/>
          <w:lang w:val="pl-PL"/>
        </w:rPr>
        <w:t xml:space="preserve"> </w:t>
      </w:r>
      <w:r>
        <w:rPr>
          <w:rFonts w:ascii="Times New Roman"/>
          <w:b w:val="false"/>
          <w:i w:val="false"/>
          <w:color w:val="1b1b1b"/>
          <w:sz w:val="24"/>
          <w:lang w:val="pl-PL"/>
        </w:rPr>
        <w:t>dekret</w:t>
      </w:r>
      <w:r>
        <w:rPr>
          <w:rFonts w:ascii="Times New Roman"/>
          <w:b w:val="false"/>
          <w:i w:val="false"/>
          <w:color w:val="000000"/>
          <w:sz w:val="24"/>
          <w:lang w:val="pl-PL"/>
        </w:rPr>
        <w:t xml:space="preserve"> z dnia 25 kwietnia 1948 r. o prawie dokonywania zdjęć aerofotogrametrycznych (Dz. U. poz. 160);</w:t>
      </w:r>
    </w:p>
    <w:p>
      <w:pPr>
        <w:spacing w:before="26" w:after="0"/>
        <w:ind w:left="373"/>
        <w:jc w:val="left"/>
        <w:textAlignment w:val="auto"/>
      </w:pPr>
      <w:r>
        <w:rPr>
          <w:rFonts w:ascii="Times New Roman"/>
          <w:b w:val="false"/>
          <w:i w:val="false"/>
          <w:color w:val="000000"/>
          <w:sz w:val="24"/>
          <w:lang w:val="pl-PL"/>
        </w:rPr>
        <w:t>3)</w:t>
      </w:r>
      <w:r>
        <w:rPr>
          <w:rFonts w:ascii="Times New Roman"/>
          <w:b w:val="false"/>
          <w:i w:val="false"/>
          <w:color w:val="000000"/>
          <w:sz w:val="24"/>
          <w:lang w:val="pl-PL"/>
        </w:rPr>
        <w:t xml:space="preserve"> </w:t>
      </w:r>
      <w:r>
        <w:rPr>
          <w:rFonts w:ascii="Times New Roman"/>
          <w:b w:val="false"/>
          <w:i w:val="false"/>
          <w:color w:val="1b1b1b"/>
          <w:sz w:val="24"/>
          <w:lang w:val="pl-PL"/>
        </w:rPr>
        <w:t>dekret</w:t>
      </w:r>
      <w:r>
        <w:rPr>
          <w:rFonts w:ascii="Times New Roman"/>
          <w:b w:val="false"/>
          <w:i w:val="false"/>
          <w:color w:val="000000"/>
          <w:sz w:val="24"/>
          <w:lang w:val="pl-PL"/>
        </w:rPr>
        <w:t xml:space="preserve"> z dnia 2 lutego 1955 r. o ewidencji gruntów i budynków (Dz. U. poz. 32);</w:t>
      </w:r>
    </w:p>
    <w:p>
      <w:pPr>
        <w:spacing w:before="26" w:after="0"/>
        <w:ind w:left="373"/>
        <w:jc w:val="left"/>
        <w:textAlignment w:val="auto"/>
      </w:pPr>
      <w:r>
        <w:rPr>
          <w:rFonts w:ascii="Times New Roman"/>
          <w:b w:val="false"/>
          <w:i w:val="false"/>
          <w:color w:val="000000"/>
          <w:sz w:val="24"/>
          <w:lang w:val="pl-PL"/>
        </w:rPr>
        <w:t>4)</w:t>
      </w:r>
      <w:r>
        <w:rPr>
          <w:rFonts w:ascii="Times New Roman"/>
          <w:b w:val="false"/>
          <w:i w:val="false"/>
          <w:color w:val="000000"/>
          <w:sz w:val="24"/>
          <w:lang w:val="pl-PL"/>
        </w:rPr>
        <w:t xml:space="preserve"> </w:t>
      </w:r>
      <w:r>
        <w:rPr>
          <w:rFonts w:ascii="Times New Roman"/>
          <w:b w:val="false"/>
          <w:i w:val="false"/>
          <w:color w:val="1b1b1b"/>
          <w:sz w:val="24"/>
          <w:lang w:val="pl-PL"/>
        </w:rPr>
        <w:t>dekret</w:t>
      </w:r>
      <w:r>
        <w:rPr>
          <w:rFonts w:ascii="Times New Roman"/>
          <w:b w:val="false"/>
          <w:i w:val="false"/>
          <w:color w:val="000000"/>
          <w:sz w:val="24"/>
          <w:lang w:val="pl-PL"/>
        </w:rPr>
        <w:t xml:space="preserve"> z dnia 13 czerwca 1956 r. o państwowej służbie geodezyjnej i kartograficznej (Dz. U. poz. 115, z 1983 r. poz. 200, z 1987 r. poz. 180 oraz z 1988 r. poz. 170).</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59.</w:t>
      </w:r>
      <w:r>
        <w:rPr>
          <w:rFonts w:ascii="Times New Roman"/>
          <w:b/>
          <w:i w:val="false"/>
          <w:color w:val="000000"/>
          <w:sz w:val="24"/>
          <w:lang w:val="pl-PL"/>
        </w:rPr>
        <w:t xml:space="preserve"> [Stosowanie dotychczasowych przepisów wykonawczych]</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Do czasu wydania przepisów wykonawczych przewidzianych w ustawie pozostają w mocy dotychczasowe przepisy, jeżeli nie są z nią sprzeczne.</w:t>
      </w:r>
    </w:p>
    <w:p>
      <w:pPr>
        <w:spacing w:before="80" w:after="0"/>
        <w:ind w:left="0"/>
        <w:jc w:val="left"/>
        <w:textAlignment w:val="auto"/>
      </w:pPr>
    </w:p>
    <w:p>
      <w:pPr>
        <w:spacing w:after="0"/>
        <w:ind w:left="0"/>
        <w:jc w:val="left"/>
        <w:textAlignment w:val="auto"/>
      </w:pPr>
      <w:r>
        <w:rPr>
          <w:rFonts w:ascii="Times New Roman"/>
          <w:b/>
          <w:i w:val="false"/>
          <w:color w:val="000000"/>
          <w:sz w:val="24"/>
          <w:lang w:val="pl-PL"/>
        </w:rPr>
        <w:t>Art.  60.</w:t>
      </w:r>
      <w:r>
        <w:rPr>
          <w:rFonts w:ascii="Times New Roman"/>
          <w:b/>
          <w:i w:val="false"/>
          <w:color w:val="000000"/>
          <w:sz w:val="24"/>
          <w:lang w:val="pl-PL"/>
        </w:rPr>
        <w:t xml:space="preserve"> [Wejście w życie ustawy]</w:t>
      </w:r>
    </w:p>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w:t>
      </w:r>
      <w:r>
        <w:rPr>
          <w:rFonts w:ascii="Times New Roman"/>
          <w:b w:val="false"/>
          <w:i w:val="false"/>
          <w:color w:val="000000"/>
          <w:sz w:val="24"/>
          <w:lang w:val="pl-PL"/>
        </w:rPr>
        <w:t>Ustawa wchodzi w życie z dniem 1 lipca 1989 r.</w:t>
      </w:r>
    </w:p>
    <w:p>
      <w:pPr>
        <w:spacing w:after="0"/>
        <w:ind w:left="0"/>
        <w:jc w:val="left"/>
        <w:textAlignment w:val="auto"/>
      </w:pPr>
    </w:p>
    <w:p>
      <w:pPr>
        <w:spacing w:before="89" w:after="0"/>
        <w:ind w:left="0"/>
        <w:jc w:val="center"/>
        <w:textAlignment w:val="auto"/>
      </w:pPr>
      <w:r>
        <w:rPr>
          <w:rFonts w:ascii="Times New Roman"/>
          <w:b/>
          <w:i w:val="false"/>
          <w:color w:val="000000"/>
          <w:sz w:val="24"/>
          <w:lang w:val="pl-PL"/>
        </w:rPr>
        <w:t xml:space="preserve">ZAŁĄCZNIK </w:t>
      </w:r>
      <w:r>
        <w:rPr>
          <w:rFonts w:ascii="Times New Roman"/>
          <w:b/>
          <w:i w:val="false"/>
          <w:color w:val="000000"/>
          <w:sz w:val="24"/>
          <w:lang w:val="pl-PL"/>
        </w:rPr>
        <w:t xml:space="preserve"> </w:t>
      </w:r>
    </w:p>
    <w:p>
      <w:pPr>
        <w:spacing w:before="25" w:after="0"/>
        <w:ind w:left="0"/>
        <w:jc w:val="center"/>
        <w:textAlignment w:val="auto"/>
      </w:pPr>
      <w:r>
        <w:rPr>
          <w:rFonts w:ascii="Times New Roman"/>
          <w:b/>
          <w:i w:val="false"/>
          <w:color w:val="000000"/>
          <w:sz w:val="24"/>
          <w:lang w:val="pl-PL"/>
        </w:rPr>
        <w:t>WYSOKOŚĆ STAWEK PODSTAWOWYCH W ODNIESIENIU DO ODPOWIEDNICH JEDNOSTEK ROZLICZENIOWYCH, WYSOKOŚĆ WSPÓŁCZYNNIKÓW KORYGUJĄCYCH ORAZ ZASADY USTALANIA TYCH WSPÓŁCZYNNIKÓW, A TAKŻE SZCZEGÓŁOWE ZASADY OBLICZANIA WYSOKOŚCI OPŁATY, W TYM OPŁATY ZRYCZAŁTOWANEJ</w:t>
      </w:r>
    </w:p>
    <w:p>
      <w:pPr>
        <w:spacing w:after="0"/>
        <w:ind w:left="0"/>
        <w:jc w:val="left"/>
        <w:textAlignment w:val="auto"/>
      </w:pPr>
      <w:r>
        <w:rPr>
          <w:rFonts w:ascii="Times New Roman"/>
          <w:b w:val="false"/>
          <w:i w:val="false"/>
          <w:color w:val="000000"/>
          <w:sz w:val="24"/>
          <w:lang w:val="pl-PL"/>
        </w:rPr>
        <w:t>1. Stawki podstawowe, zwane dalej "Sp", oraz jednostki rozliczeniowe stosowane przy ustalaniu opłat z tytułu udostępniania materiałów zasobu oraz za czynności, o których mowa w art. 40b ust. 1 pkt 2, 5 i 6, określają tabele nr 2, 3, 6-14 i 16.</w:t>
      </w:r>
    </w:p>
    <w:p>
      <w:pPr>
        <w:spacing w:before="25" w:after="0"/>
        <w:ind w:left="0"/>
        <w:jc w:val="left"/>
        <w:textAlignment w:val="auto"/>
      </w:pPr>
      <w:r>
        <w:rPr>
          <w:rFonts w:ascii="Times New Roman"/>
          <w:b w:val="false"/>
          <w:i w:val="false"/>
          <w:color w:val="000000"/>
          <w:sz w:val="24"/>
          <w:lang w:val="pl-PL"/>
        </w:rPr>
        <w:t>1a. Zasady ustalania opłaty za udostępnianie materiałów zasobu w związku ze zgłoszeniem prac, o których mowa w art. 12 ust. 1 pkt 3, określa tabela nr 16a. Zakres wykonywanych prac geodezyjnych określa się za pomocą zamkniętego poligonu (wielokąta), którego powierzchnia jest większa od zera.</w:t>
      </w:r>
    </w:p>
    <w:p>
      <w:pPr>
        <w:spacing w:before="25" w:after="0"/>
        <w:ind w:left="0"/>
        <w:jc w:val="left"/>
        <w:textAlignment w:val="auto"/>
      </w:pPr>
      <w:r>
        <w:rPr>
          <w:rFonts w:ascii="Times New Roman"/>
          <w:b w:val="false"/>
          <w:i w:val="false"/>
          <w:color w:val="000000"/>
          <w:sz w:val="24"/>
          <w:lang w:val="pl-PL"/>
        </w:rPr>
        <w:t>1b. W przypadku uzupełnienia zgłoszenia prac, o których mowa w art. 12 ust. 1 pkt 3, wysokość należnej opłaty ustala się z uwzględnieniem treści zgłoszenia prac po jego uzupełnieniu. W przypadku gdy wysokość opłaty ustalona zgodnie ze zdaniem pierwszym jest wyższa od wniesionej opłaty, wykonawca prac geodezyjnych dopłaca różnicę.</w:t>
      </w:r>
    </w:p>
    <w:p>
      <w:pPr>
        <w:spacing w:before="25" w:after="0"/>
        <w:ind w:left="0"/>
        <w:jc w:val="left"/>
        <w:textAlignment w:val="auto"/>
      </w:pPr>
      <w:r>
        <w:rPr>
          <w:rFonts w:ascii="Times New Roman"/>
          <w:b w:val="false"/>
          <w:i w:val="false"/>
          <w:color w:val="000000"/>
          <w:sz w:val="24"/>
          <w:lang w:val="pl-PL"/>
        </w:rPr>
        <w:t>1c. Opłaty, o których mowa w ust. 1a i 1b, obejmują koszty udostępniania materiałów zasobu za pomocą środków komunikacji elektronicznej lub przygotowania materiałów zasobu w formie wydruku, jeżeli materiały te nie są możliwe do udostępnienia za pomocą środków komunikacji elektronicznej.</w:t>
      </w:r>
    </w:p>
    <w:p>
      <w:pPr>
        <w:spacing w:before="25" w:after="0"/>
        <w:ind w:left="0"/>
        <w:jc w:val="left"/>
        <w:textAlignment w:val="auto"/>
      </w:pPr>
      <w:r>
        <w:rPr>
          <w:rFonts w:ascii="Times New Roman"/>
          <w:b w:val="false"/>
          <w:i w:val="false"/>
          <w:color w:val="000000"/>
          <w:sz w:val="24"/>
          <w:lang w:val="pl-PL"/>
        </w:rPr>
        <w:t>1d. Na prośbę wykonawcy prac geodezyjnych złożoną wraz ze zgłoszeniem prac lub jego uzupełnieniem materiały zasobu możliwe do udostępnienia za pomocą środków komunikacji elektronicznej mogą zostać udostępnione w formie wydruku, po wniesieniu opłaty za przygotowanie tych materiałów. Opłata za wydruk jest ustalana zgodnie z tabelą nr 16 lp. 1.</w:t>
      </w:r>
    </w:p>
    <w:p>
      <w:pPr>
        <w:spacing w:before="25" w:after="0"/>
        <w:ind w:left="0"/>
        <w:jc w:val="left"/>
        <w:textAlignment w:val="auto"/>
      </w:pPr>
      <w:r>
        <w:rPr>
          <w:rFonts w:ascii="Times New Roman"/>
          <w:b w:val="false"/>
          <w:i w:val="false"/>
          <w:color w:val="000000"/>
          <w:sz w:val="24"/>
          <w:lang w:val="pl-PL"/>
        </w:rPr>
        <w:t>1e. W przypadku wysyłania pod wskazany adres materiałów zasobu udostępnianych w związku ze zgłoszeniem prac lub jego uzupełnieniem stosuje się opłaty określone w ust. 14.</w:t>
      </w:r>
    </w:p>
    <w:p>
      <w:pPr>
        <w:spacing w:before="25" w:after="0"/>
        <w:ind w:left="0"/>
        <w:jc w:val="left"/>
        <w:textAlignment w:val="auto"/>
      </w:pPr>
      <w:r>
        <w:rPr>
          <w:rFonts w:ascii="Times New Roman"/>
          <w:b w:val="false"/>
          <w:i w:val="false"/>
          <w:color w:val="000000"/>
          <w:sz w:val="24"/>
          <w:lang w:val="pl-PL"/>
        </w:rPr>
        <w:t>2. (uchylony).</w:t>
      </w:r>
    </w:p>
    <w:p>
      <w:pPr>
        <w:spacing w:before="25" w:after="0"/>
        <w:ind w:left="0"/>
        <w:jc w:val="left"/>
        <w:textAlignment w:val="auto"/>
      </w:pPr>
      <w:r>
        <w:rPr>
          <w:rFonts w:ascii="Times New Roman"/>
          <w:b w:val="false"/>
          <w:i w:val="false"/>
          <w:color w:val="000000"/>
          <w:sz w:val="24"/>
          <w:lang w:val="pl-PL"/>
        </w:rPr>
        <w:t>3. Przy ustalaniu wysokości opłat stosuje się współczynniki korygujące:</w:t>
      </w:r>
    </w:p>
    <w:p>
      <w:pPr>
        <w:spacing w:before="25" w:after="0"/>
        <w:ind w:left="0"/>
        <w:jc w:val="left"/>
        <w:textAlignment w:val="auto"/>
      </w:pPr>
      <w:r>
        <w:rPr>
          <w:rFonts w:ascii="Times New Roman"/>
          <w:b w:val="false"/>
          <w:i w:val="false"/>
          <w:color w:val="000000"/>
          <w:sz w:val="24"/>
          <w:lang w:val="pl-PL"/>
        </w:rPr>
        <w:t>1) (uchylony);</w:t>
      </w:r>
    </w:p>
    <w:p>
      <w:pPr>
        <w:spacing w:before="25" w:after="0"/>
        <w:ind w:left="0"/>
        <w:jc w:val="left"/>
        <w:textAlignment w:val="auto"/>
      </w:pPr>
      <w:r>
        <w:rPr>
          <w:rFonts w:ascii="Times New Roman"/>
          <w:b w:val="false"/>
          <w:i w:val="false"/>
          <w:color w:val="000000"/>
          <w:sz w:val="24"/>
          <w:lang w:val="pl-PL"/>
        </w:rPr>
        <w:t>2) CL - ze względu na cel, w jakim wykorzystywane będą udostępniane materiały zasobu;</w:t>
      </w:r>
    </w:p>
    <w:p>
      <w:pPr>
        <w:spacing w:before="25" w:after="0"/>
        <w:ind w:left="0"/>
        <w:jc w:val="left"/>
        <w:textAlignment w:val="auto"/>
      </w:pPr>
      <w:r>
        <w:rPr>
          <w:rFonts w:ascii="Times New Roman"/>
          <w:b w:val="false"/>
          <w:i w:val="false"/>
          <w:color w:val="000000"/>
          <w:sz w:val="24"/>
          <w:lang w:val="pl-PL"/>
        </w:rPr>
        <w:t xml:space="preserve">3) </w:t>
      </w:r>
      <w:r>
        <w:rPr>
          <w:rFonts w:ascii="Times New Roman"/>
          <w:b w:val="false"/>
          <w:i/>
          <w:color w:val="000000"/>
          <w:sz w:val="24"/>
          <w:lang w:val="pl-PL"/>
        </w:rPr>
        <w:t>LR</w:t>
      </w:r>
      <w:r>
        <w:rPr>
          <w:rFonts w:ascii="Times New Roman"/>
          <w:b w:val="false"/>
          <w:i w:val="false"/>
          <w:color w:val="000000"/>
          <w:sz w:val="24"/>
          <w:lang w:val="pl-PL"/>
        </w:rPr>
        <w:t xml:space="preserve"> - ze względu na liczbę jednostek rozliczeniowych udostępnianych materiałów zasobu;</w:t>
      </w:r>
    </w:p>
    <w:p>
      <w:pPr>
        <w:spacing w:before="25" w:after="0"/>
        <w:ind w:left="0"/>
        <w:jc w:val="left"/>
        <w:textAlignment w:val="auto"/>
      </w:pPr>
      <w:r>
        <w:rPr>
          <w:rFonts w:ascii="Times New Roman"/>
          <w:b w:val="false"/>
          <w:i w:val="false"/>
          <w:color w:val="000000"/>
          <w:sz w:val="24"/>
          <w:lang w:val="pl-PL"/>
        </w:rPr>
        <w:t xml:space="preserve">4) </w:t>
      </w:r>
      <w:r>
        <w:rPr>
          <w:rFonts w:ascii="Times New Roman"/>
          <w:b w:val="false"/>
          <w:i/>
          <w:color w:val="000000"/>
          <w:sz w:val="24"/>
          <w:lang w:val="pl-PL"/>
        </w:rPr>
        <w:t>SU</w:t>
      </w:r>
      <w:r>
        <w:rPr>
          <w:rFonts w:ascii="Times New Roman"/>
          <w:b w:val="false"/>
          <w:i w:val="false"/>
          <w:color w:val="000000"/>
          <w:sz w:val="24"/>
          <w:lang w:val="pl-PL"/>
        </w:rPr>
        <w:t xml:space="preserve"> - ze względu na sposób udostępniania materiałów zasobu;</w:t>
      </w:r>
    </w:p>
    <w:p>
      <w:pPr>
        <w:spacing w:before="25" w:after="0"/>
        <w:ind w:left="0"/>
        <w:jc w:val="left"/>
        <w:textAlignment w:val="auto"/>
      </w:pPr>
      <w:r>
        <w:rPr>
          <w:rFonts w:ascii="Times New Roman"/>
          <w:b w:val="false"/>
          <w:i w:val="false"/>
          <w:color w:val="000000"/>
          <w:sz w:val="24"/>
          <w:lang w:val="pl-PL"/>
        </w:rPr>
        <w:t xml:space="preserve">5) </w:t>
      </w:r>
      <w:r>
        <w:rPr>
          <w:rFonts w:ascii="Times New Roman"/>
          <w:b w:val="false"/>
          <w:i/>
          <w:color w:val="000000"/>
          <w:sz w:val="24"/>
          <w:lang w:val="pl-PL"/>
        </w:rPr>
        <w:t>PD</w:t>
      </w:r>
      <w:r>
        <w:rPr>
          <w:rFonts w:ascii="Times New Roman"/>
          <w:b w:val="false"/>
          <w:i w:val="false"/>
          <w:color w:val="000000"/>
          <w:sz w:val="24"/>
          <w:lang w:val="pl-PL"/>
        </w:rPr>
        <w:t xml:space="preserve"> - w przypadku gdy przedmiotem udostępnienia jest dająca się wyodrębnić część materiału zasobu, dla którego określona jest stawka podstawowa,</w:t>
      </w:r>
    </w:p>
    <w:p>
      <w:pPr>
        <w:spacing w:before="25" w:after="0"/>
        <w:ind w:left="0"/>
        <w:jc w:val="left"/>
        <w:textAlignment w:val="auto"/>
      </w:pPr>
      <w:r>
        <w:rPr>
          <w:rFonts w:ascii="Times New Roman"/>
          <w:b w:val="false"/>
          <w:i w:val="false"/>
          <w:color w:val="000000"/>
          <w:sz w:val="24"/>
          <w:lang w:val="pl-PL"/>
        </w:rPr>
        <w:t xml:space="preserve">6) </w:t>
      </w:r>
      <w:r>
        <w:rPr>
          <w:rFonts w:ascii="Times New Roman"/>
          <w:b w:val="false"/>
          <w:i/>
          <w:color w:val="000000"/>
          <w:sz w:val="24"/>
          <w:lang w:val="pl-PL"/>
        </w:rPr>
        <w:t>AJ</w:t>
      </w:r>
      <w:r>
        <w:rPr>
          <w:rFonts w:ascii="Times New Roman"/>
          <w:b w:val="false"/>
          <w:i w:val="false"/>
          <w:color w:val="000000"/>
          <w:sz w:val="24"/>
          <w:lang w:val="pl-PL"/>
        </w:rPr>
        <w:t xml:space="preserve"> - w przypadku, gdy udostępniany materiał zasobu zawiera informacje nieaktualne lub o cechach zmniejszających przydatność użytkową tego materiału;</w:t>
      </w:r>
    </w:p>
    <w:p>
      <w:pPr>
        <w:spacing w:before="25" w:after="0"/>
        <w:ind w:left="0"/>
        <w:jc w:val="left"/>
        <w:textAlignment w:val="auto"/>
      </w:pPr>
      <w:r>
        <w:rPr>
          <w:rFonts w:ascii="Times New Roman"/>
          <w:b w:val="false"/>
          <w:i w:val="false"/>
          <w:color w:val="000000"/>
          <w:sz w:val="24"/>
          <w:lang w:val="pl-PL"/>
        </w:rPr>
        <w:t xml:space="preserve">7) </w:t>
      </w:r>
      <w:r>
        <w:rPr>
          <w:rFonts w:ascii="Times New Roman"/>
          <w:b w:val="false"/>
          <w:i/>
          <w:color w:val="000000"/>
          <w:sz w:val="24"/>
          <w:lang w:val="pl-PL"/>
        </w:rPr>
        <w:t>T</w:t>
      </w:r>
      <w:r>
        <w:rPr>
          <w:rFonts w:ascii="Times New Roman"/>
          <w:b w:val="false"/>
          <w:i w:val="false"/>
          <w:color w:val="000000"/>
          <w:sz w:val="24"/>
          <w:lang w:val="pl-PL"/>
        </w:rPr>
        <w:t xml:space="preserve"> - w przypadku okresowego udostępniania materiałów zasobu za pomocą usług sieciowych.</w:t>
      </w:r>
    </w:p>
    <w:p>
      <w:pPr>
        <w:spacing w:before="25" w:after="0"/>
        <w:ind w:left="0"/>
        <w:jc w:val="left"/>
        <w:textAlignment w:val="auto"/>
      </w:pPr>
      <w:r>
        <w:rPr>
          <w:rFonts w:ascii="Times New Roman"/>
          <w:b w:val="false"/>
          <w:i w:val="false"/>
          <w:color w:val="000000"/>
          <w:sz w:val="24"/>
          <w:lang w:val="pl-PL"/>
        </w:rPr>
        <w:t>4. Współczynnik CL przybiera wartości:</w:t>
      </w:r>
    </w:p>
    <w:p>
      <w:pPr>
        <w:spacing w:before="25" w:after="0"/>
        <w:ind w:left="0"/>
        <w:jc w:val="left"/>
        <w:textAlignment w:val="auto"/>
      </w:pPr>
      <w:r>
        <w:rPr>
          <w:rFonts w:ascii="Times New Roman"/>
          <w:b w:val="false"/>
          <w:i w:val="false"/>
          <w:color w:val="000000"/>
          <w:sz w:val="24"/>
          <w:lang w:val="pl-PL"/>
        </w:rPr>
        <w:t>1) 1,0 - gdy materiały zasobu są udostępniane określonemu podmiotowi dla jego potrzeb własnych niezwiązanych z działalnością gospodarczą, bez prawa publikacji w sieci Internet, lub gdy dane rejestru cen nieruchomości są udostępniane rzeczoznawcom majątkowym w celu wykonania przez nich wyceny nieruchomości;</w:t>
      </w:r>
    </w:p>
    <w:p>
      <w:pPr>
        <w:spacing w:before="25" w:after="0"/>
        <w:ind w:left="0"/>
        <w:jc w:val="left"/>
        <w:textAlignment w:val="auto"/>
      </w:pPr>
      <w:r>
        <w:rPr>
          <w:rFonts w:ascii="Times New Roman"/>
          <w:b w:val="false"/>
          <w:i w:val="false"/>
          <w:color w:val="000000"/>
          <w:sz w:val="24"/>
          <w:lang w:val="pl-PL"/>
        </w:rPr>
        <w:t>2) 2,0 - gdy materiały zasobu są udostępniane określonemu podmiotowi dla dowolnych potrzeb;</w:t>
      </w:r>
    </w:p>
    <w:p>
      <w:pPr>
        <w:spacing w:before="25" w:after="0"/>
        <w:ind w:left="0"/>
        <w:jc w:val="left"/>
        <w:textAlignment w:val="auto"/>
      </w:pPr>
      <w:r>
        <w:rPr>
          <w:rFonts w:ascii="Times New Roman"/>
          <w:b w:val="false"/>
          <w:i w:val="false"/>
          <w:color w:val="000000"/>
          <w:sz w:val="24"/>
          <w:lang w:val="pl-PL"/>
        </w:rPr>
        <w:t>3) 0,1 - w przypadku każdego kolejnego udostępnienia zbiorów danych dotyczących sieci uzbrojenia terenu, o którym mowa w art. 40a ust. 2 pkt 5;</w:t>
      </w:r>
    </w:p>
    <w:p>
      <w:pPr>
        <w:spacing w:before="25" w:after="0"/>
        <w:ind w:left="0"/>
        <w:jc w:val="left"/>
        <w:textAlignment w:val="auto"/>
      </w:pPr>
      <w:r>
        <w:rPr>
          <w:rFonts w:ascii="Times New Roman"/>
          <w:b w:val="false"/>
          <w:i w:val="false"/>
          <w:color w:val="000000"/>
          <w:sz w:val="24"/>
          <w:lang w:val="pl-PL"/>
        </w:rPr>
        <w:t>5. (uchylony).</w:t>
      </w:r>
    </w:p>
    <w:p>
      <w:pPr>
        <w:spacing w:before="25" w:after="0"/>
        <w:ind w:left="0"/>
        <w:jc w:val="left"/>
        <w:textAlignment w:val="auto"/>
      </w:pPr>
      <w:r>
        <w:rPr>
          <w:rFonts w:ascii="Times New Roman"/>
          <w:b w:val="false"/>
          <w:i w:val="false"/>
          <w:color w:val="000000"/>
          <w:sz w:val="24"/>
          <w:lang w:val="pl-PL"/>
        </w:rPr>
        <w:t xml:space="preserve">6. W przypadku jednorazowego udostępniania materiałów zasobu współczynnik </w:t>
      </w:r>
      <w:r>
        <w:rPr>
          <w:rFonts w:ascii="Times New Roman"/>
          <w:b w:val="false"/>
          <w:i/>
          <w:color w:val="000000"/>
          <w:sz w:val="24"/>
          <w:lang w:val="pl-PL"/>
        </w:rPr>
        <w:t>SU</w:t>
      </w:r>
      <w:r>
        <w:rPr>
          <w:rFonts w:ascii="Times New Roman"/>
          <w:b w:val="false"/>
          <w:i w:val="false"/>
          <w:color w:val="000000"/>
          <w:sz w:val="24"/>
          <w:lang w:val="pl-PL"/>
        </w:rPr>
        <w:t xml:space="preserve"> stosuje się w wysokości:</w:t>
      </w:r>
    </w:p>
    <w:p>
      <w:pPr>
        <w:spacing w:before="25" w:after="0"/>
        <w:ind w:left="0"/>
        <w:jc w:val="left"/>
        <w:textAlignment w:val="auto"/>
      </w:pPr>
      <w:r>
        <w:rPr>
          <w:rFonts w:ascii="Times New Roman"/>
          <w:b w:val="false"/>
          <w:i w:val="false"/>
          <w:color w:val="000000"/>
          <w:sz w:val="24"/>
          <w:lang w:val="pl-PL"/>
        </w:rPr>
        <w:t>1) 1,0 - w przypadku udostępniania materiałów zasobu na zewnętrznym nośniku danych elektronicznych lub w postaci plików danych przekazywanych drogą elektroniczną albo w postaci drukowanej;</w:t>
      </w:r>
    </w:p>
    <w:p>
      <w:pPr>
        <w:spacing w:before="25" w:after="0"/>
        <w:ind w:left="0"/>
        <w:jc w:val="left"/>
        <w:textAlignment w:val="auto"/>
      </w:pPr>
      <w:r>
        <w:rPr>
          <w:rFonts w:ascii="Times New Roman"/>
          <w:b w:val="false"/>
          <w:i w:val="false"/>
          <w:color w:val="000000"/>
          <w:sz w:val="24"/>
          <w:lang w:val="pl-PL"/>
        </w:rPr>
        <w:t>2) 0,8 - w przypadku udostępniania materiałów zasobu w postaci elektronicznej za pomocą usług sieciowych.</w:t>
      </w:r>
    </w:p>
    <w:p>
      <w:pPr>
        <w:spacing w:before="25" w:after="0"/>
        <w:ind w:left="0"/>
        <w:jc w:val="left"/>
        <w:textAlignment w:val="auto"/>
      </w:pPr>
      <w:r>
        <w:rPr>
          <w:rFonts w:ascii="Times New Roman"/>
          <w:b w:val="false"/>
          <w:i w:val="false"/>
          <w:color w:val="000000"/>
          <w:sz w:val="24"/>
          <w:lang w:val="pl-PL"/>
        </w:rPr>
        <w:t>7. Współczynnika S</w:t>
      </w:r>
      <w:r>
        <w:rPr>
          <w:rFonts w:ascii="Times New Roman"/>
          <w:b w:val="false"/>
          <w:i/>
          <w:color w:val="000000"/>
          <w:sz w:val="24"/>
          <w:lang w:val="pl-PL"/>
        </w:rPr>
        <w:t>U</w:t>
      </w:r>
      <w:r>
        <w:rPr>
          <w:rFonts w:ascii="Times New Roman"/>
          <w:b w:val="false"/>
          <w:i w:val="false"/>
          <w:color w:val="000000"/>
          <w:sz w:val="24"/>
          <w:lang w:val="pl-PL"/>
        </w:rPr>
        <w:t xml:space="preserve"> nie stosuje się przy obliczaniu wysokości opłaty za okresowy dostęp do materiałów zasobu.</w:t>
      </w:r>
    </w:p>
    <w:p>
      <w:pPr>
        <w:spacing w:before="25" w:after="0"/>
        <w:ind w:left="0"/>
        <w:jc w:val="left"/>
        <w:textAlignment w:val="auto"/>
      </w:pPr>
      <w:r>
        <w:rPr>
          <w:rFonts w:ascii="Times New Roman"/>
          <w:b w:val="false"/>
          <w:i w:val="false"/>
          <w:color w:val="000000"/>
          <w:sz w:val="24"/>
          <w:lang w:val="pl-PL"/>
        </w:rPr>
        <w:t>8. Współczynniki LR, PD oraz AJ przyjmują wartości określone w tabelach nr 2, 3, 6-14 i 16.</w:t>
      </w:r>
    </w:p>
    <w:p>
      <w:pPr>
        <w:spacing w:before="25" w:after="0"/>
        <w:ind w:left="0"/>
        <w:jc w:val="left"/>
        <w:textAlignment w:val="auto"/>
      </w:pPr>
      <w:r>
        <w:rPr>
          <w:rFonts w:ascii="Times New Roman"/>
          <w:b w:val="false"/>
          <w:i w:val="false"/>
          <w:color w:val="000000"/>
          <w:sz w:val="24"/>
          <w:lang w:val="pl-PL"/>
        </w:rPr>
        <w:t>9. (uchylony).</w:t>
      </w:r>
    </w:p>
    <w:p>
      <w:pPr>
        <w:spacing w:before="25" w:after="0"/>
        <w:ind w:left="0"/>
        <w:jc w:val="left"/>
        <w:textAlignment w:val="auto"/>
      </w:pPr>
      <w:r>
        <w:rPr>
          <w:rFonts w:ascii="Times New Roman"/>
          <w:b w:val="false"/>
          <w:i w:val="false"/>
          <w:color w:val="000000"/>
          <w:sz w:val="24"/>
          <w:lang w:val="pl-PL"/>
        </w:rPr>
        <w:t>10. Stawki podstawowe określone w tabelach nr 2, 3, 6-14, 16 i 17 oraz opłaty zryczałtowane określone w tabeli nr 16a uwzględniają koszty nośników danych elektronicznych w przypadku, gdy łączna wielkość udostępnianych materiałów zasobu nie przekracza 4 GB oraz koszty nośników informacji nieelektronicznej.</w:t>
      </w:r>
    </w:p>
    <w:p>
      <w:pPr>
        <w:spacing w:before="25" w:after="0"/>
        <w:ind w:left="0"/>
        <w:jc w:val="left"/>
        <w:textAlignment w:val="auto"/>
      </w:pPr>
      <w:r>
        <w:rPr>
          <w:rFonts w:ascii="Times New Roman"/>
          <w:b w:val="false"/>
          <w:i w:val="false"/>
          <w:color w:val="000000"/>
          <w:sz w:val="24"/>
          <w:lang w:val="pl-PL"/>
        </w:rPr>
        <w:t>11. W przypadku gdy łączna wielkość udostępnianych materiałów zasobu wynosi od 4 GB do 20 GB, pobiera się opłatę ryczałtową w wysokości 5 zł za użycie nośników danych elektronicznych.</w:t>
      </w:r>
    </w:p>
    <w:p>
      <w:pPr>
        <w:spacing w:before="25" w:after="0"/>
        <w:ind w:left="0"/>
        <w:jc w:val="left"/>
        <w:textAlignment w:val="auto"/>
      </w:pPr>
      <w:r>
        <w:rPr>
          <w:rFonts w:ascii="Times New Roman"/>
          <w:b w:val="false"/>
          <w:i w:val="false"/>
          <w:color w:val="000000"/>
          <w:sz w:val="24"/>
          <w:lang w:val="pl-PL"/>
        </w:rPr>
        <w:t>12. Opłaty, o której mowa w ust. 11, nie pobiera się, jeżeli odpowiednie nośniki danych elektronicznych dostarczy wnioskodawca.</w:t>
      </w:r>
    </w:p>
    <w:p>
      <w:pPr>
        <w:spacing w:before="25" w:after="0"/>
        <w:ind w:left="0"/>
        <w:jc w:val="left"/>
        <w:textAlignment w:val="auto"/>
      </w:pPr>
      <w:r>
        <w:rPr>
          <w:rFonts w:ascii="Times New Roman"/>
          <w:b w:val="false"/>
          <w:i w:val="false"/>
          <w:color w:val="000000"/>
          <w:sz w:val="24"/>
          <w:lang w:val="pl-PL"/>
        </w:rPr>
        <w:t>13. Materiały zasobu, których łączna wielkość przekracza 20 GB, mogą być udostępniane po dostarczeniu przez wnioskodawcę odpowiedniego nośnika danych elektronicznych.</w:t>
      </w:r>
    </w:p>
    <w:p>
      <w:pPr>
        <w:spacing w:before="25" w:after="0"/>
        <w:ind w:left="0"/>
        <w:jc w:val="left"/>
        <w:textAlignment w:val="auto"/>
      </w:pPr>
      <w:r>
        <w:rPr>
          <w:rFonts w:ascii="Times New Roman"/>
          <w:b w:val="false"/>
          <w:i w:val="false"/>
          <w:color w:val="000000"/>
          <w:sz w:val="24"/>
          <w:lang w:val="pl-PL"/>
        </w:rPr>
        <w:t>14. Opłata za wysłanie materiałów zasobu pod wskazany adres jest równa opłacie za przesyłkę poleconą zgodnie z obowiązującym w dniu wystawienia Dokumentu Obliczenia Opłaty cennikiem usług powszechnych ogłoszonym przez operatora wyznaczonego w rozumieniu przepisów prawa pocztowego.</w:t>
      </w:r>
    </w:p>
    <w:p>
      <w:pPr>
        <w:spacing w:before="25" w:after="0"/>
        <w:ind w:left="0"/>
        <w:jc w:val="left"/>
        <w:textAlignment w:val="auto"/>
      </w:pPr>
      <w:r>
        <w:rPr>
          <w:rFonts w:ascii="Times New Roman"/>
          <w:b w:val="false"/>
          <w:i w:val="false"/>
          <w:color w:val="000000"/>
          <w:sz w:val="24"/>
          <w:lang w:val="pl-PL"/>
        </w:rPr>
        <w:t>15. W Dokumencie Obliczenia Opłaty sumę należnych opłat wykazuje się po zaokrągleniu jej do pełnych dziesiątek groszy. Zaokrąglenie następuje w ten sposób, że:</w:t>
      </w:r>
    </w:p>
    <w:p>
      <w:pPr>
        <w:spacing w:before="25" w:after="0"/>
        <w:ind w:left="0"/>
        <w:jc w:val="left"/>
        <w:textAlignment w:val="auto"/>
      </w:pPr>
      <w:r>
        <w:rPr>
          <w:rFonts w:ascii="Times New Roman"/>
          <w:b w:val="false"/>
          <w:i w:val="false"/>
          <w:color w:val="000000"/>
          <w:sz w:val="24"/>
          <w:lang w:val="pl-PL"/>
        </w:rPr>
        <w:t>1) mniej niż 5 groszy pomija się;</w:t>
      </w:r>
    </w:p>
    <w:p>
      <w:pPr>
        <w:spacing w:before="25" w:after="0"/>
        <w:ind w:left="0"/>
        <w:jc w:val="left"/>
        <w:textAlignment w:val="auto"/>
      </w:pPr>
      <w:r>
        <w:rPr>
          <w:rFonts w:ascii="Times New Roman"/>
          <w:b w:val="false"/>
          <w:i w:val="false"/>
          <w:color w:val="000000"/>
          <w:sz w:val="24"/>
          <w:lang w:val="pl-PL"/>
        </w:rPr>
        <w:t>2) 5 i więcej groszy podwyższa się do pełnych dziesiątek groszy.</w:t>
      </w:r>
    </w:p>
    <w:p>
      <w:pPr>
        <w:spacing w:before="25" w:after="0"/>
        <w:ind w:left="0"/>
        <w:jc w:val="left"/>
        <w:textAlignment w:val="auto"/>
      </w:pPr>
      <w:r>
        <w:rPr>
          <w:rFonts w:ascii="Times New Roman"/>
          <w:b w:val="false"/>
          <w:i w:val="false"/>
          <w:color w:val="000000"/>
          <w:sz w:val="24"/>
          <w:lang w:val="pl-PL"/>
        </w:rPr>
        <w:t>16. W przypadku gdy współczynnik korygujący LR określony w tabelach nr 2, 3 (lp. 1, 6), 10 (lp. 2, 5-18, 22), 13 (lp. 4), 14 lub 16 (lp. 1 i 2) ma wyłącznie wartość 1,0 (niezależnie od liczby jednostek rozliczeniowych), wysokość opłaty za udostępnienie materiałów zasobu (Wop) oblicza się według wzoru:</w:t>
      </w:r>
    </w:p>
    <w:p>
      <w:pPr>
        <w:spacing w:before="25" w:after="0"/>
        <w:ind w:left="0"/>
        <w:jc w:val="center"/>
        <w:textAlignment w:val="auto"/>
      </w:pPr>
      <w:r>
        <w:rPr>
          <w:rFonts w:ascii="Times New Roman"/>
          <w:b w:val="false"/>
          <w:i w:val="false"/>
          <w:color w:val="000000"/>
          <w:sz w:val="24"/>
          <w:lang w:val="pl-PL"/>
        </w:rPr>
        <w:t>Wop = Sp x Ljr x CL x SU x PD x AJ,</w:t>
      </w:r>
    </w:p>
    <w:p>
      <w:pPr>
        <w:spacing w:before="25" w:after="0"/>
        <w:ind w:left="0"/>
        <w:jc w:val="left"/>
        <w:textAlignment w:val="auto"/>
      </w:pPr>
      <w:r>
        <w:rPr>
          <w:rFonts w:ascii="Times New Roman"/>
          <w:b w:val="false"/>
          <w:i w:val="false"/>
          <w:color w:val="000000"/>
          <w:sz w:val="24"/>
          <w:lang w:val="pl-PL"/>
        </w:rPr>
        <w:t>gdzie Ljr jest liczbą jednostek rozliczeniowych udostępnianych materiałów zasobu.</w:t>
      </w:r>
    </w:p>
    <w:p>
      <w:pPr>
        <w:spacing w:before="25" w:after="0"/>
        <w:ind w:left="0"/>
        <w:jc w:val="left"/>
        <w:textAlignment w:val="auto"/>
      </w:pPr>
      <w:r>
        <w:rPr>
          <w:rFonts w:ascii="Times New Roman"/>
          <w:b w:val="false"/>
          <w:i w:val="false"/>
          <w:color w:val="000000"/>
          <w:sz w:val="24"/>
          <w:lang w:val="pl-PL"/>
        </w:rPr>
        <w:t xml:space="preserve">17. W przypadku gdy współczynnik </w:t>
      </w:r>
      <w:r>
        <w:rPr>
          <w:rFonts w:ascii="Times New Roman"/>
          <w:b w:val="false"/>
          <w:i/>
          <w:color w:val="000000"/>
          <w:sz w:val="24"/>
          <w:lang w:val="pl-PL"/>
        </w:rPr>
        <w:t>LR</w:t>
      </w:r>
      <w:r>
        <w:rPr>
          <w:rFonts w:ascii="Times New Roman"/>
          <w:b w:val="false"/>
          <w:i w:val="false"/>
          <w:color w:val="000000"/>
          <w:sz w:val="24"/>
          <w:lang w:val="pl-PL"/>
        </w:rPr>
        <w:t xml:space="preserve"> określony w tabelach nr 7, 8, 10 (lp. 1), 13 (lp. 3) lub 16 (lp. 6) przybiera wartość</w:t>
      </w:r>
    </w:p>
    <w:p>
      <w:pPr>
        <w:spacing w:before="25" w:after="0"/>
        <w:ind w:left="0"/>
        <w:jc w:val="left"/>
        <w:textAlignment w:val="auto"/>
      </w:pPr>
      <w:r>
        <w:rPr>
          <w:rFonts w:ascii="Times New Roman"/>
          <w:b w:val="false"/>
          <w:i w:val="false"/>
          <w:color w:val="000000"/>
          <w:sz w:val="24"/>
          <w:lang w:val="pl-PL"/>
        </w:rPr>
        <w:t>- 1,0 - dla liczby jednostek rozliczeniowych nie większej od określonej liczby L1;</w:t>
      </w:r>
    </w:p>
    <w:p>
      <w:pPr>
        <w:spacing w:before="25" w:after="0"/>
        <w:ind w:left="0"/>
        <w:jc w:val="left"/>
        <w:textAlignment w:val="auto"/>
      </w:pPr>
      <w:r>
        <w:rPr>
          <w:rFonts w:ascii="Times New Roman"/>
          <w:b w:val="false"/>
          <w:i w:val="false"/>
          <w:color w:val="000000"/>
          <w:sz w:val="24"/>
          <w:lang w:val="pl-PL"/>
        </w:rPr>
        <w:t>- LR1 - dla liczby jednostek rozliczeniowych większej od L1,</w:t>
      </w:r>
    </w:p>
    <w:p>
      <w:pPr>
        <w:spacing w:before="25" w:after="0"/>
        <w:ind w:left="0"/>
        <w:jc w:val="left"/>
        <w:textAlignment w:val="auto"/>
      </w:pPr>
      <w:r>
        <w:rPr>
          <w:rFonts w:ascii="Times New Roman"/>
          <w:b w:val="false"/>
          <w:i w:val="false"/>
          <w:color w:val="000000"/>
          <w:sz w:val="24"/>
          <w:lang w:val="pl-PL"/>
        </w:rPr>
        <w:t>a Ljr:</w:t>
      </w:r>
    </w:p>
    <w:p>
      <w:pPr>
        <w:spacing w:before="25" w:after="0"/>
        <w:ind w:left="0"/>
        <w:jc w:val="left"/>
        <w:textAlignment w:val="auto"/>
      </w:pPr>
      <w:r>
        <w:rPr>
          <w:rFonts w:ascii="Times New Roman"/>
          <w:b w:val="false"/>
          <w:i w:val="false"/>
          <w:color w:val="000000"/>
          <w:sz w:val="24"/>
          <w:lang w:val="pl-PL"/>
        </w:rPr>
        <w:t>1) jest nie większa od L1, Wop oblicza się według wzoru określonego w ust. 16,</w:t>
      </w:r>
    </w:p>
    <w:p>
      <w:pPr>
        <w:spacing w:before="25" w:after="0"/>
        <w:ind w:left="0"/>
        <w:jc w:val="left"/>
        <w:textAlignment w:val="auto"/>
      </w:pPr>
      <w:r>
        <w:rPr>
          <w:rFonts w:ascii="Times New Roman"/>
          <w:b w:val="false"/>
          <w:i w:val="false"/>
          <w:color w:val="000000"/>
          <w:sz w:val="24"/>
          <w:lang w:val="pl-PL"/>
        </w:rPr>
        <w:t>2) jest większa niż L1, Wop oblicza się według wzoru:</w:t>
      </w:r>
    </w:p>
    <w:p>
      <w:pPr>
        <w:spacing w:before="25" w:after="0"/>
        <w:ind w:left="0"/>
        <w:jc w:val="center"/>
        <w:textAlignment w:val="auto"/>
      </w:pPr>
      <w:r>
        <w:rPr>
          <w:rFonts w:ascii="Times New Roman"/>
          <w:b w:val="false"/>
          <w:i w:val="false"/>
          <w:color w:val="000000"/>
          <w:sz w:val="24"/>
          <w:lang w:val="pl-PL"/>
        </w:rPr>
        <w:t>Wop = Sp x [L1 + (Ljr - L1) x LR1] x CL x SU x PD x AJ.</w:t>
      </w:r>
    </w:p>
    <w:p>
      <w:pPr>
        <w:spacing w:before="25" w:after="0"/>
        <w:ind w:left="0"/>
        <w:jc w:val="left"/>
        <w:textAlignment w:val="auto"/>
      </w:pPr>
      <w:r>
        <w:rPr>
          <w:rFonts w:ascii="Times New Roman"/>
          <w:b w:val="false"/>
          <w:i w:val="false"/>
          <w:color w:val="000000"/>
          <w:sz w:val="24"/>
          <w:lang w:val="pl-PL"/>
        </w:rPr>
        <w:t>18. W przypadku gdy współczynnik LR określony w tabelach nr 6, 9, 10 (lp. 3, 4, 19, 20), 12 lub 13 (lp. 1, 2) przybiera wartość:</w:t>
      </w:r>
    </w:p>
    <w:p>
      <w:pPr>
        <w:spacing w:before="25" w:after="0"/>
        <w:ind w:left="0"/>
        <w:jc w:val="left"/>
        <w:textAlignment w:val="auto"/>
      </w:pPr>
      <w:r>
        <w:rPr>
          <w:rFonts w:ascii="Times New Roman"/>
          <w:b w:val="false"/>
          <w:i w:val="false"/>
          <w:color w:val="000000"/>
          <w:sz w:val="24"/>
          <w:lang w:val="pl-PL"/>
        </w:rPr>
        <w:t>- 1,0 - dla liczby jednostek rozliczeniowych nie większej od określonej liczby L1;</w:t>
      </w:r>
    </w:p>
    <w:p>
      <w:pPr>
        <w:spacing w:before="25" w:after="0"/>
        <w:ind w:left="0"/>
        <w:jc w:val="left"/>
        <w:textAlignment w:val="auto"/>
      </w:pPr>
      <w:r>
        <w:rPr>
          <w:rFonts w:ascii="Times New Roman"/>
          <w:b w:val="false"/>
          <w:i w:val="false"/>
          <w:color w:val="000000"/>
          <w:sz w:val="24"/>
          <w:lang w:val="pl-PL"/>
        </w:rPr>
        <w:t>- LR1 - dla liczby jednostek rozliczeniowych większej od L1 i nie większej od L2;</w:t>
      </w:r>
    </w:p>
    <w:p>
      <w:pPr>
        <w:spacing w:before="25" w:after="0"/>
        <w:ind w:left="0"/>
        <w:jc w:val="left"/>
        <w:textAlignment w:val="auto"/>
      </w:pPr>
      <w:r>
        <w:rPr>
          <w:rFonts w:ascii="Times New Roman"/>
          <w:b w:val="false"/>
          <w:i w:val="false"/>
          <w:color w:val="000000"/>
          <w:sz w:val="24"/>
          <w:lang w:val="pl-PL"/>
        </w:rPr>
        <w:t>- LR2 - dla dowolnej liczby jednostek rozliczeniowych większej od L2,</w:t>
      </w:r>
    </w:p>
    <w:p>
      <w:pPr>
        <w:spacing w:before="25" w:after="0"/>
        <w:ind w:left="0"/>
        <w:jc w:val="left"/>
        <w:textAlignment w:val="auto"/>
      </w:pPr>
      <w:r>
        <w:rPr>
          <w:rFonts w:ascii="Times New Roman"/>
          <w:b w:val="false"/>
          <w:i w:val="false"/>
          <w:color w:val="000000"/>
          <w:sz w:val="24"/>
          <w:lang w:val="pl-PL"/>
        </w:rPr>
        <w:t>a Ljr:</w:t>
      </w:r>
    </w:p>
    <w:p>
      <w:pPr>
        <w:spacing w:before="25" w:after="0"/>
        <w:ind w:left="0"/>
        <w:jc w:val="left"/>
        <w:textAlignment w:val="auto"/>
      </w:pPr>
      <w:r>
        <w:rPr>
          <w:rFonts w:ascii="Times New Roman"/>
          <w:b w:val="false"/>
          <w:i w:val="false"/>
          <w:color w:val="000000"/>
          <w:sz w:val="24"/>
          <w:lang w:val="pl-PL"/>
        </w:rPr>
        <w:t>1) jest nie większa od L1, Wop oblicza się według wzoru określonego w ust. 16;</w:t>
      </w:r>
    </w:p>
    <w:p>
      <w:pPr>
        <w:spacing w:before="25" w:after="0"/>
        <w:ind w:left="0"/>
        <w:jc w:val="left"/>
        <w:textAlignment w:val="auto"/>
      </w:pPr>
      <w:r>
        <w:rPr>
          <w:rFonts w:ascii="Times New Roman"/>
          <w:b w:val="false"/>
          <w:i w:val="false"/>
          <w:color w:val="000000"/>
          <w:sz w:val="24"/>
          <w:lang w:val="pl-PL"/>
        </w:rPr>
        <w:t>2) Ljr jest większa niż L1 i nie większa niż L2, Wop oblicza się według wzoru określonego w ust. 17 pkt 2;</w:t>
      </w:r>
    </w:p>
    <w:p>
      <w:pPr>
        <w:spacing w:before="25" w:after="0"/>
        <w:ind w:left="0"/>
        <w:jc w:val="left"/>
        <w:textAlignment w:val="auto"/>
      </w:pPr>
      <w:r>
        <w:rPr>
          <w:rFonts w:ascii="Times New Roman"/>
          <w:b w:val="false"/>
          <w:i w:val="false"/>
          <w:color w:val="000000"/>
          <w:sz w:val="24"/>
          <w:lang w:val="pl-PL"/>
        </w:rPr>
        <w:t>3) jest większa niż L2, Wop oblicza się według wzoru:</w:t>
      </w:r>
    </w:p>
    <w:p>
      <w:pPr>
        <w:spacing w:before="25" w:after="0"/>
        <w:ind w:left="0"/>
        <w:jc w:val="center"/>
        <w:textAlignment w:val="auto"/>
      </w:pPr>
      <w:r>
        <w:rPr>
          <w:rFonts w:ascii="Times New Roman"/>
          <w:b w:val="false"/>
          <w:i w:val="false"/>
          <w:color w:val="000000"/>
          <w:sz w:val="24"/>
          <w:lang w:val="pl-PL"/>
        </w:rPr>
        <w:t>Wop = Sp x [L1 + (L2 - L1) x LR1 + (Ljr - L2) x LR2] x CL x SU x PD x AJ.</w:t>
      </w:r>
    </w:p>
    <w:p>
      <w:pPr>
        <w:spacing w:before="25" w:after="0"/>
        <w:ind w:left="0"/>
        <w:jc w:val="left"/>
        <w:textAlignment w:val="auto"/>
      </w:pPr>
      <w:r>
        <w:rPr>
          <w:rFonts w:ascii="Times New Roman"/>
          <w:b w:val="false"/>
          <w:i w:val="false"/>
          <w:color w:val="000000"/>
          <w:sz w:val="24"/>
          <w:lang w:val="pl-PL"/>
        </w:rPr>
        <w:t>19. W przypadku gdy Ljr jest mniejsza niż 1, do obliczenia wysokości opłaty przyjmuje się 1.</w:t>
      </w:r>
    </w:p>
    <w:p>
      <w:pPr>
        <w:spacing w:before="25" w:after="0"/>
        <w:ind w:left="0"/>
        <w:jc w:val="left"/>
        <w:textAlignment w:val="auto"/>
      </w:pPr>
      <w:r>
        <w:rPr>
          <w:rFonts w:ascii="Times New Roman"/>
          <w:b w:val="false"/>
          <w:i w:val="false"/>
          <w:color w:val="000000"/>
          <w:sz w:val="24"/>
          <w:lang w:val="pl-PL"/>
        </w:rPr>
        <w:t>19a. Do obliczenia opłaty za sporządzenie i wydanie wypisów i wyrysów z operatu ewidencyjnego, o których mowa w tabeli nr 11, oraz za czynności urzędowe, o których mowa w tabeli nr 16 lp. 5 i 6, stosuje się odpowiednio wzory zawarte w ust. 16 i 17 z pominięciem współczynnika CL.</w:t>
      </w:r>
    </w:p>
    <w:p>
      <w:pPr>
        <w:spacing w:before="25" w:after="0"/>
        <w:ind w:left="0"/>
        <w:jc w:val="left"/>
        <w:textAlignment w:val="auto"/>
      </w:pPr>
      <w:r>
        <w:rPr>
          <w:rFonts w:ascii="Times New Roman"/>
          <w:b w:val="false"/>
          <w:i w:val="false"/>
          <w:color w:val="000000"/>
          <w:sz w:val="24"/>
          <w:lang w:val="pl-PL"/>
        </w:rPr>
        <w:t>20-23. (uchylone).</w:t>
      </w:r>
    </w:p>
    <w:p>
      <w:pPr>
        <w:spacing w:before="25"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Tabela nr 1</w:t>
      </w:r>
      <w:r>
        <w:rPr>
          <w:rFonts w:ascii="Times New Roman"/>
          <w:b w:val="false"/>
          <w:i w:val="false"/>
          <w:color w:val="000000"/>
          <w:sz w:val="24"/>
          <w:lang w:val="pl-PL"/>
        </w:rPr>
        <w:t xml:space="preserve"> (uchylona).</w:t>
      </w:r>
    </w:p>
    <w:p>
      <w:pPr>
        <w:spacing w:before="25"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Tabela nr 2</w:t>
      </w:r>
      <w:r>
        <w:rPr>
          <w:rFonts w:ascii="Times New Roman"/>
          <w:b w:val="false"/>
          <w:i w:val="false"/>
          <w:color w:val="000000"/>
          <w:sz w:val="24"/>
          <w:lang w:val="pl-PL"/>
        </w:rPr>
        <w:t xml:space="preserve">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85"/>
        <w:gridCol w:w="6177"/>
        <w:gridCol w:w="2745"/>
        <w:gridCol w:w="2058"/>
        <w:gridCol w:w="10754"/>
      </w:tblGrid>
      <w:tr>
        <w:trPr>
          <w:trHeight w:val="45" w:hRule="atLeast"/>
        </w:trPr>
        <w:tc>
          <w:tcPr>
            <w:tcW w:w="0" w:type="auto"/>
            <w:gridSpan w:val="5"/>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Standardowe opracowania kartograficzne, o których mowa w art. 4 ust. 1e pkt 3 i 4</w:t>
            </w:r>
            <w:r>
              <w:rPr>
                <w:rFonts w:ascii="Times New Roman"/>
                <w:b w:val="false"/>
                <w:i w:val="false"/>
                <w:color w:val="000000"/>
                <w:sz w:val="24"/>
                <w:lang w:val="pl-PL"/>
              </w:rPr>
              <w:t xml:space="preserve"> </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Lp.</w:t>
            </w:r>
            <w:r>
              <w:rPr>
                <w:rFonts w:ascii="Times New Roman"/>
                <w:b w:val="false"/>
                <w:i w:val="false"/>
                <w:color w:val="000000"/>
                <w:sz w:val="24"/>
                <w:lang w:val="pl-PL"/>
              </w:rPr>
              <w:t xml:space="preserve"> </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Nazwa materiału zasobu</w:t>
            </w:r>
            <w:r>
              <w:rPr>
                <w:rFonts w:ascii="Times New Roman"/>
                <w:b w:val="false"/>
                <w:i w:val="false"/>
                <w:color w:val="000000"/>
                <w:sz w:val="24"/>
                <w:lang w:val="pl-PL"/>
              </w:rPr>
              <w:t xml:space="preserve"> </w:t>
            </w:r>
          </w:p>
        </w:tc>
        <w:tc>
          <w:tcPr>
            <w:tcW w:w="2745"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Jednostka rozliczeniowa</w:t>
            </w:r>
            <w:r>
              <w:rPr>
                <w:rFonts w:ascii="Times New Roman"/>
                <w:b w:val="false"/>
                <w:i w:val="false"/>
                <w:color w:val="000000"/>
                <w:sz w:val="24"/>
                <w:lang w:val="pl-PL"/>
              </w:rPr>
              <w:t xml:space="preserve"> </w:t>
            </w:r>
          </w:p>
        </w:tc>
        <w:tc>
          <w:tcPr>
            <w:tcW w:w="205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Stawka podstawowa (Sp)</w:t>
            </w:r>
            <w:r>
              <w:rPr>
                <w:rFonts w:ascii="Times New Roman"/>
                <w:b w:val="false"/>
                <w:i w:val="false"/>
                <w:color w:val="000000"/>
                <w:sz w:val="24"/>
                <w:lang w:val="pl-PL"/>
              </w:rPr>
              <w:t xml:space="preserve"> </w:t>
            </w:r>
          </w:p>
        </w:tc>
        <w:tc>
          <w:tcPr>
            <w:tcW w:w="10754"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Współczynniki korygujące LR, PD, AJ</w:t>
            </w:r>
            <w:r>
              <w:rPr>
                <w:rFonts w:ascii="Times New Roman"/>
                <w:b w:val="false"/>
                <w:i w:val="false"/>
                <w:color w:val="000000"/>
                <w:sz w:val="24"/>
                <w:lang w:val="pl-PL"/>
              </w:rPr>
              <w:t xml:space="preserve"> </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Mapy topograficzne w skalach 1:10 000, 1:25 000, 1:50 000, 1:100 000, o których mowa w art. 4 ust. 1e pkt 3, w postaci rastrowej</w:t>
            </w:r>
          </w:p>
        </w:tc>
        <w:tc>
          <w:tcPr>
            <w:tcW w:w="2745"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arkusz mapy oznaczony jednym godłem</w:t>
            </w:r>
          </w:p>
        </w:tc>
        <w:tc>
          <w:tcPr>
            <w:tcW w:w="2058"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14,97 zł</w:t>
            </w:r>
          </w:p>
        </w:tc>
        <w:tc>
          <w:tcPr>
            <w:tcW w:w="10754"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val="false"/>
                <w:i/>
                <w:color w:val="000000"/>
                <w:sz w:val="24"/>
                <w:lang w:val="pl-PL"/>
              </w:rPr>
              <w:t>LR</w:t>
            </w:r>
            <w:r>
              <w:rPr>
                <w:rFonts w:ascii="Times New Roman"/>
                <w:b w:val="false"/>
                <w:i w:val="false"/>
                <w:color w:val="000000"/>
                <w:sz w:val="24"/>
                <w:lang w:val="pl-PL"/>
              </w:rPr>
              <w:t xml:space="preserve">, </w:t>
            </w:r>
            <w:r>
              <w:rPr>
                <w:rFonts w:ascii="Times New Roman"/>
                <w:b w:val="false"/>
                <w:i/>
                <w:color w:val="000000"/>
                <w:sz w:val="24"/>
                <w:lang w:val="pl-PL"/>
              </w:rPr>
              <w:t>PD</w:t>
            </w:r>
            <w:r>
              <w:rPr>
                <w:rFonts w:ascii="Times New Roman"/>
                <w:b w:val="false"/>
                <w:i w:val="false"/>
                <w:color w:val="000000"/>
                <w:sz w:val="24"/>
                <w:lang w:val="pl-PL"/>
              </w:rPr>
              <w:t xml:space="preserve"> i </w:t>
            </w:r>
            <w:r>
              <w:rPr>
                <w:rFonts w:ascii="Times New Roman"/>
                <w:b w:val="false"/>
                <w:i/>
                <w:color w:val="000000"/>
                <w:sz w:val="24"/>
                <w:lang w:val="pl-PL"/>
              </w:rPr>
              <w:t>AJ</w:t>
            </w:r>
            <w:r>
              <w:rPr>
                <w:rFonts w:ascii="Times New Roman"/>
                <w:b w:val="false"/>
                <w:i w:val="false"/>
                <w:color w:val="000000"/>
                <w:sz w:val="24"/>
                <w:lang w:val="pl-PL"/>
              </w:rPr>
              <w:t xml:space="preserve"> przyjmują wartość 1,0.</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Mapy ogólnogeograficzne, o których mowa w art. 4 ust. 1e pkt 4, w skalach 1:250 000, 1: 500 000, 1:1 000 000 w postaci rastrowej</w:t>
            </w:r>
          </w:p>
        </w:tc>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3.</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Mapy topograficzne w skalach 1:10 000, 1:25 000, 1:50 000, 1:100 000, o których mowa w art. 4 ust. 1e pkt 3, w postaci wektorowej</w:t>
            </w:r>
          </w:p>
        </w:tc>
        <w:tc>
          <w:tcPr>
            <w:tcW w:w="0" w:type="auto"/>
            <w:vMerge/>
            <w:tcBorders>
              <w:top w:val="nil"/>
              <w:bottom w:val="single" w:color="000000" w:sz="8"/>
              <w:right w:val="single" w:color="000000" w:sz="8"/>
            </w:tcBorders>
          </w:tcPr>
          <w:p/>
        </w:tc>
        <w:tc>
          <w:tcPr>
            <w:tcW w:w="2058"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37,48 zł</w:t>
            </w:r>
          </w:p>
        </w:tc>
        <w:tc>
          <w:tcPr>
            <w:tcW w:w="0" w:type="auto"/>
            <w:vMerge/>
            <w:tcBorders>
              <w:top w:val="nil"/>
              <w:bottom w:val="single" w:color="000000" w:sz="8"/>
              <w:right w:val="single" w:color="000000" w:sz="8"/>
            </w:tcBorders>
          </w:tcP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4.</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Mapy ogólnogeograficzne, o których mowa w art. 4 ust. 1e pkt 4, w skalach 1:250 000, 1: 500 000, 1:1 000 000 w postaci wektorowej</w:t>
            </w:r>
          </w:p>
        </w:tc>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5.</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Mapy topograficzne w skalach 1:10 000, 1:25 000, 1:50 000, 1:100 000, o których mowa w art. 4 ust. 1e pkt 3, w postaci drukowanej</w:t>
            </w:r>
          </w:p>
        </w:tc>
        <w:tc>
          <w:tcPr>
            <w:tcW w:w="0" w:type="auto"/>
            <w:vMerge/>
            <w:tcBorders>
              <w:top w:val="nil"/>
              <w:bottom w:val="single" w:color="000000" w:sz="8"/>
              <w:right w:val="single" w:color="000000" w:sz="8"/>
            </w:tcBorders>
          </w:tcPr>
          <w:p/>
        </w:tc>
        <w:tc>
          <w:tcPr>
            <w:tcW w:w="2058"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44,94 zł</w:t>
            </w:r>
          </w:p>
        </w:tc>
        <w:tc>
          <w:tcPr>
            <w:tcW w:w="10754"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1. </w:t>
            </w:r>
            <w:r>
              <w:rPr>
                <w:rFonts w:ascii="Times New Roman"/>
                <w:b w:val="false"/>
                <w:i/>
                <w:color w:val="000000"/>
                <w:sz w:val="24"/>
                <w:lang w:val="pl-PL"/>
              </w:rPr>
              <w:t>LR</w:t>
            </w:r>
            <w:r>
              <w:rPr>
                <w:rFonts w:ascii="Times New Roman"/>
                <w:b w:val="false"/>
                <w:i w:val="false"/>
                <w:color w:val="000000"/>
                <w:sz w:val="24"/>
                <w:lang w:val="pl-PL"/>
              </w:rPr>
              <w:t xml:space="preserve"> i </w:t>
            </w:r>
            <w:r>
              <w:rPr>
                <w:rFonts w:ascii="Times New Roman"/>
                <w:b w:val="false"/>
                <w:i/>
                <w:color w:val="000000"/>
                <w:sz w:val="24"/>
                <w:lang w:val="pl-PL"/>
              </w:rPr>
              <w:t>PD</w:t>
            </w:r>
            <w:r>
              <w:rPr>
                <w:rFonts w:ascii="Times New Roman"/>
                <w:b w:val="false"/>
                <w:i w:val="false"/>
                <w:color w:val="000000"/>
                <w:sz w:val="24"/>
                <w:lang w:val="pl-PL"/>
              </w:rPr>
              <w:t xml:space="preserve"> przyjmują wartość 1,0.</w:t>
            </w:r>
          </w:p>
          <w:p>
            <w:pPr>
              <w:spacing w:before="25" w:after="0"/>
              <w:ind w:left="0"/>
              <w:jc w:val="left"/>
              <w:textAlignment w:val="auto"/>
            </w:pPr>
            <w:r>
              <w:rPr>
                <w:rFonts w:ascii="Times New Roman"/>
                <w:b w:val="false"/>
                <w:i w:val="false"/>
                <w:color w:val="000000"/>
                <w:sz w:val="24"/>
                <w:lang w:val="pl-PL"/>
              </w:rPr>
              <w:t xml:space="preserve">2. </w:t>
            </w:r>
            <w:r>
              <w:rPr>
                <w:rFonts w:ascii="Times New Roman"/>
                <w:b w:val="false"/>
                <w:i/>
                <w:color w:val="000000"/>
                <w:sz w:val="24"/>
                <w:lang w:val="pl-PL"/>
              </w:rPr>
              <w:t>AJ</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dla ploterowego wydruku kolorowego;</w:t>
            </w:r>
          </w:p>
          <w:p>
            <w:pPr>
              <w:spacing w:before="25" w:after="0"/>
              <w:ind w:left="0"/>
              <w:jc w:val="left"/>
              <w:textAlignment w:val="auto"/>
            </w:pPr>
            <w:r>
              <w:rPr>
                <w:rFonts w:ascii="Times New Roman"/>
                <w:b w:val="false"/>
                <w:i w:val="false"/>
                <w:color w:val="000000"/>
                <w:sz w:val="24"/>
                <w:lang w:val="pl-PL"/>
              </w:rPr>
              <w:t>2) 0,7 - dla ploterowego wydruku czarno-białego;</w:t>
            </w:r>
          </w:p>
          <w:p>
            <w:pPr>
              <w:spacing w:before="25" w:after="0"/>
              <w:ind w:left="0"/>
              <w:jc w:val="left"/>
              <w:textAlignment w:val="auto"/>
            </w:pPr>
            <w:r>
              <w:rPr>
                <w:rFonts w:ascii="Times New Roman"/>
                <w:b w:val="false"/>
                <w:i w:val="false"/>
                <w:color w:val="000000"/>
                <w:sz w:val="24"/>
                <w:lang w:val="pl-PL"/>
              </w:rPr>
              <w:t>3) 0,4 - dla druku poligraficznego.</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6.</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Mapy ogólnogeograficzne, o których mowa w art. 4 ust. 1e pkt 4, w skalach 1:250 000, 1: 500 000, 1:1 000 000 w postaci drukowanej</w:t>
            </w:r>
          </w:p>
        </w:tc>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r>
    </w:tbl>
    <w:p>
      <w:pPr>
        <w:spacing w:before="25"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Tabela nr 3</w:t>
      </w:r>
      <w:r>
        <w:rPr>
          <w:rFonts w:ascii="Times New Roman"/>
          <w:b w:val="false"/>
          <w:i w:val="false"/>
          <w:color w:val="000000"/>
          <w:sz w:val="24"/>
          <w:lang w:val="pl-PL"/>
        </w:rPr>
        <w:t xml:space="preserve">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85"/>
        <w:gridCol w:w="6177"/>
        <w:gridCol w:w="2745"/>
        <w:gridCol w:w="2058"/>
        <w:gridCol w:w="10754"/>
      </w:tblGrid>
      <w:tr>
        <w:trPr>
          <w:trHeight w:val="45" w:hRule="atLeast"/>
        </w:trPr>
        <w:tc>
          <w:tcPr>
            <w:tcW w:w="0" w:type="auto"/>
            <w:gridSpan w:val="5"/>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Baza danych zobrazowań lotniczych i satelitarnych, o której mowa w art. 4 ust. 1a pkt 11</w:t>
            </w:r>
            <w:r>
              <w:rPr>
                <w:rFonts w:ascii="Times New Roman"/>
                <w:b w:val="false"/>
                <w:i w:val="false"/>
                <w:color w:val="000000"/>
                <w:sz w:val="24"/>
                <w:lang w:val="pl-PL"/>
              </w:rPr>
              <w:t xml:space="preserve"> </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Lp.</w:t>
            </w:r>
            <w:r>
              <w:rPr>
                <w:rFonts w:ascii="Times New Roman"/>
                <w:b w:val="false"/>
                <w:i w:val="false"/>
                <w:color w:val="000000"/>
                <w:sz w:val="24"/>
                <w:lang w:val="pl-PL"/>
              </w:rPr>
              <w:t xml:space="preserve"> </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Nazwa materiału zasobu</w:t>
            </w:r>
            <w:r>
              <w:rPr>
                <w:rFonts w:ascii="Times New Roman"/>
                <w:b w:val="false"/>
                <w:i w:val="false"/>
                <w:color w:val="000000"/>
                <w:sz w:val="24"/>
                <w:lang w:val="pl-PL"/>
              </w:rPr>
              <w:t xml:space="preserve"> </w:t>
            </w:r>
          </w:p>
        </w:tc>
        <w:tc>
          <w:tcPr>
            <w:tcW w:w="2745"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Jednostka rozliczeniowa</w:t>
            </w:r>
            <w:r>
              <w:rPr>
                <w:rFonts w:ascii="Times New Roman"/>
                <w:b w:val="false"/>
                <w:i w:val="false"/>
                <w:color w:val="000000"/>
                <w:sz w:val="24"/>
                <w:lang w:val="pl-PL"/>
              </w:rPr>
              <w:t xml:space="preserve"> </w:t>
            </w:r>
          </w:p>
        </w:tc>
        <w:tc>
          <w:tcPr>
            <w:tcW w:w="205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Stawka podstawowa (Sp)</w:t>
            </w:r>
            <w:r>
              <w:rPr>
                <w:rFonts w:ascii="Times New Roman"/>
                <w:b w:val="false"/>
                <w:i w:val="false"/>
                <w:color w:val="000000"/>
                <w:sz w:val="24"/>
                <w:lang w:val="pl-PL"/>
              </w:rPr>
              <w:t xml:space="preserve"> </w:t>
            </w:r>
          </w:p>
        </w:tc>
        <w:tc>
          <w:tcPr>
            <w:tcW w:w="10754"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 xml:space="preserve">Współczynniki korygujące </w:t>
            </w:r>
            <w:r>
              <w:rPr>
                <w:rFonts w:ascii="Times New Roman"/>
                <w:b w:val="false"/>
                <w:i w:val="false"/>
                <w:color w:val="000000"/>
                <w:sz w:val="24"/>
                <w:lang w:val="pl-PL"/>
              </w:rPr>
              <w:t xml:space="preserve"> </w:t>
            </w:r>
            <w:r>
              <w:rPr>
                <w:rFonts w:ascii="Times New Roman"/>
                <w:b w:val="false"/>
                <w:i/>
                <w:color w:val="000000"/>
                <w:sz w:val="24"/>
                <w:lang w:val="pl-PL"/>
              </w:rPr>
              <w:t>LR</w:t>
            </w:r>
            <w:r>
              <w:rPr>
                <w:rFonts w:ascii="Times New Roman"/>
                <w:b w:val="false"/>
                <w:i w:val="false"/>
                <w:color w:val="000000"/>
                <w:sz w:val="24"/>
                <w:lang w:val="pl-PL"/>
              </w:rPr>
              <w:t xml:space="preserve"> </w:t>
            </w:r>
            <w:r>
              <w:rPr>
                <w:rFonts w:ascii="Times New Roman"/>
                <w:b/>
                <w:i w:val="false"/>
                <w:color w:val="000000"/>
                <w:sz w:val="24"/>
                <w:lang w:val="pl-PL"/>
              </w:rPr>
              <w:t>,</w:t>
            </w:r>
            <w:r>
              <w:rPr>
                <w:rFonts w:ascii="Times New Roman"/>
                <w:b w:val="false"/>
                <w:i w:val="false"/>
                <w:color w:val="000000"/>
                <w:sz w:val="24"/>
                <w:lang w:val="pl-PL"/>
              </w:rPr>
              <w:t xml:space="preserve"> </w:t>
            </w:r>
            <w:r>
              <w:rPr>
                <w:rFonts w:ascii="Times New Roman"/>
                <w:b w:val="false"/>
                <w:i/>
                <w:color w:val="000000"/>
                <w:sz w:val="24"/>
                <w:lang w:val="pl-PL"/>
              </w:rPr>
              <w:t xml:space="preserve"> PD</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AJ</w:t>
            </w:r>
            <w:r>
              <w:rPr>
                <w:rFonts w:ascii="Times New Roman"/>
                <w:b w:val="false"/>
                <w:i w:val="false"/>
                <w:color w:val="000000"/>
                <w:sz w:val="24"/>
                <w:lang w:val="pl-PL"/>
              </w:rPr>
              <w:t xml:space="preserve"> </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Fotogrametryczne zdjęcia lotnicze</w:t>
            </w:r>
          </w:p>
        </w:tc>
        <w:tc>
          <w:tcPr>
            <w:tcW w:w="2745"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zdjęcie</w:t>
            </w:r>
          </w:p>
        </w:tc>
        <w:tc>
          <w:tcPr>
            <w:tcW w:w="205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17,97 zł</w:t>
            </w:r>
          </w:p>
        </w:tc>
        <w:tc>
          <w:tcPr>
            <w:tcW w:w="1075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1. </w:t>
            </w:r>
            <w:r>
              <w:rPr>
                <w:rFonts w:ascii="Times New Roman"/>
                <w:b w:val="false"/>
                <w:i/>
                <w:color w:val="000000"/>
                <w:sz w:val="24"/>
                <w:lang w:val="pl-PL"/>
              </w:rPr>
              <w:t>LR</w:t>
            </w:r>
            <w:r>
              <w:rPr>
                <w:rFonts w:ascii="Times New Roman"/>
                <w:b w:val="false"/>
                <w:i w:val="false"/>
                <w:color w:val="000000"/>
                <w:sz w:val="24"/>
                <w:lang w:val="pl-PL"/>
              </w:rPr>
              <w:t xml:space="preserve"> - przyjmuje wartość 1,0 bez względu na liczbę udostępnionych zdjęć i liczbę kopii wykonanych z jednego zdjęcia.</w:t>
            </w:r>
          </w:p>
          <w:p>
            <w:pPr>
              <w:spacing w:before="25" w:after="0"/>
              <w:ind w:left="0"/>
              <w:jc w:val="left"/>
              <w:textAlignment w:val="auto"/>
            </w:pPr>
            <w:r>
              <w:rPr>
                <w:rFonts w:ascii="Times New Roman"/>
                <w:b w:val="false"/>
                <w:i w:val="false"/>
                <w:color w:val="000000"/>
                <w:sz w:val="24"/>
                <w:lang w:val="pl-PL"/>
              </w:rPr>
              <w:t xml:space="preserve">2. </w:t>
            </w:r>
            <w:r>
              <w:rPr>
                <w:rFonts w:ascii="Times New Roman"/>
                <w:b w:val="false"/>
                <w:i/>
                <w:color w:val="000000"/>
                <w:sz w:val="24"/>
                <w:lang w:val="pl-PL"/>
              </w:rPr>
              <w:t>PD</w:t>
            </w:r>
            <w:r>
              <w:rPr>
                <w:rFonts w:ascii="Times New Roman"/>
                <w:b w:val="false"/>
                <w:i w:val="false"/>
                <w:color w:val="000000"/>
                <w:sz w:val="24"/>
                <w:lang w:val="pl-PL"/>
              </w:rPr>
              <w:t xml:space="preserve"> i </w:t>
            </w:r>
            <w:r>
              <w:rPr>
                <w:rFonts w:ascii="Times New Roman"/>
                <w:b w:val="false"/>
                <w:i/>
                <w:color w:val="000000"/>
                <w:sz w:val="24"/>
                <w:lang w:val="pl-PL"/>
              </w:rPr>
              <w:t>AJ</w:t>
            </w:r>
            <w:r>
              <w:rPr>
                <w:rFonts w:ascii="Times New Roman"/>
                <w:b w:val="false"/>
                <w:i w:val="false"/>
                <w:color w:val="000000"/>
                <w:sz w:val="24"/>
                <w:lang w:val="pl-PL"/>
              </w:rPr>
              <w:t xml:space="preserve"> przyjmują wartość 1,0.</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2-6.</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(uchylone)</w:t>
            </w:r>
          </w:p>
        </w:tc>
        <w:tc>
          <w:tcPr>
            <w:tcW w:w="2745" w:type="dxa"/>
            <w:tcBorders>
              <w:bottom w:val="single" w:color="000000" w:sz="8"/>
              <w:right w:val="single" w:color="000000" w:sz="8"/>
            </w:tcBorders>
            <w:tcMar>
              <w:top w:w="15" w:type="dxa"/>
              <w:left w:w="15" w:type="dxa"/>
              <w:bottom w:w="15" w:type="dxa"/>
              <w:right w:w="15" w:type="dxa"/>
            </w:tcMar>
            <w:vAlign w:val="center"/>
          </w:tcPr>
          <w:p/>
        </w:tc>
        <w:tc>
          <w:tcPr>
            <w:tcW w:w="2058" w:type="dxa"/>
            <w:tcBorders>
              <w:bottom w:val="single" w:color="000000" w:sz="8"/>
              <w:right w:val="single" w:color="000000" w:sz="8"/>
            </w:tcBorders>
            <w:tcMar>
              <w:top w:w="15" w:type="dxa"/>
              <w:left w:w="15" w:type="dxa"/>
              <w:bottom w:w="15" w:type="dxa"/>
              <w:right w:w="15" w:type="dxa"/>
            </w:tcMar>
            <w:vAlign w:val="center"/>
          </w:tcPr>
          <w:p/>
        </w:tc>
        <w:tc>
          <w:tcPr>
            <w:tcW w:w="10754" w:type="dxa"/>
            <w:tcBorders>
              <w:bottom w:val="single" w:color="000000" w:sz="8"/>
              <w:right w:val="single" w:color="000000" w:sz="8"/>
            </w:tcBorders>
            <w:tcMar>
              <w:top w:w="15" w:type="dxa"/>
              <w:left w:w="15" w:type="dxa"/>
              <w:bottom w:w="15" w:type="dxa"/>
              <w:right w:w="15" w:type="dxa"/>
            </w:tcMar>
            <w:vAlign w:val="center"/>
          </w:tcPr>
          <w:p/>
        </w:tc>
      </w:tr>
    </w:tbl>
    <w:p>
      <w:pPr>
        <w:spacing w:before="25"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xml:space="preserve">Tabela nr 4 </w:t>
      </w:r>
      <w:r>
        <w:rPr>
          <w:rFonts w:ascii="Times New Roman"/>
          <w:b w:val="false"/>
          <w:i w:val="false"/>
          <w:color w:val="000000"/>
          <w:sz w:val="24"/>
          <w:lang w:val="pl-PL"/>
        </w:rPr>
        <w:t>(uchylona).</w:t>
      </w:r>
    </w:p>
    <w:p>
      <w:pPr>
        <w:spacing w:before="25"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xml:space="preserve">Tabela nr 5 </w:t>
      </w:r>
      <w:r>
        <w:rPr>
          <w:rFonts w:ascii="Times New Roman"/>
          <w:b w:val="false"/>
          <w:i w:val="false"/>
          <w:color w:val="000000"/>
          <w:sz w:val="24"/>
          <w:lang w:val="pl-PL"/>
        </w:rPr>
        <w:t>(uchylona).</w:t>
      </w:r>
    </w:p>
    <w:p>
      <w:pPr>
        <w:spacing w:before="25"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Tabela nr 6</w:t>
      </w:r>
      <w:r>
        <w:rPr>
          <w:rFonts w:ascii="Times New Roman"/>
          <w:b w:val="false"/>
          <w:i w:val="false"/>
          <w:color w:val="000000"/>
          <w:sz w:val="24"/>
          <w:lang w:val="pl-PL"/>
        </w:rPr>
        <w:t xml:space="preserve">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85"/>
        <w:gridCol w:w="6177"/>
        <w:gridCol w:w="2745"/>
        <w:gridCol w:w="2058"/>
        <w:gridCol w:w="10754"/>
      </w:tblGrid>
      <w:tr>
        <w:trPr>
          <w:trHeight w:val="45" w:hRule="atLeast"/>
        </w:trPr>
        <w:tc>
          <w:tcPr>
            <w:tcW w:w="0" w:type="auto"/>
            <w:gridSpan w:val="5"/>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Krajowa baza danych geodezyjnej ewidencji sieci uzbrojenia terenu (K-GESUT)</w:t>
            </w:r>
            <w:r>
              <w:rPr>
                <w:rFonts w:ascii="Times New Roman"/>
                <w:b w:val="false"/>
                <w:i w:val="false"/>
                <w:color w:val="000000"/>
                <w:sz w:val="24"/>
                <w:lang w:val="pl-PL"/>
              </w:rPr>
              <w:t xml:space="preserve"> </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Lp.</w:t>
            </w:r>
            <w:r>
              <w:rPr>
                <w:rFonts w:ascii="Times New Roman"/>
                <w:b w:val="false"/>
                <w:i w:val="false"/>
                <w:color w:val="000000"/>
                <w:sz w:val="24"/>
                <w:lang w:val="pl-PL"/>
              </w:rPr>
              <w:t xml:space="preserve"> </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Nazwa materiału zasobu</w:t>
            </w:r>
            <w:r>
              <w:rPr>
                <w:rFonts w:ascii="Times New Roman"/>
                <w:b w:val="false"/>
                <w:i w:val="false"/>
                <w:color w:val="000000"/>
                <w:sz w:val="24"/>
                <w:lang w:val="pl-PL"/>
              </w:rPr>
              <w:t xml:space="preserve"> </w:t>
            </w:r>
          </w:p>
        </w:tc>
        <w:tc>
          <w:tcPr>
            <w:tcW w:w="2745"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Jednostka rozliczeniowa</w:t>
            </w:r>
            <w:r>
              <w:rPr>
                <w:rFonts w:ascii="Times New Roman"/>
                <w:b w:val="false"/>
                <w:i w:val="false"/>
                <w:color w:val="000000"/>
                <w:sz w:val="24"/>
                <w:lang w:val="pl-PL"/>
              </w:rPr>
              <w:t xml:space="preserve"> </w:t>
            </w:r>
          </w:p>
        </w:tc>
        <w:tc>
          <w:tcPr>
            <w:tcW w:w="205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Stawka podstawowa (Sp)</w:t>
            </w:r>
            <w:r>
              <w:rPr>
                <w:rFonts w:ascii="Times New Roman"/>
                <w:b w:val="false"/>
                <w:i w:val="false"/>
                <w:color w:val="000000"/>
                <w:sz w:val="24"/>
                <w:lang w:val="pl-PL"/>
              </w:rPr>
              <w:t xml:space="preserve"> </w:t>
            </w:r>
          </w:p>
        </w:tc>
        <w:tc>
          <w:tcPr>
            <w:tcW w:w="10754"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 xml:space="preserve">Współczynniki korygujące </w:t>
            </w:r>
            <w:r>
              <w:rPr>
                <w:rFonts w:ascii="Times New Roman"/>
                <w:b w:val="false"/>
                <w:i w:val="false"/>
                <w:color w:val="000000"/>
                <w:sz w:val="24"/>
                <w:lang w:val="pl-PL"/>
              </w:rPr>
              <w:t xml:space="preserve"> </w:t>
            </w:r>
            <w:r>
              <w:rPr>
                <w:rFonts w:ascii="Times New Roman"/>
                <w:b w:val="false"/>
                <w:i/>
                <w:color w:val="000000"/>
                <w:sz w:val="24"/>
                <w:lang w:val="pl-PL"/>
              </w:rPr>
              <w:t>LR</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PD</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AJ</w:t>
            </w:r>
            <w:r>
              <w:rPr>
                <w:rFonts w:ascii="Times New Roman"/>
                <w:b w:val="false"/>
                <w:i w:val="false"/>
                <w:color w:val="000000"/>
                <w:sz w:val="24"/>
                <w:lang w:val="pl-PL"/>
              </w:rPr>
              <w:t xml:space="preserve"> </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Zbiór danych K-GESUT</w:t>
            </w:r>
          </w:p>
        </w:tc>
        <w:tc>
          <w:tcPr>
            <w:tcW w:w="2745"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ha</w:t>
            </w:r>
          </w:p>
        </w:tc>
        <w:tc>
          <w:tcPr>
            <w:tcW w:w="205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7,12 zł</w:t>
            </w:r>
          </w:p>
        </w:tc>
        <w:tc>
          <w:tcPr>
            <w:tcW w:w="1075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 LR przyjmuje wartość:</w:t>
            </w:r>
          </w:p>
          <w:p>
            <w:pPr>
              <w:spacing w:before="25" w:after="0"/>
              <w:ind w:left="0"/>
              <w:jc w:val="left"/>
              <w:textAlignment w:val="auto"/>
            </w:pPr>
            <w:r>
              <w:rPr>
                <w:rFonts w:ascii="Times New Roman"/>
                <w:b w:val="false"/>
                <w:i w:val="false"/>
                <w:color w:val="000000"/>
                <w:sz w:val="24"/>
                <w:lang w:val="pl-PL"/>
              </w:rPr>
              <w:t>1) 1,0 - dla Ljr nie większej niż 100;</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Wybrany zbiór danych K-GESUT (klasa obiektów)</w:t>
            </w:r>
          </w:p>
        </w:tc>
        <w:tc>
          <w:tcPr>
            <w:tcW w:w="0" w:type="auto"/>
            <w:vMerge/>
            <w:tcBorders>
              <w:top w:val="nil"/>
              <w:bottom w:val="single" w:color="000000" w:sz="8"/>
              <w:right w:val="single" w:color="000000" w:sz="8"/>
            </w:tcBorders>
          </w:tcPr>
          <w:p/>
        </w:tc>
        <w:tc>
          <w:tcPr>
            <w:tcW w:w="205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1,43 zł</w:t>
            </w:r>
          </w:p>
        </w:tc>
        <w:tc>
          <w:tcPr>
            <w:tcW w:w="1075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 0,9 - dla Ljr w przedziale 101-400;</w:t>
            </w:r>
          </w:p>
          <w:p>
            <w:pPr>
              <w:spacing w:before="25" w:after="0"/>
              <w:ind w:left="0"/>
              <w:jc w:val="left"/>
              <w:textAlignment w:val="auto"/>
            </w:pPr>
            <w:r>
              <w:rPr>
                <w:rFonts w:ascii="Times New Roman"/>
                <w:b w:val="false"/>
                <w:i w:val="false"/>
                <w:color w:val="000000"/>
                <w:sz w:val="24"/>
                <w:lang w:val="pl-PL"/>
              </w:rPr>
              <w:t>3) 0,8 - dla Ljr większej od 400.</w:t>
            </w:r>
          </w:p>
          <w:p>
            <w:pPr>
              <w:spacing w:before="25" w:after="0"/>
              <w:ind w:left="0"/>
              <w:jc w:val="left"/>
              <w:textAlignment w:val="auto"/>
            </w:pPr>
            <w:r>
              <w:rPr>
                <w:rFonts w:ascii="Times New Roman"/>
                <w:b w:val="false"/>
                <w:i w:val="false"/>
                <w:color w:val="000000"/>
                <w:sz w:val="24"/>
                <w:lang w:val="pl-PL"/>
              </w:rPr>
              <w:t>2. PD i AJ przyjmują wartość 1,0.</w:t>
            </w:r>
          </w:p>
        </w:tc>
      </w:tr>
    </w:tbl>
    <w:p>
      <w:pPr>
        <w:spacing w:before="25"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Tabela nr 7</w:t>
      </w:r>
      <w:r>
        <w:rPr>
          <w:rFonts w:ascii="Times New Roman"/>
          <w:b w:val="false"/>
          <w:i w:val="false"/>
          <w:color w:val="000000"/>
          <w:sz w:val="24"/>
          <w:lang w:val="pl-PL"/>
        </w:rPr>
        <w:t xml:space="preserve">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85"/>
        <w:gridCol w:w="6177"/>
        <w:gridCol w:w="2745"/>
        <w:gridCol w:w="2058"/>
        <w:gridCol w:w="10754"/>
      </w:tblGrid>
      <w:tr>
        <w:trPr>
          <w:trHeight w:val="45" w:hRule="atLeast"/>
        </w:trPr>
        <w:tc>
          <w:tcPr>
            <w:tcW w:w="0" w:type="auto"/>
            <w:gridSpan w:val="5"/>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Baza danych geodezyjnej ewidencji sieci uzbrojenia terenu (GESUT)</w:t>
            </w:r>
            <w:r>
              <w:rPr>
                <w:rFonts w:ascii="Times New Roman"/>
                <w:b w:val="false"/>
                <w:i w:val="false"/>
                <w:color w:val="000000"/>
                <w:sz w:val="24"/>
                <w:lang w:val="pl-PL"/>
              </w:rPr>
              <w:t xml:space="preserve"> </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Lp.</w:t>
            </w:r>
            <w:r>
              <w:rPr>
                <w:rFonts w:ascii="Times New Roman"/>
                <w:b w:val="false"/>
                <w:i w:val="false"/>
                <w:color w:val="000000"/>
                <w:sz w:val="24"/>
                <w:lang w:val="pl-PL"/>
              </w:rPr>
              <w:t xml:space="preserve"> </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Nazwa materiału zasobu</w:t>
            </w:r>
            <w:r>
              <w:rPr>
                <w:rFonts w:ascii="Times New Roman"/>
                <w:b w:val="false"/>
                <w:i w:val="false"/>
                <w:color w:val="000000"/>
                <w:sz w:val="24"/>
                <w:lang w:val="pl-PL"/>
              </w:rPr>
              <w:t xml:space="preserve"> </w:t>
            </w:r>
          </w:p>
        </w:tc>
        <w:tc>
          <w:tcPr>
            <w:tcW w:w="2745"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Jednostka rozliczeniowa</w:t>
            </w:r>
            <w:r>
              <w:rPr>
                <w:rFonts w:ascii="Times New Roman"/>
                <w:b w:val="false"/>
                <w:i w:val="false"/>
                <w:color w:val="000000"/>
                <w:sz w:val="24"/>
                <w:lang w:val="pl-PL"/>
              </w:rPr>
              <w:t xml:space="preserve"> </w:t>
            </w:r>
          </w:p>
        </w:tc>
        <w:tc>
          <w:tcPr>
            <w:tcW w:w="205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Stawka podstawowa (Sp)</w:t>
            </w:r>
            <w:r>
              <w:rPr>
                <w:rFonts w:ascii="Times New Roman"/>
                <w:b w:val="false"/>
                <w:i w:val="false"/>
                <w:color w:val="000000"/>
                <w:sz w:val="24"/>
                <w:lang w:val="pl-PL"/>
              </w:rPr>
              <w:t xml:space="preserve"> </w:t>
            </w:r>
          </w:p>
        </w:tc>
        <w:tc>
          <w:tcPr>
            <w:tcW w:w="10754"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 xml:space="preserve">Współczynniki korygujące </w:t>
            </w:r>
            <w:r>
              <w:rPr>
                <w:rFonts w:ascii="Times New Roman"/>
                <w:b w:val="false"/>
                <w:i w:val="false"/>
                <w:color w:val="000000"/>
                <w:sz w:val="24"/>
                <w:lang w:val="pl-PL"/>
              </w:rPr>
              <w:t xml:space="preserve"> </w:t>
            </w:r>
            <w:r>
              <w:rPr>
                <w:rFonts w:ascii="Times New Roman"/>
                <w:b w:val="false"/>
                <w:i/>
                <w:color w:val="000000"/>
                <w:sz w:val="24"/>
                <w:lang w:val="pl-PL"/>
              </w:rPr>
              <w:t>LR</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PD</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AJ</w:t>
            </w:r>
            <w:r>
              <w:rPr>
                <w:rFonts w:ascii="Times New Roman"/>
                <w:b w:val="false"/>
                <w:i w:val="false"/>
                <w:color w:val="000000"/>
                <w:sz w:val="24"/>
                <w:lang w:val="pl-PL"/>
              </w:rPr>
              <w:t xml:space="preserve"> </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Pełny zbiór danych GESUT</w:t>
            </w:r>
          </w:p>
        </w:tc>
        <w:tc>
          <w:tcPr>
            <w:tcW w:w="2745"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ha</w:t>
            </w:r>
          </w:p>
        </w:tc>
        <w:tc>
          <w:tcPr>
            <w:tcW w:w="205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14,20 zł</w:t>
            </w:r>
          </w:p>
        </w:tc>
        <w:tc>
          <w:tcPr>
            <w:tcW w:w="1075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1. </w:t>
            </w:r>
            <w:r>
              <w:rPr>
                <w:rFonts w:ascii="Times New Roman"/>
                <w:b w:val="false"/>
                <w:i/>
                <w:color w:val="000000"/>
                <w:sz w:val="24"/>
                <w:lang w:val="pl-PL"/>
              </w:rPr>
              <w:t>LR</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dla Ljr nie większej niż 100;</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Wybrany zbiór danych GESUT (klasa obiektów)</w:t>
            </w:r>
          </w:p>
        </w:tc>
        <w:tc>
          <w:tcPr>
            <w:tcW w:w="0" w:type="auto"/>
            <w:vMerge/>
            <w:tcBorders>
              <w:top w:val="nil"/>
              <w:bottom w:val="single" w:color="000000" w:sz="8"/>
              <w:right w:val="single" w:color="000000" w:sz="8"/>
            </w:tcBorders>
          </w:tcPr>
          <w:p/>
        </w:tc>
        <w:tc>
          <w:tcPr>
            <w:tcW w:w="205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2,83 zł</w:t>
            </w:r>
          </w:p>
        </w:tc>
        <w:tc>
          <w:tcPr>
            <w:tcW w:w="1075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 0,8 - dla Ljr większej od 100.</w:t>
            </w:r>
          </w:p>
          <w:p>
            <w:pPr>
              <w:spacing w:before="25" w:after="0"/>
              <w:ind w:left="0"/>
              <w:jc w:val="left"/>
              <w:textAlignment w:val="auto"/>
            </w:pPr>
            <w:r>
              <w:rPr>
                <w:rFonts w:ascii="Times New Roman"/>
                <w:b w:val="false"/>
                <w:i w:val="false"/>
                <w:color w:val="000000"/>
                <w:sz w:val="24"/>
                <w:lang w:val="pl-PL"/>
              </w:rPr>
              <w:t xml:space="preserve">2. </w:t>
            </w:r>
            <w:r>
              <w:rPr>
                <w:rFonts w:ascii="Times New Roman"/>
                <w:b w:val="false"/>
                <w:i/>
                <w:color w:val="000000"/>
                <w:sz w:val="24"/>
                <w:lang w:val="pl-PL"/>
              </w:rPr>
              <w:t>AJ</w:t>
            </w:r>
            <w:r>
              <w:rPr>
                <w:rFonts w:ascii="Times New Roman"/>
                <w:b w:val="false"/>
                <w:i w:val="false"/>
                <w:color w:val="000000"/>
                <w:sz w:val="24"/>
                <w:lang w:val="pl-PL"/>
              </w:rPr>
              <w:t xml:space="preserve"> i </w:t>
            </w:r>
            <w:r>
              <w:rPr>
                <w:rFonts w:ascii="Times New Roman"/>
                <w:b w:val="false"/>
                <w:i/>
                <w:color w:val="000000"/>
                <w:sz w:val="24"/>
                <w:lang w:val="pl-PL"/>
              </w:rPr>
              <w:t>PD</w:t>
            </w:r>
            <w:r>
              <w:rPr>
                <w:rFonts w:ascii="Times New Roman"/>
                <w:b w:val="false"/>
                <w:i w:val="false"/>
                <w:color w:val="000000"/>
                <w:sz w:val="24"/>
                <w:lang w:val="pl-PL"/>
              </w:rPr>
              <w:t xml:space="preserve"> przyjmują wartość 1,0.</w:t>
            </w:r>
          </w:p>
        </w:tc>
      </w:tr>
    </w:tbl>
    <w:p>
      <w:pPr>
        <w:spacing w:before="25"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Tabela nr 8</w:t>
      </w:r>
      <w:r>
        <w:rPr>
          <w:rFonts w:ascii="Times New Roman"/>
          <w:b w:val="false"/>
          <w:i w:val="false"/>
          <w:color w:val="000000"/>
          <w:sz w:val="24"/>
          <w:lang w:val="pl-PL"/>
        </w:rPr>
        <w:t xml:space="preserve">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85"/>
        <w:gridCol w:w="6172"/>
        <w:gridCol w:w="2743"/>
        <w:gridCol w:w="2057"/>
        <w:gridCol w:w="10746"/>
      </w:tblGrid>
      <w:tr>
        <w:trPr>
          <w:trHeight w:val="45" w:hRule="atLeast"/>
        </w:trPr>
        <w:tc>
          <w:tcPr>
            <w:tcW w:w="0" w:type="auto"/>
            <w:gridSpan w:val="5"/>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Baza danych obiektów topograficznych o szczegółowości zapewniającej tworzenie standardowych opracowań kartograficznych w skalach 1:500 - 1:5000 (BDOT500)</w:t>
            </w:r>
            <w:r>
              <w:rPr>
                <w:rFonts w:ascii="Times New Roman"/>
                <w:b w:val="false"/>
                <w:i w:val="false"/>
                <w:color w:val="000000"/>
                <w:sz w:val="24"/>
                <w:lang w:val="pl-PL"/>
              </w:rPr>
              <w:t xml:space="preserve"> </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Lp.</w:t>
            </w:r>
            <w:r>
              <w:rPr>
                <w:rFonts w:ascii="Times New Roman"/>
                <w:b w:val="false"/>
                <w:i w:val="false"/>
                <w:color w:val="000000"/>
                <w:sz w:val="24"/>
                <w:lang w:val="pl-PL"/>
              </w:rPr>
              <w:t xml:space="preserve"> </w:t>
            </w:r>
          </w:p>
        </w:tc>
        <w:tc>
          <w:tcPr>
            <w:tcW w:w="6172"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Nazwa materiału zasobu</w:t>
            </w:r>
            <w:r>
              <w:rPr>
                <w:rFonts w:ascii="Times New Roman"/>
                <w:b w:val="false"/>
                <w:i w:val="false"/>
                <w:color w:val="000000"/>
                <w:sz w:val="24"/>
                <w:lang w:val="pl-PL"/>
              </w:rPr>
              <w:t xml:space="preserve"> </w:t>
            </w:r>
          </w:p>
        </w:tc>
        <w:tc>
          <w:tcPr>
            <w:tcW w:w="2743"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Jednostka rozliczeniowa</w:t>
            </w:r>
            <w:r>
              <w:rPr>
                <w:rFonts w:ascii="Times New Roman"/>
                <w:b w:val="false"/>
                <w:i w:val="false"/>
                <w:color w:val="000000"/>
                <w:sz w:val="24"/>
                <w:lang w:val="pl-PL"/>
              </w:rPr>
              <w:t xml:space="preserve"> </w:t>
            </w: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Stawka podstawowa (Sp)</w:t>
            </w:r>
            <w:r>
              <w:rPr>
                <w:rFonts w:ascii="Times New Roman"/>
                <w:b w:val="false"/>
                <w:i w:val="false"/>
                <w:color w:val="000000"/>
                <w:sz w:val="24"/>
                <w:lang w:val="pl-PL"/>
              </w:rPr>
              <w:t xml:space="preserve"> </w:t>
            </w:r>
          </w:p>
        </w:tc>
        <w:tc>
          <w:tcPr>
            <w:tcW w:w="1074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 xml:space="preserve">Współczynniki korygujące </w:t>
            </w:r>
            <w:r>
              <w:rPr>
                <w:rFonts w:ascii="Times New Roman"/>
                <w:b w:val="false"/>
                <w:i w:val="false"/>
                <w:color w:val="000000"/>
                <w:sz w:val="24"/>
                <w:lang w:val="pl-PL"/>
              </w:rPr>
              <w:t xml:space="preserve"> </w:t>
            </w:r>
            <w:r>
              <w:rPr>
                <w:rFonts w:ascii="Times New Roman"/>
                <w:b w:val="false"/>
                <w:i/>
                <w:color w:val="000000"/>
                <w:sz w:val="24"/>
                <w:lang w:val="pl-PL"/>
              </w:rPr>
              <w:t>LR</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PD</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AJ</w:t>
            </w:r>
            <w:r>
              <w:rPr>
                <w:rFonts w:ascii="Times New Roman"/>
                <w:b w:val="false"/>
                <w:i w:val="false"/>
                <w:color w:val="000000"/>
                <w:sz w:val="24"/>
                <w:lang w:val="pl-PL"/>
              </w:rPr>
              <w:t xml:space="preserve"> </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w:t>
            </w:r>
          </w:p>
        </w:tc>
        <w:tc>
          <w:tcPr>
            <w:tcW w:w="617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Pełny zbiór danych BDOT500</w:t>
            </w:r>
          </w:p>
        </w:tc>
        <w:tc>
          <w:tcPr>
            <w:tcW w:w="2743"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ha</w:t>
            </w: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7,12 zł</w:t>
            </w:r>
          </w:p>
        </w:tc>
        <w:tc>
          <w:tcPr>
            <w:tcW w:w="1074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1. </w:t>
            </w:r>
            <w:r>
              <w:rPr>
                <w:rFonts w:ascii="Times New Roman"/>
                <w:b w:val="false"/>
                <w:i/>
                <w:color w:val="000000"/>
                <w:sz w:val="24"/>
                <w:lang w:val="pl-PL"/>
              </w:rPr>
              <w:t>LR</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do Ljr nie większej niż 100;</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w:t>
            </w:r>
          </w:p>
        </w:tc>
        <w:tc>
          <w:tcPr>
            <w:tcW w:w="617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Wybrany zbiór danych BDOT500 (kategoria)</w:t>
            </w:r>
          </w:p>
        </w:tc>
        <w:tc>
          <w:tcPr>
            <w:tcW w:w="0" w:type="auto"/>
            <w:vMerge/>
            <w:tcBorders>
              <w:top w:val="nil"/>
              <w:bottom w:val="single" w:color="000000" w:sz="8"/>
              <w:right w:val="single" w:color="000000" w:sz="8"/>
            </w:tcBorders>
          </w:tcP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1,43 zł</w:t>
            </w:r>
          </w:p>
        </w:tc>
        <w:tc>
          <w:tcPr>
            <w:tcW w:w="1074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 0,8 - do Ljr w przedziale powyżej 100.</w:t>
            </w:r>
          </w:p>
          <w:p>
            <w:pPr>
              <w:spacing w:before="25" w:after="0"/>
              <w:ind w:left="0"/>
              <w:jc w:val="left"/>
              <w:textAlignment w:val="auto"/>
            </w:pPr>
            <w:r>
              <w:rPr>
                <w:rFonts w:ascii="Times New Roman"/>
                <w:b w:val="false"/>
                <w:i w:val="false"/>
                <w:color w:val="000000"/>
                <w:sz w:val="24"/>
                <w:lang w:val="pl-PL"/>
              </w:rPr>
              <w:t xml:space="preserve">2. </w:t>
            </w:r>
            <w:r>
              <w:rPr>
                <w:rFonts w:ascii="Times New Roman"/>
                <w:b w:val="false"/>
                <w:i/>
                <w:color w:val="000000"/>
                <w:sz w:val="24"/>
                <w:lang w:val="pl-PL"/>
              </w:rPr>
              <w:t>AJ</w:t>
            </w:r>
            <w:r>
              <w:rPr>
                <w:rFonts w:ascii="Times New Roman"/>
                <w:b w:val="false"/>
                <w:i w:val="false"/>
                <w:color w:val="000000"/>
                <w:sz w:val="24"/>
                <w:lang w:val="pl-PL"/>
              </w:rPr>
              <w:t xml:space="preserve"> i </w:t>
            </w:r>
            <w:r>
              <w:rPr>
                <w:rFonts w:ascii="Times New Roman"/>
                <w:b w:val="false"/>
                <w:i/>
                <w:color w:val="000000"/>
                <w:sz w:val="24"/>
                <w:lang w:val="pl-PL"/>
              </w:rPr>
              <w:t>PD</w:t>
            </w:r>
            <w:r>
              <w:rPr>
                <w:rFonts w:ascii="Times New Roman"/>
                <w:b w:val="false"/>
                <w:i w:val="false"/>
                <w:color w:val="000000"/>
                <w:sz w:val="24"/>
                <w:lang w:val="pl-PL"/>
              </w:rPr>
              <w:t xml:space="preserve"> przyjmują wartość 1,0.</w:t>
            </w:r>
          </w:p>
        </w:tc>
      </w:tr>
    </w:tbl>
    <w:p>
      <w:pPr>
        <w:spacing w:before="25"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Tabela nr 9</w:t>
      </w:r>
      <w:r>
        <w:rPr>
          <w:rFonts w:ascii="Times New Roman"/>
          <w:b w:val="false"/>
          <w:i w:val="false"/>
          <w:color w:val="000000"/>
          <w:sz w:val="24"/>
          <w:lang w:val="pl-PL"/>
        </w:rPr>
        <w:t xml:space="preserve">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85"/>
        <w:gridCol w:w="6177"/>
        <w:gridCol w:w="2745"/>
        <w:gridCol w:w="2058"/>
        <w:gridCol w:w="10754"/>
      </w:tblGrid>
      <w:tr>
        <w:trPr>
          <w:trHeight w:val="45" w:hRule="atLeast"/>
        </w:trPr>
        <w:tc>
          <w:tcPr>
            <w:tcW w:w="0" w:type="auto"/>
            <w:gridSpan w:val="5"/>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Baza danych ewidencji gruntów i budynków (baza danych EGiB)</w:t>
            </w:r>
            <w:r>
              <w:rPr>
                <w:rFonts w:ascii="Times New Roman"/>
                <w:b w:val="false"/>
                <w:i w:val="false"/>
                <w:color w:val="000000"/>
                <w:sz w:val="24"/>
                <w:lang w:val="pl-PL"/>
              </w:rPr>
              <w:t xml:space="preserve"> </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Lp.</w:t>
            </w:r>
            <w:r>
              <w:rPr>
                <w:rFonts w:ascii="Times New Roman"/>
                <w:b w:val="false"/>
                <w:i w:val="false"/>
                <w:color w:val="000000"/>
                <w:sz w:val="24"/>
                <w:lang w:val="pl-PL"/>
              </w:rPr>
              <w:t xml:space="preserve"> </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Nazwa materiału zasobu</w:t>
            </w:r>
            <w:r>
              <w:rPr>
                <w:rFonts w:ascii="Times New Roman"/>
                <w:b w:val="false"/>
                <w:i w:val="false"/>
                <w:color w:val="000000"/>
                <w:sz w:val="24"/>
                <w:lang w:val="pl-PL"/>
              </w:rPr>
              <w:t xml:space="preserve"> </w:t>
            </w:r>
          </w:p>
        </w:tc>
        <w:tc>
          <w:tcPr>
            <w:tcW w:w="2745"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Jednostka rozliczeniowa</w:t>
            </w:r>
            <w:r>
              <w:rPr>
                <w:rFonts w:ascii="Times New Roman"/>
                <w:b w:val="false"/>
                <w:i w:val="false"/>
                <w:color w:val="000000"/>
                <w:sz w:val="24"/>
                <w:lang w:val="pl-PL"/>
              </w:rPr>
              <w:t xml:space="preserve"> </w:t>
            </w:r>
          </w:p>
        </w:tc>
        <w:tc>
          <w:tcPr>
            <w:tcW w:w="205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Stawka podstawowa (Sp)</w:t>
            </w:r>
            <w:r>
              <w:rPr>
                <w:rFonts w:ascii="Times New Roman"/>
                <w:b w:val="false"/>
                <w:i w:val="false"/>
                <w:color w:val="000000"/>
                <w:sz w:val="24"/>
                <w:lang w:val="pl-PL"/>
              </w:rPr>
              <w:t xml:space="preserve"> </w:t>
            </w:r>
          </w:p>
        </w:tc>
        <w:tc>
          <w:tcPr>
            <w:tcW w:w="10754"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 xml:space="preserve">Współczynniki korygujące </w:t>
            </w:r>
            <w:r>
              <w:rPr>
                <w:rFonts w:ascii="Times New Roman"/>
                <w:b w:val="false"/>
                <w:i w:val="false"/>
                <w:color w:val="000000"/>
                <w:sz w:val="24"/>
                <w:lang w:val="pl-PL"/>
              </w:rPr>
              <w:t xml:space="preserve"> </w:t>
            </w:r>
            <w:r>
              <w:rPr>
                <w:rFonts w:ascii="Times New Roman"/>
                <w:b w:val="false"/>
                <w:i/>
                <w:color w:val="000000"/>
                <w:sz w:val="24"/>
                <w:lang w:val="pl-PL"/>
              </w:rPr>
              <w:t>LR</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PD</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AJ</w:t>
            </w:r>
            <w:r>
              <w:rPr>
                <w:rFonts w:ascii="Times New Roman"/>
                <w:b w:val="false"/>
                <w:i w:val="false"/>
                <w:color w:val="000000"/>
                <w:sz w:val="24"/>
                <w:lang w:val="pl-PL"/>
              </w:rPr>
              <w:t xml:space="preserve"> </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Zbiór danych bazy danych EGiB</w:t>
            </w:r>
          </w:p>
        </w:tc>
        <w:tc>
          <w:tcPr>
            <w:tcW w:w="2745"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ha</w:t>
            </w:r>
          </w:p>
        </w:tc>
        <w:tc>
          <w:tcPr>
            <w:tcW w:w="205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44,94 zł</w:t>
            </w:r>
          </w:p>
        </w:tc>
        <w:tc>
          <w:tcPr>
            <w:tcW w:w="1075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1. </w:t>
            </w:r>
            <w:r>
              <w:rPr>
                <w:rFonts w:ascii="Times New Roman"/>
                <w:b w:val="false"/>
                <w:i/>
                <w:color w:val="000000"/>
                <w:sz w:val="24"/>
                <w:lang w:val="pl-PL"/>
              </w:rPr>
              <w:t>LR</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dla Ljr nie większej niż 10;</w:t>
            </w:r>
          </w:p>
          <w:p>
            <w:pPr>
              <w:spacing w:before="25" w:after="0"/>
              <w:ind w:left="0"/>
              <w:jc w:val="left"/>
              <w:textAlignment w:val="auto"/>
            </w:pPr>
            <w:r>
              <w:rPr>
                <w:rFonts w:ascii="Times New Roman"/>
                <w:b w:val="false"/>
                <w:i w:val="false"/>
                <w:color w:val="000000"/>
                <w:sz w:val="24"/>
                <w:lang w:val="pl-PL"/>
              </w:rPr>
              <w:t>2) 0,8 - dla Ljr w przedziale 11-100;</w:t>
            </w:r>
          </w:p>
          <w:p>
            <w:pPr>
              <w:spacing w:before="25" w:after="0"/>
              <w:ind w:left="0"/>
              <w:jc w:val="left"/>
              <w:textAlignment w:val="auto"/>
            </w:pPr>
            <w:r>
              <w:rPr>
                <w:rFonts w:ascii="Times New Roman"/>
                <w:b w:val="false"/>
                <w:i w:val="false"/>
                <w:color w:val="000000"/>
                <w:sz w:val="24"/>
                <w:lang w:val="pl-PL"/>
              </w:rPr>
              <w:t>3) 0,6 - dla Ljr większej od 100.</w:t>
            </w:r>
          </w:p>
          <w:p>
            <w:pPr>
              <w:spacing w:before="25" w:after="0"/>
              <w:ind w:left="0"/>
              <w:jc w:val="left"/>
              <w:textAlignment w:val="auto"/>
            </w:pPr>
            <w:r>
              <w:rPr>
                <w:rFonts w:ascii="Times New Roman"/>
                <w:b w:val="false"/>
                <w:i w:val="false"/>
                <w:color w:val="000000"/>
                <w:sz w:val="24"/>
                <w:lang w:val="pl-PL"/>
              </w:rPr>
              <w:t xml:space="preserve">2. </w:t>
            </w:r>
            <w:r>
              <w:rPr>
                <w:rFonts w:ascii="Times New Roman"/>
                <w:b w:val="false"/>
                <w:i/>
                <w:color w:val="000000"/>
                <w:sz w:val="24"/>
                <w:lang w:val="pl-PL"/>
              </w:rPr>
              <w:t>PD</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w przypadku udostępniania pełnego zbioru danych bazy danych EGiB (dane przedmiotowe i podmiotowe);</w:t>
            </w:r>
          </w:p>
          <w:p>
            <w:pPr>
              <w:spacing w:before="25" w:after="0"/>
              <w:ind w:left="0"/>
              <w:jc w:val="left"/>
              <w:textAlignment w:val="auto"/>
            </w:pPr>
            <w:r>
              <w:rPr>
                <w:rFonts w:ascii="Times New Roman"/>
                <w:b w:val="false"/>
                <w:i w:val="false"/>
                <w:color w:val="000000"/>
                <w:sz w:val="24"/>
                <w:lang w:val="pl-PL"/>
              </w:rPr>
              <w:t>2) 0,7 - w przypadku udostępniania tylko danych przedmiotowych (opisowych i geometrycznych) ze zbioru bazy danych EGiB;</w:t>
            </w:r>
          </w:p>
          <w:p>
            <w:pPr>
              <w:spacing w:before="25" w:after="0"/>
              <w:ind w:left="0"/>
              <w:jc w:val="left"/>
              <w:textAlignment w:val="auto"/>
            </w:pPr>
            <w:r>
              <w:rPr>
                <w:rFonts w:ascii="Times New Roman"/>
                <w:b w:val="false"/>
                <w:i w:val="false"/>
                <w:color w:val="000000"/>
                <w:sz w:val="24"/>
                <w:lang w:val="pl-PL"/>
              </w:rPr>
              <w:t>3) 0,5 - w przypadku udostępniania tylko opisowych albo tylko geometrycznych danych przedmiotowych ze zbioru bazy danych EGiB.</w:t>
            </w:r>
          </w:p>
          <w:p>
            <w:pPr>
              <w:spacing w:before="25" w:after="0"/>
              <w:ind w:left="0"/>
              <w:jc w:val="left"/>
              <w:textAlignment w:val="auto"/>
            </w:pPr>
            <w:r>
              <w:rPr>
                <w:rFonts w:ascii="Times New Roman"/>
                <w:b w:val="false"/>
                <w:i w:val="false"/>
                <w:color w:val="000000"/>
                <w:sz w:val="24"/>
                <w:lang w:val="pl-PL"/>
              </w:rPr>
              <w:t xml:space="preserve">3. </w:t>
            </w:r>
            <w:r>
              <w:rPr>
                <w:rFonts w:ascii="Times New Roman"/>
                <w:b w:val="false"/>
                <w:i/>
                <w:color w:val="000000"/>
                <w:sz w:val="24"/>
                <w:lang w:val="pl-PL"/>
              </w:rPr>
              <w:t>AJ</w:t>
            </w:r>
            <w:r>
              <w:rPr>
                <w:rFonts w:ascii="Times New Roman"/>
                <w:b w:val="false"/>
                <w:i w:val="false"/>
                <w:color w:val="000000"/>
                <w:sz w:val="24"/>
                <w:lang w:val="pl-PL"/>
              </w:rPr>
              <w:t xml:space="preserve"> przyjmuje wartość 1,0.</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Zbiór danych bazy danych EGiB - dotyczący punktów granicznych</w:t>
            </w:r>
          </w:p>
        </w:tc>
        <w:tc>
          <w:tcPr>
            <w:tcW w:w="2745"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punkt graniczny</w:t>
            </w:r>
          </w:p>
        </w:tc>
        <w:tc>
          <w:tcPr>
            <w:tcW w:w="205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1,50 zł</w:t>
            </w:r>
          </w:p>
        </w:tc>
        <w:tc>
          <w:tcPr>
            <w:tcW w:w="1075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1. </w:t>
            </w:r>
            <w:r>
              <w:rPr>
                <w:rFonts w:ascii="Times New Roman"/>
                <w:b w:val="false"/>
                <w:i/>
                <w:color w:val="000000"/>
                <w:sz w:val="24"/>
                <w:lang w:val="pl-PL"/>
              </w:rPr>
              <w:t>LR</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dla Ljr nie większej niż 10;</w:t>
            </w:r>
          </w:p>
          <w:p>
            <w:pPr>
              <w:spacing w:before="25" w:after="0"/>
              <w:ind w:left="0"/>
              <w:jc w:val="left"/>
              <w:textAlignment w:val="auto"/>
            </w:pPr>
            <w:r>
              <w:rPr>
                <w:rFonts w:ascii="Times New Roman"/>
                <w:b w:val="false"/>
                <w:i w:val="false"/>
                <w:color w:val="000000"/>
                <w:sz w:val="24"/>
                <w:lang w:val="pl-PL"/>
              </w:rPr>
              <w:t>2) 0,8 - dla Ljr w przedziale 11-100;</w:t>
            </w:r>
          </w:p>
          <w:p>
            <w:pPr>
              <w:spacing w:before="25" w:after="0"/>
              <w:ind w:left="0"/>
              <w:jc w:val="left"/>
              <w:textAlignment w:val="auto"/>
            </w:pPr>
            <w:r>
              <w:rPr>
                <w:rFonts w:ascii="Times New Roman"/>
                <w:b w:val="false"/>
                <w:i w:val="false"/>
                <w:color w:val="000000"/>
                <w:sz w:val="24"/>
                <w:lang w:val="pl-PL"/>
              </w:rPr>
              <w:t>3) 0,6 - dla Ljr większej od 100.</w:t>
            </w:r>
          </w:p>
          <w:p>
            <w:pPr>
              <w:spacing w:before="25" w:after="0"/>
              <w:ind w:left="0"/>
              <w:jc w:val="left"/>
              <w:textAlignment w:val="auto"/>
            </w:pPr>
            <w:r>
              <w:rPr>
                <w:rFonts w:ascii="Times New Roman"/>
                <w:b w:val="false"/>
                <w:i w:val="false"/>
                <w:color w:val="000000"/>
                <w:sz w:val="24"/>
                <w:lang w:val="pl-PL"/>
              </w:rPr>
              <w:t xml:space="preserve">2. </w:t>
            </w:r>
            <w:r>
              <w:rPr>
                <w:rFonts w:ascii="Times New Roman"/>
                <w:b w:val="false"/>
                <w:i/>
                <w:color w:val="000000"/>
                <w:sz w:val="24"/>
                <w:lang w:val="pl-PL"/>
              </w:rPr>
              <w:t>PD</w:t>
            </w:r>
            <w:r>
              <w:rPr>
                <w:rFonts w:ascii="Times New Roman"/>
                <w:b w:val="false"/>
                <w:i w:val="false"/>
                <w:color w:val="000000"/>
                <w:sz w:val="24"/>
                <w:lang w:val="pl-PL"/>
              </w:rPr>
              <w:t xml:space="preserve"> i </w:t>
            </w:r>
            <w:r>
              <w:rPr>
                <w:rFonts w:ascii="Times New Roman"/>
                <w:b w:val="false"/>
                <w:i/>
                <w:color w:val="000000"/>
                <w:sz w:val="24"/>
                <w:lang w:val="pl-PL"/>
              </w:rPr>
              <w:t>AJ</w:t>
            </w:r>
            <w:r>
              <w:rPr>
                <w:rFonts w:ascii="Times New Roman"/>
                <w:b w:val="false"/>
                <w:i w:val="false"/>
                <w:color w:val="000000"/>
                <w:sz w:val="24"/>
                <w:lang w:val="pl-PL"/>
              </w:rPr>
              <w:t xml:space="preserve"> przyjmują wartość 1,0.</w:t>
            </w:r>
          </w:p>
        </w:tc>
      </w:tr>
      <w:tr>
        <w:trPr>
          <w:trHeight w:val="45" w:hRule="atLeast"/>
        </w:trPr>
        <w:tc>
          <w:tcPr>
            <w:tcW w:w="685"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3.</w:t>
            </w:r>
          </w:p>
        </w:tc>
        <w:tc>
          <w:tcPr>
            <w:tcW w:w="6177"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Zbiór danych bazy danych EGiB - dotyczących działek ewidencyjnych albo budynków albo lokali</w:t>
            </w:r>
          </w:p>
        </w:tc>
        <w:tc>
          <w:tcPr>
            <w:tcW w:w="2745"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działka ewidencyjna albo budynek</w:t>
            </w:r>
          </w:p>
        </w:tc>
        <w:tc>
          <w:tcPr>
            <w:tcW w:w="205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14,97 zł</w:t>
            </w:r>
          </w:p>
        </w:tc>
        <w:tc>
          <w:tcPr>
            <w:tcW w:w="10754"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w:t>
            </w:r>
            <w:r>
              <w:rPr>
                <w:rFonts w:ascii="Times New Roman"/>
                <w:b w:val="false"/>
                <w:i/>
                <w:color w:val="000000"/>
                <w:sz w:val="24"/>
                <w:lang w:val="pl-PL"/>
              </w:rPr>
              <w:t xml:space="preserve"> LR</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dla Ljr nie większej niż 10;</w:t>
            </w:r>
          </w:p>
          <w:p>
            <w:pPr>
              <w:spacing w:before="25" w:after="0"/>
              <w:ind w:left="0"/>
              <w:jc w:val="left"/>
              <w:textAlignment w:val="auto"/>
            </w:pPr>
            <w:r>
              <w:rPr>
                <w:rFonts w:ascii="Times New Roman"/>
                <w:b w:val="false"/>
                <w:i w:val="false"/>
                <w:color w:val="000000"/>
                <w:sz w:val="24"/>
                <w:lang w:val="pl-PL"/>
              </w:rPr>
              <w:t>2) 0,8 - dla Ljr w przedziale 11-100;</w:t>
            </w:r>
          </w:p>
          <w:p>
            <w:pPr>
              <w:spacing w:before="25" w:after="0"/>
              <w:ind w:left="0"/>
              <w:jc w:val="left"/>
              <w:textAlignment w:val="auto"/>
            </w:pPr>
            <w:r>
              <w:rPr>
                <w:rFonts w:ascii="Times New Roman"/>
                <w:b w:val="false"/>
                <w:i w:val="false"/>
                <w:color w:val="000000"/>
                <w:sz w:val="24"/>
                <w:lang w:val="pl-PL"/>
              </w:rPr>
              <w:t>3) 0,6 - dla Ljr większej od 100.</w:t>
            </w:r>
          </w:p>
          <w:p>
            <w:pPr>
              <w:spacing w:before="25" w:after="0"/>
              <w:ind w:left="0"/>
              <w:jc w:val="left"/>
              <w:textAlignment w:val="auto"/>
            </w:pPr>
            <w:r>
              <w:rPr>
                <w:rFonts w:ascii="Times New Roman"/>
                <w:b w:val="false"/>
                <w:i w:val="false"/>
                <w:color w:val="000000"/>
                <w:sz w:val="24"/>
                <w:lang w:val="pl-PL"/>
              </w:rPr>
              <w:t xml:space="preserve">2. </w:t>
            </w:r>
            <w:r>
              <w:rPr>
                <w:rFonts w:ascii="Times New Roman"/>
                <w:b w:val="false"/>
                <w:i/>
                <w:color w:val="000000"/>
                <w:sz w:val="24"/>
                <w:lang w:val="pl-PL"/>
              </w:rPr>
              <w:t>PD</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w przypadku udostępniania pełnego zbioru danych dotyczących działek ewidencyjnych, budynków lub lokali;</w:t>
            </w:r>
          </w:p>
          <w:p>
            <w:pPr>
              <w:spacing w:before="25" w:after="0"/>
              <w:ind w:left="0"/>
              <w:jc w:val="left"/>
              <w:textAlignment w:val="auto"/>
            </w:pPr>
            <w:r>
              <w:rPr>
                <w:rFonts w:ascii="Times New Roman"/>
                <w:b w:val="false"/>
                <w:i w:val="false"/>
                <w:color w:val="000000"/>
                <w:sz w:val="24"/>
                <w:lang w:val="pl-PL"/>
              </w:rPr>
              <w:t>2) 0,6 - w przypadku udostępniania tylko opisowych lub tylko geometrycznych danych dotyczących działek ewidencyjnych albo budynków.</w:t>
            </w:r>
          </w:p>
          <w:p>
            <w:pPr>
              <w:spacing w:before="25" w:after="0"/>
              <w:ind w:left="0"/>
              <w:jc w:val="left"/>
              <w:textAlignment w:val="auto"/>
            </w:pPr>
            <w:r>
              <w:rPr>
                <w:rFonts w:ascii="Times New Roman"/>
                <w:b w:val="false"/>
                <w:i w:val="false"/>
                <w:color w:val="000000"/>
                <w:sz w:val="24"/>
                <w:lang w:val="pl-PL"/>
              </w:rPr>
              <w:t xml:space="preserve">3. </w:t>
            </w:r>
            <w:r>
              <w:rPr>
                <w:rFonts w:ascii="Times New Roman"/>
                <w:b w:val="false"/>
                <w:i/>
                <w:color w:val="000000"/>
                <w:sz w:val="24"/>
                <w:lang w:val="pl-PL"/>
              </w:rPr>
              <w:t>AJ</w:t>
            </w:r>
            <w:r>
              <w:rPr>
                <w:rFonts w:ascii="Times New Roman"/>
                <w:b w:val="false"/>
                <w:i w:val="false"/>
                <w:color w:val="000000"/>
                <w:sz w:val="24"/>
                <w:lang w:val="pl-PL"/>
              </w:rPr>
              <w:t xml:space="preserve"> przyjmuje wartość 1,0.</w:t>
            </w:r>
          </w:p>
        </w:tc>
      </w:tr>
      <w:tr>
        <w:trPr>
          <w:trHeight w:val="45" w:hRule="atLeast"/>
        </w:trPr>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c>
          <w:tcPr>
            <w:tcW w:w="2745"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lokal</w:t>
            </w:r>
          </w:p>
        </w:tc>
        <w:tc>
          <w:tcPr>
            <w:tcW w:w="205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4,50 zł</w:t>
            </w:r>
          </w:p>
        </w:tc>
        <w:tc>
          <w:tcPr>
            <w:tcW w:w="0" w:type="auto"/>
            <w:vMerge/>
            <w:tcBorders>
              <w:top w:val="nil"/>
              <w:bottom w:val="single" w:color="000000" w:sz="8"/>
              <w:right w:val="single" w:color="000000" w:sz="8"/>
            </w:tcBorders>
          </w:tcP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4.</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Zbiór danych bazy danych EGiB - dotyczący konturów użytków gruntowych</w:t>
            </w:r>
          </w:p>
        </w:tc>
        <w:tc>
          <w:tcPr>
            <w:tcW w:w="2745"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kontur użytku gruntowego</w:t>
            </w:r>
          </w:p>
        </w:tc>
        <w:tc>
          <w:tcPr>
            <w:tcW w:w="2058"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14,97 zł</w:t>
            </w:r>
          </w:p>
        </w:tc>
        <w:tc>
          <w:tcPr>
            <w:tcW w:w="10754"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1. </w:t>
            </w:r>
            <w:r>
              <w:rPr>
                <w:rFonts w:ascii="Times New Roman"/>
                <w:b w:val="false"/>
                <w:i/>
                <w:color w:val="000000"/>
                <w:sz w:val="24"/>
                <w:lang w:val="pl-PL"/>
              </w:rPr>
              <w:t>LR</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dla Ljr nie większej niż 10;</w:t>
            </w:r>
          </w:p>
          <w:p>
            <w:pPr>
              <w:spacing w:before="25" w:after="0"/>
              <w:ind w:left="0"/>
              <w:jc w:val="left"/>
              <w:textAlignment w:val="auto"/>
            </w:pPr>
            <w:r>
              <w:rPr>
                <w:rFonts w:ascii="Times New Roman"/>
                <w:b w:val="false"/>
                <w:i w:val="false"/>
                <w:color w:val="000000"/>
                <w:sz w:val="24"/>
                <w:lang w:val="pl-PL"/>
              </w:rPr>
              <w:t>2) 0,8 - dla Ljr w przedziale 11-100;</w:t>
            </w:r>
          </w:p>
          <w:p>
            <w:pPr>
              <w:spacing w:before="25" w:after="0"/>
              <w:ind w:left="0"/>
              <w:jc w:val="left"/>
              <w:textAlignment w:val="auto"/>
            </w:pPr>
            <w:r>
              <w:rPr>
                <w:rFonts w:ascii="Times New Roman"/>
                <w:b w:val="false"/>
                <w:i w:val="false"/>
                <w:color w:val="000000"/>
                <w:sz w:val="24"/>
                <w:lang w:val="pl-PL"/>
              </w:rPr>
              <w:t>3) 0,6 - dla Ljr większej od 100.</w:t>
            </w:r>
          </w:p>
          <w:p>
            <w:pPr>
              <w:spacing w:before="25" w:after="0"/>
              <w:ind w:left="0"/>
              <w:jc w:val="left"/>
              <w:textAlignment w:val="auto"/>
            </w:pPr>
            <w:r>
              <w:rPr>
                <w:rFonts w:ascii="Times New Roman"/>
                <w:b w:val="false"/>
                <w:i w:val="false"/>
                <w:color w:val="000000"/>
                <w:sz w:val="24"/>
                <w:lang w:val="pl-PL"/>
              </w:rPr>
              <w:t xml:space="preserve">2. </w:t>
            </w:r>
            <w:r>
              <w:rPr>
                <w:rFonts w:ascii="Times New Roman"/>
                <w:b w:val="false"/>
                <w:i/>
                <w:color w:val="000000"/>
                <w:sz w:val="24"/>
                <w:lang w:val="pl-PL"/>
              </w:rPr>
              <w:t>PD</w:t>
            </w:r>
            <w:r>
              <w:rPr>
                <w:rFonts w:ascii="Times New Roman"/>
                <w:b w:val="false"/>
                <w:i w:val="false"/>
                <w:color w:val="000000"/>
                <w:sz w:val="24"/>
                <w:lang w:val="pl-PL"/>
              </w:rPr>
              <w:t xml:space="preserve"> i </w:t>
            </w:r>
            <w:r>
              <w:rPr>
                <w:rFonts w:ascii="Times New Roman"/>
                <w:b w:val="false"/>
                <w:i/>
                <w:color w:val="000000"/>
                <w:sz w:val="24"/>
                <w:lang w:val="pl-PL"/>
              </w:rPr>
              <w:t>AJ</w:t>
            </w:r>
            <w:r>
              <w:rPr>
                <w:rFonts w:ascii="Times New Roman"/>
                <w:b w:val="false"/>
                <w:i w:val="false"/>
                <w:color w:val="000000"/>
                <w:sz w:val="24"/>
                <w:lang w:val="pl-PL"/>
              </w:rPr>
              <w:t xml:space="preserve"> przyjmują wartość 1,0.</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5.</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Zbiór danych bazy danych EGiB - dotyczący konturów klasyfikacyjnych</w:t>
            </w:r>
          </w:p>
        </w:tc>
        <w:tc>
          <w:tcPr>
            <w:tcW w:w="2745"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kontur klasyfikacyjny</w:t>
            </w:r>
          </w:p>
        </w:tc>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6.</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Zbiór danych bazy danych EGiB - dotyczący podmiotów wykazanych w ewidencji gruntów i budynków</w:t>
            </w:r>
          </w:p>
        </w:tc>
        <w:tc>
          <w:tcPr>
            <w:tcW w:w="2745"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Podmiot - osoba lub jednostka organizacyjna</w:t>
            </w:r>
          </w:p>
        </w:tc>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7.</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Zbiór danych bazy danych EGiB - dotyczący innych obiektów EGiB (niewymienionych w lp. 2-6)</w:t>
            </w:r>
          </w:p>
        </w:tc>
        <w:tc>
          <w:tcPr>
            <w:tcW w:w="2745"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Obiekt bazy danych EGiB</w:t>
            </w:r>
          </w:p>
        </w:tc>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r>
    </w:tbl>
    <w:p>
      <w:pPr>
        <w:spacing w:before="25"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Tabela nr 10</w:t>
      </w:r>
      <w:r>
        <w:rPr>
          <w:rFonts w:ascii="Times New Roman"/>
          <w:b w:val="false"/>
          <w:i w:val="false"/>
          <w:color w:val="000000"/>
          <w:sz w:val="24"/>
          <w:lang w:val="pl-PL"/>
        </w:rPr>
        <w:t xml:space="preserve">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685"/>
        <w:gridCol w:w="6173"/>
        <w:gridCol w:w="2743"/>
        <w:gridCol w:w="2057"/>
        <w:gridCol w:w="10747"/>
      </w:tblGrid>
      <w:tr>
        <w:trPr>
          <w:trHeight w:val="45" w:hRule="atLeast"/>
        </w:trPr>
        <w:tc>
          <w:tcPr>
            <w:tcW w:w="0" w:type="auto"/>
            <w:gridSpan w:val="5"/>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Raporty (rejestry, kartoteki, skorowidze, wykazy, zestawienia) tworzone na podstawie bazy danych EGiB</w:t>
            </w:r>
            <w:r>
              <w:rPr>
                <w:rFonts w:ascii="Times New Roman"/>
                <w:b w:val="false"/>
                <w:i w:val="false"/>
                <w:color w:val="000000"/>
                <w:sz w:val="24"/>
                <w:lang w:val="pl-PL"/>
              </w:rPr>
              <w:t xml:space="preserve"> </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Lp.</w:t>
            </w:r>
            <w:r>
              <w:rPr>
                <w:rFonts w:ascii="Times New Roman"/>
                <w:b w:val="false"/>
                <w:i w:val="false"/>
                <w:color w:val="000000"/>
                <w:sz w:val="24"/>
                <w:lang w:val="pl-PL"/>
              </w:rPr>
              <w:t xml:space="preserve"> </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Nazwa materiału zasobu</w:t>
            </w:r>
            <w:r>
              <w:rPr>
                <w:rFonts w:ascii="Times New Roman"/>
                <w:b w:val="false"/>
                <w:i w:val="false"/>
                <w:color w:val="000000"/>
                <w:sz w:val="24"/>
                <w:lang w:val="pl-PL"/>
              </w:rPr>
              <w:t xml:space="preserve"> </w:t>
            </w:r>
          </w:p>
        </w:tc>
        <w:tc>
          <w:tcPr>
            <w:tcW w:w="2743"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Jednostka rozliczeniowa</w:t>
            </w:r>
            <w:r>
              <w:rPr>
                <w:rFonts w:ascii="Times New Roman"/>
                <w:b w:val="false"/>
                <w:i w:val="false"/>
                <w:color w:val="000000"/>
                <w:sz w:val="24"/>
                <w:lang w:val="pl-PL"/>
              </w:rPr>
              <w:t xml:space="preserve"> </w:t>
            </w: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Stawka podstawowa (Sp)</w:t>
            </w:r>
            <w:r>
              <w:rPr>
                <w:rFonts w:ascii="Times New Roman"/>
                <w:b w:val="false"/>
                <w:i w:val="false"/>
                <w:color w:val="000000"/>
                <w:sz w:val="24"/>
                <w:lang w:val="pl-PL"/>
              </w:rPr>
              <w:t xml:space="preserve"> </w:t>
            </w:r>
          </w:p>
        </w:tc>
        <w:tc>
          <w:tcPr>
            <w:tcW w:w="1074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 xml:space="preserve">Współczynniki korygujące </w:t>
            </w:r>
            <w:r>
              <w:rPr>
                <w:rFonts w:ascii="Times New Roman"/>
                <w:b w:val="false"/>
                <w:i w:val="false"/>
                <w:color w:val="000000"/>
                <w:sz w:val="24"/>
                <w:lang w:val="pl-PL"/>
              </w:rPr>
              <w:t xml:space="preserve"> </w:t>
            </w:r>
            <w:r>
              <w:rPr>
                <w:rFonts w:ascii="Times New Roman"/>
                <w:b w:val="false"/>
                <w:i/>
                <w:color w:val="000000"/>
                <w:sz w:val="24"/>
                <w:lang w:val="pl-PL"/>
              </w:rPr>
              <w:t>LR</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PD</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AJ</w:t>
            </w:r>
            <w:r>
              <w:rPr>
                <w:rFonts w:ascii="Times New Roman"/>
                <w:b w:val="false"/>
                <w:i w:val="false"/>
                <w:color w:val="000000"/>
                <w:sz w:val="24"/>
                <w:lang w:val="pl-PL"/>
              </w:rPr>
              <w:t xml:space="preserve"> </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Kopia arkusza mapy ewidencji gruntów i budynków w postaci drukowanej</w:t>
            </w:r>
          </w:p>
        </w:tc>
        <w:tc>
          <w:tcPr>
            <w:tcW w:w="2743"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Arkusz formatu</w:t>
            </w:r>
          </w:p>
          <w:p>
            <w:pPr>
              <w:spacing w:before="25" w:after="0"/>
              <w:ind w:left="0"/>
              <w:jc w:val="center"/>
              <w:textAlignment w:val="auto"/>
            </w:pPr>
            <w:r>
              <w:rPr>
                <w:rFonts w:ascii="Times New Roman"/>
                <w:b w:val="false"/>
                <w:i w:val="false"/>
                <w:color w:val="000000"/>
                <w:sz w:val="24"/>
                <w:lang w:val="pl-PL"/>
              </w:rPr>
              <w:t>A0</w:t>
            </w: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104,86 zł</w:t>
            </w:r>
          </w:p>
        </w:tc>
        <w:tc>
          <w:tcPr>
            <w:tcW w:w="1074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1. </w:t>
            </w:r>
            <w:r>
              <w:rPr>
                <w:rFonts w:ascii="Times New Roman"/>
                <w:b w:val="false"/>
                <w:i/>
                <w:color w:val="000000"/>
                <w:sz w:val="24"/>
                <w:lang w:val="pl-PL"/>
              </w:rPr>
              <w:t>LR</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dla Ljr nie większej niż 10;</w:t>
            </w:r>
          </w:p>
          <w:p>
            <w:pPr>
              <w:spacing w:before="25" w:after="0"/>
              <w:ind w:left="0"/>
              <w:jc w:val="left"/>
              <w:textAlignment w:val="auto"/>
            </w:pPr>
            <w:r>
              <w:rPr>
                <w:rFonts w:ascii="Times New Roman"/>
                <w:b w:val="false"/>
                <w:i w:val="false"/>
                <w:color w:val="000000"/>
                <w:sz w:val="24"/>
                <w:lang w:val="pl-PL"/>
              </w:rPr>
              <w:t>2) 0,8 - dla Ljr większej od 10.</w:t>
            </w:r>
          </w:p>
          <w:p>
            <w:pPr>
              <w:spacing w:before="25" w:after="0"/>
              <w:ind w:left="0"/>
              <w:jc w:val="left"/>
              <w:textAlignment w:val="auto"/>
            </w:pPr>
            <w:r>
              <w:rPr>
                <w:rFonts w:ascii="Times New Roman"/>
                <w:b w:val="false"/>
                <w:i w:val="false"/>
                <w:color w:val="000000"/>
                <w:sz w:val="24"/>
                <w:lang w:val="pl-PL"/>
              </w:rPr>
              <w:t>2.</w:t>
            </w:r>
            <w:r>
              <w:rPr>
                <w:rFonts w:ascii="Times New Roman"/>
                <w:b w:val="false"/>
                <w:i/>
                <w:color w:val="000000"/>
                <w:sz w:val="24"/>
                <w:lang w:val="pl-PL"/>
              </w:rPr>
              <w:t xml:space="preserve"> PD</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1,00 - dla arkusza mapy w formacie A0;</w:t>
            </w:r>
          </w:p>
          <w:p>
            <w:pPr>
              <w:spacing w:before="25" w:after="0"/>
              <w:ind w:left="0"/>
              <w:jc w:val="left"/>
              <w:textAlignment w:val="auto"/>
            </w:pPr>
            <w:r>
              <w:rPr>
                <w:rFonts w:ascii="Times New Roman"/>
                <w:b w:val="false"/>
                <w:i w:val="false"/>
                <w:color w:val="000000"/>
                <w:sz w:val="24"/>
                <w:lang w:val="pl-PL"/>
              </w:rPr>
              <w:t>2) 0,60 - dla arkusza mapy w formacie A1;</w:t>
            </w:r>
          </w:p>
          <w:p>
            <w:pPr>
              <w:spacing w:before="25" w:after="0"/>
              <w:ind w:left="0"/>
              <w:jc w:val="left"/>
              <w:textAlignment w:val="auto"/>
            </w:pPr>
            <w:r>
              <w:rPr>
                <w:rFonts w:ascii="Times New Roman"/>
                <w:b w:val="false"/>
                <w:i w:val="false"/>
                <w:color w:val="000000"/>
                <w:sz w:val="24"/>
                <w:lang w:val="pl-PL"/>
              </w:rPr>
              <w:t>3) 0,40 - dla arkusza mapy w formacie A2;</w:t>
            </w:r>
          </w:p>
          <w:p>
            <w:pPr>
              <w:spacing w:before="25" w:after="0"/>
              <w:ind w:left="0"/>
              <w:jc w:val="left"/>
              <w:textAlignment w:val="auto"/>
            </w:pPr>
            <w:r>
              <w:rPr>
                <w:rFonts w:ascii="Times New Roman"/>
                <w:b w:val="false"/>
                <w:i w:val="false"/>
                <w:color w:val="000000"/>
                <w:sz w:val="24"/>
                <w:lang w:val="pl-PL"/>
              </w:rPr>
              <w:t>4) 0,25 - dla arkusza mapy w formacie A3;</w:t>
            </w:r>
          </w:p>
          <w:p>
            <w:pPr>
              <w:spacing w:before="25" w:after="0"/>
              <w:ind w:left="0"/>
              <w:jc w:val="left"/>
              <w:textAlignment w:val="auto"/>
            </w:pPr>
            <w:r>
              <w:rPr>
                <w:rFonts w:ascii="Times New Roman"/>
                <w:b w:val="false"/>
                <w:i w:val="false"/>
                <w:color w:val="000000"/>
                <w:sz w:val="24"/>
                <w:lang w:val="pl-PL"/>
              </w:rPr>
              <w:t>5) 0,15 - dla arkusza mapy w formacie A4.</w:t>
            </w:r>
          </w:p>
          <w:p>
            <w:pPr>
              <w:spacing w:before="25" w:after="0"/>
              <w:ind w:left="0"/>
              <w:jc w:val="left"/>
              <w:textAlignment w:val="auto"/>
            </w:pPr>
            <w:r>
              <w:rPr>
                <w:rFonts w:ascii="Times New Roman"/>
                <w:b w:val="false"/>
                <w:i w:val="false"/>
                <w:color w:val="000000"/>
                <w:sz w:val="24"/>
                <w:lang w:val="pl-PL"/>
              </w:rPr>
              <w:t xml:space="preserve">3. </w:t>
            </w:r>
            <w:r>
              <w:rPr>
                <w:rFonts w:ascii="Times New Roman"/>
                <w:b w:val="false"/>
                <w:i/>
                <w:color w:val="000000"/>
                <w:sz w:val="24"/>
                <w:lang w:val="pl-PL"/>
              </w:rPr>
              <w:t>AJ</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dla wydruku kolorowego;</w:t>
            </w:r>
          </w:p>
          <w:p>
            <w:pPr>
              <w:spacing w:before="25" w:after="0"/>
              <w:ind w:left="0"/>
              <w:jc w:val="left"/>
              <w:textAlignment w:val="auto"/>
            </w:pPr>
            <w:r>
              <w:rPr>
                <w:rFonts w:ascii="Times New Roman"/>
                <w:b w:val="false"/>
                <w:i w:val="false"/>
                <w:color w:val="000000"/>
                <w:sz w:val="24"/>
                <w:lang w:val="pl-PL"/>
              </w:rPr>
              <w:t>2) 0,7 - dla wydruku czarno-białego.</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Następna kopia arkusza mapy ewidencji gruntów i budynków, o którym mowa w lp. 1, wykonywana w ramach tego samego zamówienia, w postaci drukowanej</w:t>
            </w:r>
          </w:p>
        </w:tc>
        <w:tc>
          <w:tcPr>
            <w:tcW w:w="2743"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Arkusz formatu</w:t>
            </w:r>
          </w:p>
          <w:p>
            <w:pPr>
              <w:spacing w:before="25" w:after="0"/>
              <w:ind w:left="0"/>
              <w:jc w:val="center"/>
              <w:textAlignment w:val="auto"/>
            </w:pPr>
            <w:r>
              <w:rPr>
                <w:rFonts w:ascii="Times New Roman"/>
                <w:b w:val="false"/>
                <w:i w:val="false"/>
                <w:color w:val="000000"/>
                <w:sz w:val="24"/>
                <w:lang w:val="pl-PL"/>
              </w:rPr>
              <w:t>A0</w:t>
            </w: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59,92 zł</w:t>
            </w:r>
          </w:p>
        </w:tc>
        <w:tc>
          <w:tcPr>
            <w:tcW w:w="1074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1. </w:t>
            </w:r>
            <w:r>
              <w:rPr>
                <w:rFonts w:ascii="Times New Roman"/>
                <w:b w:val="false"/>
                <w:i/>
                <w:color w:val="000000"/>
                <w:sz w:val="24"/>
                <w:lang w:val="pl-PL"/>
              </w:rPr>
              <w:t>LR</w:t>
            </w:r>
            <w:r>
              <w:rPr>
                <w:rFonts w:ascii="Times New Roman"/>
                <w:b w:val="false"/>
                <w:i w:val="false"/>
                <w:color w:val="000000"/>
                <w:sz w:val="24"/>
                <w:lang w:val="pl-PL"/>
              </w:rPr>
              <w:t xml:space="preserve"> przyjmuje wartość 1,0.</w:t>
            </w:r>
          </w:p>
          <w:p>
            <w:pPr>
              <w:spacing w:before="25" w:after="0"/>
              <w:ind w:left="0"/>
              <w:jc w:val="left"/>
              <w:textAlignment w:val="auto"/>
            </w:pPr>
            <w:r>
              <w:rPr>
                <w:rFonts w:ascii="Times New Roman"/>
                <w:b w:val="false"/>
                <w:i w:val="false"/>
                <w:color w:val="000000"/>
                <w:sz w:val="24"/>
                <w:lang w:val="pl-PL"/>
              </w:rPr>
              <w:t xml:space="preserve">2. </w:t>
            </w:r>
            <w:r>
              <w:rPr>
                <w:rFonts w:ascii="Times New Roman"/>
                <w:b w:val="false"/>
                <w:i/>
                <w:color w:val="000000"/>
                <w:sz w:val="24"/>
                <w:lang w:val="pl-PL"/>
              </w:rPr>
              <w:t>PD</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1,00 - dla arkusza mapy w formacie A0;</w:t>
            </w:r>
          </w:p>
          <w:p>
            <w:pPr>
              <w:spacing w:before="25" w:after="0"/>
              <w:ind w:left="0"/>
              <w:jc w:val="left"/>
              <w:textAlignment w:val="auto"/>
            </w:pPr>
            <w:r>
              <w:rPr>
                <w:rFonts w:ascii="Times New Roman"/>
                <w:b w:val="false"/>
                <w:i w:val="false"/>
                <w:color w:val="000000"/>
                <w:sz w:val="24"/>
                <w:lang w:val="pl-PL"/>
              </w:rPr>
              <w:t>2) 0,60 - dla arkusza mapy w formacie A1;</w:t>
            </w:r>
          </w:p>
          <w:p>
            <w:pPr>
              <w:spacing w:before="25" w:after="0"/>
              <w:ind w:left="0"/>
              <w:jc w:val="left"/>
              <w:textAlignment w:val="auto"/>
            </w:pPr>
            <w:r>
              <w:rPr>
                <w:rFonts w:ascii="Times New Roman"/>
                <w:b w:val="false"/>
                <w:i w:val="false"/>
                <w:color w:val="000000"/>
                <w:sz w:val="24"/>
                <w:lang w:val="pl-PL"/>
              </w:rPr>
              <w:t>3) 0,40 - dla arkusza mapy w formacie A2;</w:t>
            </w:r>
          </w:p>
          <w:p>
            <w:pPr>
              <w:spacing w:before="25" w:after="0"/>
              <w:ind w:left="0"/>
              <w:jc w:val="left"/>
              <w:textAlignment w:val="auto"/>
            </w:pPr>
            <w:r>
              <w:rPr>
                <w:rFonts w:ascii="Times New Roman"/>
                <w:b w:val="false"/>
                <w:i w:val="false"/>
                <w:color w:val="000000"/>
                <w:sz w:val="24"/>
                <w:lang w:val="pl-PL"/>
              </w:rPr>
              <w:t>4) 0,25 - dla arkusza mapy w formacie A3;</w:t>
            </w:r>
          </w:p>
          <w:p>
            <w:pPr>
              <w:spacing w:before="25" w:after="0"/>
              <w:ind w:left="0"/>
              <w:jc w:val="left"/>
              <w:textAlignment w:val="auto"/>
            </w:pPr>
            <w:r>
              <w:rPr>
                <w:rFonts w:ascii="Times New Roman"/>
                <w:b w:val="false"/>
                <w:i w:val="false"/>
                <w:color w:val="000000"/>
                <w:sz w:val="24"/>
                <w:lang w:val="pl-PL"/>
              </w:rPr>
              <w:t>5) 0,15 - dla arkusza mapy w formacie A4.</w:t>
            </w:r>
          </w:p>
          <w:p>
            <w:pPr>
              <w:spacing w:before="25" w:after="0"/>
              <w:ind w:left="0"/>
              <w:jc w:val="left"/>
              <w:textAlignment w:val="auto"/>
            </w:pPr>
            <w:r>
              <w:rPr>
                <w:rFonts w:ascii="Times New Roman"/>
                <w:b w:val="false"/>
                <w:i w:val="false"/>
                <w:color w:val="000000"/>
                <w:sz w:val="24"/>
                <w:lang w:val="pl-PL"/>
              </w:rPr>
              <w:t xml:space="preserve">3. </w:t>
            </w:r>
            <w:r>
              <w:rPr>
                <w:rFonts w:ascii="Times New Roman"/>
                <w:b w:val="false"/>
                <w:i/>
                <w:color w:val="000000"/>
                <w:sz w:val="24"/>
                <w:lang w:val="pl-PL"/>
              </w:rPr>
              <w:t>AJ</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dla wydruku kolorowego;</w:t>
            </w:r>
          </w:p>
          <w:p>
            <w:pPr>
              <w:spacing w:before="25" w:after="0"/>
              <w:ind w:left="0"/>
              <w:jc w:val="left"/>
              <w:textAlignment w:val="auto"/>
            </w:pPr>
            <w:r>
              <w:rPr>
                <w:rFonts w:ascii="Times New Roman"/>
                <w:b w:val="false"/>
                <w:i w:val="false"/>
                <w:color w:val="000000"/>
                <w:sz w:val="24"/>
                <w:lang w:val="pl-PL"/>
              </w:rPr>
              <w:t>2) 0,7 - dla wydruku czarno-białego.</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3.</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Mapa ewidencji gruntów i budynków w postaci wektorowej</w:t>
            </w:r>
          </w:p>
        </w:tc>
        <w:tc>
          <w:tcPr>
            <w:tcW w:w="2743"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ha</w:t>
            </w: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14,97 zł</w:t>
            </w:r>
          </w:p>
        </w:tc>
        <w:tc>
          <w:tcPr>
            <w:tcW w:w="1074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 LR przyjmuje wartość:</w:t>
            </w:r>
          </w:p>
          <w:p>
            <w:pPr>
              <w:spacing w:before="25" w:after="0"/>
              <w:ind w:left="0"/>
              <w:jc w:val="left"/>
              <w:textAlignment w:val="auto"/>
            </w:pPr>
            <w:r>
              <w:rPr>
                <w:rFonts w:ascii="Times New Roman"/>
                <w:b w:val="false"/>
                <w:i w:val="false"/>
                <w:color w:val="000000"/>
                <w:sz w:val="24"/>
                <w:lang w:val="pl-PL"/>
              </w:rPr>
              <w:t>1) 1,0 - dla Ljr nie większej niż 10;</w:t>
            </w:r>
          </w:p>
          <w:p>
            <w:pPr>
              <w:spacing w:before="25" w:after="0"/>
              <w:ind w:left="0"/>
              <w:jc w:val="left"/>
              <w:textAlignment w:val="auto"/>
            </w:pPr>
            <w:r>
              <w:rPr>
                <w:rFonts w:ascii="Times New Roman"/>
                <w:b w:val="false"/>
                <w:i w:val="false"/>
                <w:color w:val="000000"/>
                <w:sz w:val="24"/>
                <w:lang w:val="pl-PL"/>
              </w:rPr>
              <w:t>2) 0,9 - dla Ljr większej niż 10, ale nie większej niż 100;</w:t>
            </w:r>
          </w:p>
          <w:p>
            <w:pPr>
              <w:spacing w:before="25" w:after="0"/>
              <w:ind w:left="0"/>
              <w:jc w:val="left"/>
              <w:textAlignment w:val="auto"/>
            </w:pPr>
            <w:r>
              <w:rPr>
                <w:rFonts w:ascii="Times New Roman"/>
                <w:b w:val="false"/>
                <w:i w:val="false"/>
                <w:color w:val="000000"/>
                <w:sz w:val="24"/>
                <w:lang w:val="pl-PL"/>
              </w:rPr>
              <w:t>3) 0,8 - dla Ljr większej od 100.</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4.</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Mapa ewidencji gruntów i budynków w postaci rastrowej</w:t>
            </w:r>
          </w:p>
        </w:tc>
        <w:tc>
          <w:tcPr>
            <w:tcW w:w="0" w:type="auto"/>
            <w:vMerge/>
            <w:tcBorders>
              <w:top w:val="nil"/>
              <w:bottom w:val="single" w:color="000000" w:sz="8"/>
              <w:right w:val="single" w:color="000000" w:sz="8"/>
            </w:tcBorders>
          </w:tcP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8,99 zł</w:t>
            </w:r>
          </w:p>
        </w:tc>
        <w:tc>
          <w:tcPr>
            <w:tcW w:w="1074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 AJ przyjmuje wartość:</w:t>
            </w:r>
          </w:p>
          <w:p>
            <w:pPr>
              <w:spacing w:before="25" w:after="0"/>
              <w:ind w:left="0"/>
              <w:jc w:val="left"/>
              <w:textAlignment w:val="auto"/>
            </w:pPr>
            <w:r>
              <w:rPr>
                <w:rFonts w:ascii="Times New Roman"/>
                <w:b w:val="false"/>
                <w:i w:val="false"/>
                <w:color w:val="000000"/>
                <w:sz w:val="24"/>
                <w:lang w:val="pl-PL"/>
              </w:rPr>
              <w:t>1) 1,0 - dla mapy w skali 1:500;</w:t>
            </w:r>
          </w:p>
          <w:p>
            <w:pPr>
              <w:spacing w:before="25" w:after="0"/>
              <w:ind w:left="0"/>
              <w:jc w:val="left"/>
              <w:textAlignment w:val="auto"/>
            </w:pPr>
            <w:r>
              <w:rPr>
                <w:rFonts w:ascii="Times New Roman"/>
                <w:b w:val="false"/>
                <w:i w:val="false"/>
                <w:color w:val="000000"/>
                <w:sz w:val="24"/>
                <w:lang w:val="pl-PL"/>
              </w:rPr>
              <w:t>2) 0,8 - dla mapy w skali 1:1000;</w:t>
            </w:r>
          </w:p>
          <w:p>
            <w:pPr>
              <w:spacing w:before="25" w:after="0"/>
              <w:ind w:left="0"/>
              <w:jc w:val="left"/>
              <w:textAlignment w:val="auto"/>
            </w:pPr>
            <w:r>
              <w:rPr>
                <w:rFonts w:ascii="Times New Roman"/>
                <w:b w:val="false"/>
                <w:i w:val="false"/>
                <w:color w:val="000000"/>
                <w:sz w:val="24"/>
                <w:lang w:val="pl-PL"/>
              </w:rPr>
              <w:t>3) 0,5 - dla mapy w skali 1:2000;</w:t>
            </w:r>
          </w:p>
          <w:p>
            <w:pPr>
              <w:spacing w:before="25" w:after="0"/>
              <w:ind w:left="0"/>
              <w:jc w:val="left"/>
              <w:textAlignment w:val="auto"/>
            </w:pPr>
            <w:r>
              <w:rPr>
                <w:rFonts w:ascii="Times New Roman"/>
                <w:b w:val="false"/>
                <w:i w:val="false"/>
                <w:color w:val="000000"/>
                <w:sz w:val="24"/>
                <w:lang w:val="pl-PL"/>
              </w:rPr>
              <w:t>4) 0,3 - dla mapy w skali 1:5000.</w:t>
            </w:r>
          </w:p>
          <w:p>
            <w:pPr>
              <w:spacing w:before="25" w:after="0"/>
              <w:ind w:left="0"/>
              <w:jc w:val="left"/>
              <w:textAlignment w:val="auto"/>
            </w:pPr>
            <w:r>
              <w:rPr>
                <w:rFonts w:ascii="Times New Roman"/>
                <w:b w:val="false"/>
                <w:i w:val="false"/>
                <w:color w:val="000000"/>
                <w:sz w:val="24"/>
                <w:lang w:val="pl-PL"/>
              </w:rPr>
              <w:t>3. PD przyjmuje wartość 1,0.</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5.</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Kopia rejestru gruntów w postaci drukowanej</w:t>
            </w:r>
          </w:p>
        </w:tc>
        <w:tc>
          <w:tcPr>
            <w:tcW w:w="2743"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Obręb ewidencyjny</w:t>
            </w: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1497,96 zł</w:t>
            </w:r>
          </w:p>
        </w:tc>
        <w:tc>
          <w:tcPr>
            <w:tcW w:w="1074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1. </w:t>
            </w:r>
            <w:r>
              <w:rPr>
                <w:rFonts w:ascii="Times New Roman"/>
                <w:b w:val="false"/>
                <w:i/>
                <w:color w:val="000000"/>
                <w:sz w:val="24"/>
                <w:lang w:val="pl-PL"/>
              </w:rPr>
              <w:t>LR</w:t>
            </w:r>
            <w:r>
              <w:rPr>
                <w:rFonts w:ascii="Times New Roman"/>
                <w:b w:val="false"/>
                <w:i w:val="false"/>
                <w:color w:val="000000"/>
                <w:sz w:val="24"/>
                <w:lang w:val="pl-PL"/>
              </w:rPr>
              <w:t xml:space="preserve"> przyjmuje wartość 1,0.</w:t>
            </w:r>
          </w:p>
          <w:p>
            <w:pPr>
              <w:spacing w:before="25" w:after="0"/>
              <w:ind w:left="0"/>
              <w:jc w:val="left"/>
              <w:textAlignment w:val="auto"/>
            </w:pPr>
            <w:r>
              <w:rPr>
                <w:rFonts w:ascii="Times New Roman"/>
                <w:b w:val="false"/>
                <w:i w:val="false"/>
                <w:color w:val="000000"/>
                <w:sz w:val="24"/>
                <w:lang w:val="pl-PL"/>
              </w:rPr>
              <w:t xml:space="preserve">2. </w:t>
            </w:r>
            <w:r>
              <w:rPr>
                <w:rFonts w:ascii="Times New Roman"/>
                <w:b w:val="false"/>
                <w:i/>
                <w:color w:val="000000"/>
                <w:sz w:val="24"/>
                <w:lang w:val="pl-PL"/>
              </w:rPr>
              <w:t>PD</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dla obrębów ewidencyjnych o powierzchni większej niż 600 ha;</w:t>
            </w:r>
          </w:p>
          <w:p>
            <w:pPr>
              <w:spacing w:before="25" w:after="0"/>
              <w:ind w:left="0"/>
              <w:jc w:val="left"/>
              <w:textAlignment w:val="auto"/>
            </w:pPr>
            <w:r>
              <w:rPr>
                <w:rFonts w:ascii="Times New Roman"/>
                <w:b w:val="false"/>
                <w:i w:val="false"/>
                <w:color w:val="000000"/>
                <w:sz w:val="24"/>
                <w:lang w:val="pl-PL"/>
              </w:rPr>
              <w:t>2) 0,7 - dla obrębów ewidencyjnych o powierzchni w przedziale 300 - 600 ha;</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6.</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Kopia rejestru gruntów w postaci elektronicznej</w:t>
            </w:r>
          </w:p>
        </w:tc>
        <w:tc>
          <w:tcPr>
            <w:tcW w:w="0" w:type="auto"/>
            <w:vMerge/>
            <w:tcBorders>
              <w:top w:val="nil"/>
              <w:bottom w:val="single" w:color="000000" w:sz="8"/>
              <w:right w:val="single" w:color="000000" w:sz="8"/>
            </w:tcBorders>
          </w:tcP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1048,55 zł</w:t>
            </w:r>
          </w:p>
        </w:tc>
        <w:tc>
          <w:tcPr>
            <w:tcW w:w="1074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3) 0,5 - dla obrębów ewidencyjnych o powierzchni mniejszej niż 300 ha, ale większej niż 100 ha;</w:t>
            </w:r>
          </w:p>
          <w:p>
            <w:pPr>
              <w:spacing w:before="25" w:after="0"/>
              <w:ind w:left="0"/>
              <w:jc w:val="left"/>
              <w:textAlignment w:val="auto"/>
            </w:pPr>
            <w:r>
              <w:rPr>
                <w:rFonts w:ascii="Times New Roman"/>
                <w:b w:val="false"/>
                <w:i w:val="false"/>
                <w:color w:val="000000"/>
                <w:sz w:val="24"/>
                <w:lang w:val="pl-PL"/>
              </w:rPr>
              <w:t>4) 0,3 - dla obrębów ewidencyjnych o powierzchni nie większej niż 100 ha.</w:t>
            </w:r>
          </w:p>
          <w:p>
            <w:pPr>
              <w:spacing w:before="25" w:after="0"/>
              <w:ind w:left="0"/>
              <w:jc w:val="left"/>
              <w:textAlignment w:val="auto"/>
            </w:pPr>
            <w:r>
              <w:rPr>
                <w:rFonts w:ascii="Times New Roman"/>
                <w:b w:val="false"/>
                <w:i w:val="false"/>
                <w:color w:val="000000"/>
                <w:sz w:val="24"/>
                <w:lang w:val="pl-PL"/>
              </w:rPr>
              <w:t xml:space="preserve">3. </w:t>
            </w:r>
            <w:r>
              <w:rPr>
                <w:rFonts w:ascii="Times New Roman"/>
                <w:b w:val="false"/>
                <w:i/>
                <w:color w:val="000000"/>
                <w:sz w:val="24"/>
                <w:lang w:val="pl-PL"/>
              </w:rPr>
              <w:t>AJ</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w przypadku udostępniania kopii rejestru o pełnej treści;</w:t>
            </w:r>
          </w:p>
          <w:p>
            <w:pPr>
              <w:spacing w:before="25" w:after="0"/>
              <w:ind w:left="0"/>
              <w:jc w:val="left"/>
              <w:textAlignment w:val="auto"/>
            </w:pPr>
            <w:r>
              <w:rPr>
                <w:rFonts w:ascii="Times New Roman"/>
                <w:b w:val="false"/>
                <w:i w:val="false"/>
                <w:color w:val="000000"/>
                <w:sz w:val="24"/>
                <w:lang w:val="pl-PL"/>
              </w:rPr>
              <w:t>2) 0,7 - w przypadku udostępniania kopii rejestru bez danych osobowych.</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7.</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Kopia kartoteki budynków w granicach miasta w postaci drukowanej</w:t>
            </w:r>
          </w:p>
        </w:tc>
        <w:tc>
          <w:tcPr>
            <w:tcW w:w="0" w:type="auto"/>
            <w:vMerge/>
            <w:tcBorders>
              <w:top w:val="nil"/>
              <w:bottom w:val="single" w:color="000000" w:sz="8"/>
              <w:right w:val="single" w:color="000000" w:sz="8"/>
            </w:tcBorders>
          </w:tcP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1497,96 zł</w:t>
            </w:r>
          </w:p>
        </w:tc>
        <w:tc>
          <w:tcPr>
            <w:tcW w:w="10747"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1. </w:t>
            </w:r>
            <w:r>
              <w:rPr>
                <w:rFonts w:ascii="Times New Roman"/>
                <w:b w:val="false"/>
                <w:i/>
                <w:color w:val="000000"/>
                <w:sz w:val="24"/>
                <w:lang w:val="pl-PL"/>
              </w:rPr>
              <w:t>PD</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dla obrębów ewidencyjnych o powierzchni większej niż 600 ha;</w:t>
            </w:r>
          </w:p>
          <w:p>
            <w:pPr>
              <w:spacing w:before="25" w:after="0"/>
              <w:ind w:left="0"/>
              <w:jc w:val="left"/>
              <w:textAlignment w:val="auto"/>
            </w:pPr>
            <w:r>
              <w:rPr>
                <w:rFonts w:ascii="Times New Roman"/>
                <w:b w:val="false"/>
                <w:i w:val="false"/>
                <w:color w:val="000000"/>
                <w:sz w:val="24"/>
                <w:lang w:val="pl-PL"/>
              </w:rPr>
              <w:t>2) 0,7 - dla obrębów ewidencyjnych o powierzchni w przedziale 300 - 600 ha;</w:t>
            </w:r>
          </w:p>
          <w:p>
            <w:pPr>
              <w:spacing w:before="25" w:after="0"/>
              <w:ind w:left="0"/>
              <w:jc w:val="left"/>
              <w:textAlignment w:val="auto"/>
            </w:pPr>
            <w:r>
              <w:rPr>
                <w:rFonts w:ascii="Times New Roman"/>
                <w:b w:val="false"/>
                <w:i w:val="false"/>
                <w:color w:val="000000"/>
                <w:sz w:val="24"/>
                <w:lang w:val="pl-PL"/>
              </w:rPr>
              <w:t>3) 0,5 - dla obrębów ewidencyjnych o powierzchni mniejszej niż 300 ha, ale większej niż 100 ha;</w:t>
            </w:r>
          </w:p>
          <w:p>
            <w:pPr>
              <w:spacing w:before="25" w:after="0"/>
              <w:ind w:left="0"/>
              <w:jc w:val="left"/>
              <w:textAlignment w:val="auto"/>
            </w:pPr>
            <w:r>
              <w:rPr>
                <w:rFonts w:ascii="Times New Roman"/>
                <w:b w:val="false"/>
                <w:i w:val="false"/>
                <w:color w:val="000000"/>
                <w:sz w:val="24"/>
                <w:lang w:val="pl-PL"/>
              </w:rPr>
              <w:t>4) 0,3 - dla obrębów ewidencyjnych o powierzchni nie większej niż 100 ha.</w:t>
            </w:r>
          </w:p>
          <w:p>
            <w:pPr>
              <w:spacing w:before="25" w:after="0"/>
              <w:ind w:left="0"/>
              <w:jc w:val="left"/>
              <w:textAlignment w:val="auto"/>
            </w:pPr>
            <w:r>
              <w:rPr>
                <w:rFonts w:ascii="Times New Roman"/>
                <w:b w:val="false"/>
                <w:i w:val="false"/>
                <w:color w:val="000000"/>
                <w:sz w:val="24"/>
                <w:lang w:val="pl-PL"/>
              </w:rPr>
              <w:t xml:space="preserve">2. </w:t>
            </w:r>
            <w:r>
              <w:rPr>
                <w:rFonts w:ascii="Times New Roman"/>
                <w:b w:val="false"/>
                <w:i/>
                <w:color w:val="000000"/>
                <w:sz w:val="24"/>
                <w:lang w:val="pl-PL"/>
              </w:rPr>
              <w:t>LR</w:t>
            </w:r>
            <w:r>
              <w:rPr>
                <w:rFonts w:ascii="Times New Roman"/>
                <w:b w:val="false"/>
                <w:i w:val="false"/>
                <w:color w:val="000000"/>
                <w:sz w:val="24"/>
                <w:lang w:val="pl-PL"/>
              </w:rPr>
              <w:t xml:space="preserve"> i </w:t>
            </w:r>
            <w:r>
              <w:rPr>
                <w:rFonts w:ascii="Times New Roman"/>
                <w:b w:val="false"/>
                <w:i/>
                <w:color w:val="000000"/>
                <w:sz w:val="24"/>
                <w:lang w:val="pl-PL"/>
              </w:rPr>
              <w:t>AJ</w:t>
            </w:r>
            <w:r>
              <w:rPr>
                <w:rFonts w:ascii="Times New Roman"/>
                <w:b w:val="false"/>
                <w:i w:val="false"/>
                <w:color w:val="000000"/>
                <w:sz w:val="24"/>
                <w:lang w:val="pl-PL"/>
              </w:rPr>
              <w:t xml:space="preserve"> przyjmują wartość 1,0.</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8.</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Kopia kartoteki budynków w granicach obszaru wiejskiego w postaci drukowanej</w:t>
            </w:r>
          </w:p>
        </w:tc>
        <w:tc>
          <w:tcPr>
            <w:tcW w:w="0" w:type="auto"/>
            <w:vMerge/>
            <w:tcBorders>
              <w:top w:val="nil"/>
              <w:bottom w:val="single" w:color="000000" w:sz="8"/>
              <w:right w:val="single" w:color="000000" w:sz="8"/>
            </w:tcBorders>
          </w:tcP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898,77 zł</w:t>
            </w:r>
          </w:p>
        </w:tc>
        <w:tc>
          <w:tcPr>
            <w:tcW w:w="0" w:type="auto"/>
            <w:vMerge/>
            <w:tcBorders>
              <w:top w:val="nil"/>
              <w:bottom w:val="single" w:color="000000" w:sz="8"/>
              <w:right w:val="single" w:color="000000" w:sz="8"/>
            </w:tcBorders>
          </w:tcP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9.</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Kopia kartoteki budynków w granicach miasta w postaci elektronicznej</w:t>
            </w:r>
          </w:p>
        </w:tc>
        <w:tc>
          <w:tcPr>
            <w:tcW w:w="0" w:type="auto"/>
            <w:vMerge/>
            <w:tcBorders>
              <w:top w:val="nil"/>
              <w:bottom w:val="single" w:color="000000" w:sz="8"/>
              <w:right w:val="single" w:color="000000" w:sz="8"/>
            </w:tcBorders>
          </w:tcP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1048,55 zł</w:t>
            </w:r>
          </w:p>
        </w:tc>
        <w:tc>
          <w:tcPr>
            <w:tcW w:w="0" w:type="auto"/>
            <w:vMerge/>
            <w:tcBorders>
              <w:top w:val="nil"/>
              <w:bottom w:val="single" w:color="000000" w:sz="8"/>
              <w:right w:val="single" w:color="000000" w:sz="8"/>
            </w:tcBorders>
          </w:tcP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10.</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Kopia kartoteki budynków w granicach obszaru wiejskiego w postaci elektronicznej</w:t>
            </w:r>
          </w:p>
        </w:tc>
        <w:tc>
          <w:tcPr>
            <w:tcW w:w="0" w:type="auto"/>
            <w:vMerge/>
            <w:tcBorders>
              <w:top w:val="nil"/>
              <w:bottom w:val="single" w:color="000000" w:sz="8"/>
              <w:right w:val="single" w:color="000000" w:sz="8"/>
            </w:tcBorders>
          </w:tcP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599,18 zł</w:t>
            </w:r>
          </w:p>
        </w:tc>
        <w:tc>
          <w:tcPr>
            <w:tcW w:w="0" w:type="auto"/>
            <w:vMerge/>
            <w:tcBorders>
              <w:top w:val="nil"/>
              <w:bottom w:val="single" w:color="000000" w:sz="8"/>
              <w:right w:val="single" w:color="000000" w:sz="8"/>
            </w:tcBorders>
          </w:tcP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11.</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Kopia rejestru budynków w granicach miasta w postaci drukowanej</w:t>
            </w:r>
          </w:p>
        </w:tc>
        <w:tc>
          <w:tcPr>
            <w:tcW w:w="0" w:type="auto"/>
            <w:vMerge/>
            <w:tcBorders>
              <w:top w:val="nil"/>
              <w:bottom w:val="single" w:color="000000" w:sz="8"/>
              <w:right w:val="single" w:color="000000" w:sz="8"/>
            </w:tcBorders>
          </w:tcP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299,59 zł</w:t>
            </w:r>
          </w:p>
        </w:tc>
        <w:tc>
          <w:tcPr>
            <w:tcW w:w="0" w:type="auto"/>
            <w:vMerge/>
            <w:tcBorders>
              <w:top w:val="nil"/>
              <w:bottom w:val="single" w:color="000000" w:sz="8"/>
              <w:right w:val="single" w:color="000000" w:sz="8"/>
            </w:tcBorders>
          </w:tcP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12.</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Kopia rejestru budynków w granicach obszaru wiejskiego w postaci drukowanej</w:t>
            </w:r>
          </w:p>
        </w:tc>
        <w:tc>
          <w:tcPr>
            <w:tcW w:w="0" w:type="auto"/>
            <w:vMerge/>
            <w:tcBorders>
              <w:top w:val="nil"/>
              <w:bottom w:val="single" w:color="000000" w:sz="8"/>
              <w:right w:val="single" w:color="000000" w:sz="8"/>
            </w:tcBorders>
          </w:tcP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29,97 zł</w:t>
            </w:r>
          </w:p>
        </w:tc>
        <w:tc>
          <w:tcPr>
            <w:tcW w:w="0" w:type="auto"/>
            <w:vMerge/>
            <w:tcBorders>
              <w:top w:val="nil"/>
              <w:bottom w:val="single" w:color="000000" w:sz="8"/>
              <w:right w:val="single" w:color="000000" w:sz="8"/>
            </w:tcBorders>
          </w:tcP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13.</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Kopia rejestru budynków w granicach miasta w postaci elektronicznej</w:t>
            </w:r>
          </w:p>
        </w:tc>
        <w:tc>
          <w:tcPr>
            <w:tcW w:w="0" w:type="auto"/>
            <w:vMerge/>
            <w:tcBorders>
              <w:top w:val="nil"/>
              <w:bottom w:val="single" w:color="000000" w:sz="8"/>
              <w:right w:val="single" w:color="000000" w:sz="8"/>
            </w:tcBorders>
          </w:tcP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224,71 zł</w:t>
            </w:r>
          </w:p>
        </w:tc>
        <w:tc>
          <w:tcPr>
            <w:tcW w:w="0" w:type="auto"/>
            <w:vMerge/>
            <w:tcBorders>
              <w:top w:val="nil"/>
              <w:bottom w:val="single" w:color="000000" w:sz="8"/>
              <w:right w:val="single" w:color="000000" w:sz="8"/>
            </w:tcBorders>
          </w:tcP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14.</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Kopia rejestru budynków w granicach obszaru wiejskiego w postaci elektronicznej</w:t>
            </w:r>
          </w:p>
        </w:tc>
        <w:tc>
          <w:tcPr>
            <w:tcW w:w="0" w:type="auto"/>
            <w:vMerge/>
            <w:tcBorders>
              <w:top w:val="nil"/>
              <w:bottom w:val="single" w:color="000000" w:sz="8"/>
              <w:right w:val="single" w:color="000000" w:sz="8"/>
            </w:tcBorders>
          </w:tcP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22,47 zł</w:t>
            </w:r>
          </w:p>
        </w:tc>
        <w:tc>
          <w:tcPr>
            <w:tcW w:w="0" w:type="auto"/>
            <w:vMerge/>
            <w:tcBorders>
              <w:top w:val="nil"/>
              <w:bottom w:val="single" w:color="000000" w:sz="8"/>
              <w:right w:val="single" w:color="000000" w:sz="8"/>
            </w:tcBorders>
          </w:tcP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15.</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Kopia rejestru lub kartoteki lokali w granicach miasta w postaci drukowanej</w:t>
            </w:r>
          </w:p>
        </w:tc>
        <w:tc>
          <w:tcPr>
            <w:tcW w:w="0" w:type="auto"/>
            <w:vMerge/>
            <w:tcBorders>
              <w:top w:val="nil"/>
              <w:bottom w:val="single" w:color="000000" w:sz="8"/>
              <w:right w:val="single" w:color="000000" w:sz="8"/>
            </w:tcBorders>
          </w:tcP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1048,55 zł</w:t>
            </w:r>
          </w:p>
        </w:tc>
        <w:tc>
          <w:tcPr>
            <w:tcW w:w="0" w:type="auto"/>
            <w:vMerge/>
            <w:tcBorders>
              <w:top w:val="nil"/>
              <w:bottom w:val="single" w:color="000000" w:sz="8"/>
              <w:right w:val="single" w:color="000000" w:sz="8"/>
            </w:tcBorders>
          </w:tcP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16.</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Kopia rejestru lub kartoteki lokali w granicach obszaru wiejskiego w postaci drukowanej</w:t>
            </w:r>
          </w:p>
        </w:tc>
        <w:tc>
          <w:tcPr>
            <w:tcW w:w="0" w:type="auto"/>
            <w:vMerge/>
            <w:tcBorders>
              <w:top w:val="nil"/>
              <w:bottom w:val="single" w:color="000000" w:sz="8"/>
              <w:right w:val="single" w:color="000000" w:sz="8"/>
            </w:tcBorders>
          </w:tcP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149,79 zł</w:t>
            </w:r>
          </w:p>
        </w:tc>
        <w:tc>
          <w:tcPr>
            <w:tcW w:w="0" w:type="auto"/>
            <w:vMerge/>
            <w:tcBorders>
              <w:top w:val="nil"/>
              <w:bottom w:val="single" w:color="000000" w:sz="8"/>
              <w:right w:val="single" w:color="000000" w:sz="8"/>
            </w:tcBorders>
          </w:tcP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17.</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Kopia rejestru lub kartoteki lokali w granicach miasta w postaci elektronicznej</w:t>
            </w:r>
          </w:p>
        </w:tc>
        <w:tc>
          <w:tcPr>
            <w:tcW w:w="0" w:type="auto"/>
            <w:vMerge/>
            <w:tcBorders>
              <w:top w:val="nil"/>
              <w:bottom w:val="single" w:color="000000" w:sz="8"/>
              <w:right w:val="single" w:color="000000" w:sz="8"/>
            </w:tcBorders>
          </w:tcP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748,97 zł</w:t>
            </w:r>
          </w:p>
        </w:tc>
        <w:tc>
          <w:tcPr>
            <w:tcW w:w="0" w:type="auto"/>
            <w:vMerge/>
            <w:tcBorders>
              <w:top w:val="nil"/>
              <w:bottom w:val="single" w:color="000000" w:sz="8"/>
              <w:right w:val="single" w:color="000000" w:sz="8"/>
            </w:tcBorders>
          </w:tcP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18.</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Kopia rejestru lub kartoteki lokali w granicach obszaru wiejskiego w postaci elektronicznej</w:t>
            </w:r>
          </w:p>
        </w:tc>
        <w:tc>
          <w:tcPr>
            <w:tcW w:w="0" w:type="auto"/>
            <w:vMerge/>
            <w:tcBorders>
              <w:top w:val="nil"/>
              <w:bottom w:val="single" w:color="000000" w:sz="8"/>
              <w:right w:val="single" w:color="000000" w:sz="8"/>
            </w:tcBorders>
          </w:tcP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104,86 zł</w:t>
            </w:r>
          </w:p>
        </w:tc>
        <w:tc>
          <w:tcPr>
            <w:tcW w:w="0" w:type="auto"/>
            <w:vMerge/>
            <w:tcBorders>
              <w:top w:val="nil"/>
              <w:bottom w:val="single" w:color="000000" w:sz="8"/>
              <w:right w:val="single" w:color="000000" w:sz="8"/>
            </w:tcBorders>
          </w:tcP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19.</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Wykaz (skorowidz) działek ewidencyjnych</w:t>
            </w:r>
          </w:p>
        </w:tc>
        <w:tc>
          <w:tcPr>
            <w:tcW w:w="2743"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Działka ewidencyjna w granicach jednego obrębu</w:t>
            </w: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0,36 zł</w:t>
            </w:r>
          </w:p>
        </w:tc>
        <w:tc>
          <w:tcPr>
            <w:tcW w:w="10747"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1. </w:t>
            </w:r>
            <w:r>
              <w:rPr>
                <w:rFonts w:ascii="Times New Roman"/>
                <w:b w:val="false"/>
                <w:i/>
                <w:color w:val="000000"/>
                <w:sz w:val="24"/>
                <w:lang w:val="pl-PL"/>
              </w:rPr>
              <w:t>LR</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dla Ljr nie większej niż 100;</w:t>
            </w:r>
          </w:p>
          <w:p>
            <w:pPr>
              <w:spacing w:before="25" w:after="0"/>
              <w:ind w:left="0"/>
              <w:jc w:val="left"/>
              <w:textAlignment w:val="auto"/>
            </w:pPr>
            <w:r>
              <w:rPr>
                <w:rFonts w:ascii="Times New Roman"/>
                <w:b w:val="false"/>
                <w:i w:val="false"/>
                <w:color w:val="000000"/>
                <w:sz w:val="24"/>
                <w:lang w:val="pl-PL"/>
              </w:rPr>
              <w:t>2) 0,4 - dla Ljr w przedziale 101-1000;</w:t>
            </w:r>
          </w:p>
          <w:p>
            <w:pPr>
              <w:spacing w:before="25" w:after="0"/>
              <w:ind w:left="0"/>
              <w:jc w:val="left"/>
              <w:textAlignment w:val="auto"/>
            </w:pPr>
            <w:r>
              <w:rPr>
                <w:rFonts w:ascii="Times New Roman"/>
                <w:b w:val="false"/>
                <w:i w:val="false"/>
                <w:color w:val="000000"/>
                <w:sz w:val="24"/>
                <w:lang w:val="pl-PL"/>
              </w:rPr>
              <w:t>3) 0,1 - dla Ljr powyżej 1000.</w:t>
            </w:r>
          </w:p>
          <w:p>
            <w:pPr>
              <w:spacing w:before="25" w:after="0"/>
              <w:ind w:left="0"/>
              <w:jc w:val="left"/>
              <w:textAlignment w:val="auto"/>
            </w:pPr>
            <w:r>
              <w:rPr>
                <w:rFonts w:ascii="Times New Roman"/>
                <w:b w:val="false"/>
                <w:i w:val="false"/>
                <w:color w:val="000000"/>
                <w:sz w:val="24"/>
                <w:lang w:val="pl-PL"/>
              </w:rPr>
              <w:t xml:space="preserve">2. </w:t>
            </w:r>
            <w:r>
              <w:rPr>
                <w:rFonts w:ascii="Times New Roman"/>
                <w:b w:val="false"/>
                <w:i/>
                <w:color w:val="000000"/>
                <w:sz w:val="24"/>
                <w:lang w:val="pl-PL"/>
              </w:rPr>
              <w:t>PD</w:t>
            </w:r>
            <w:r>
              <w:rPr>
                <w:rFonts w:ascii="Times New Roman"/>
                <w:b w:val="false"/>
                <w:i w:val="false"/>
                <w:color w:val="000000"/>
                <w:sz w:val="24"/>
                <w:lang w:val="pl-PL"/>
              </w:rPr>
              <w:t xml:space="preserve"> i </w:t>
            </w:r>
            <w:r>
              <w:rPr>
                <w:rFonts w:ascii="Times New Roman"/>
                <w:b w:val="false"/>
                <w:i/>
                <w:color w:val="000000"/>
                <w:sz w:val="24"/>
                <w:lang w:val="pl-PL"/>
              </w:rPr>
              <w:t>AJ</w:t>
            </w:r>
            <w:r>
              <w:rPr>
                <w:rFonts w:ascii="Times New Roman"/>
                <w:b w:val="false"/>
                <w:i w:val="false"/>
                <w:color w:val="000000"/>
                <w:sz w:val="24"/>
                <w:lang w:val="pl-PL"/>
              </w:rPr>
              <w:t xml:space="preserve"> przyjmują wartość 1,0.</w:t>
            </w:r>
          </w:p>
        </w:tc>
      </w:tr>
      <w:tr>
        <w:trPr>
          <w:trHeight w:val="45" w:hRule="atLeast"/>
        </w:trPr>
        <w:tc>
          <w:tcPr>
            <w:tcW w:w="685"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20.</w:t>
            </w:r>
          </w:p>
        </w:tc>
        <w:tc>
          <w:tcPr>
            <w:tcW w:w="617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Wykaz podmiotów, ujawnionych w bazie danych ewidencji gruntów i budynków</w:t>
            </w:r>
          </w:p>
        </w:tc>
        <w:tc>
          <w:tcPr>
            <w:tcW w:w="2743"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Osoba lub inny podmiot</w:t>
            </w: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0,63 zł</w:t>
            </w:r>
          </w:p>
        </w:tc>
        <w:tc>
          <w:tcPr>
            <w:tcW w:w="0" w:type="auto"/>
            <w:vMerge/>
            <w:tcBorders>
              <w:top w:val="nil"/>
              <w:bottom w:val="single" w:color="000000" w:sz="8"/>
              <w:right w:val="single" w:color="000000" w:sz="8"/>
            </w:tcBorders>
          </w:tcPr>
          <w:p/>
        </w:tc>
      </w:tr>
      <w:tr>
        <w:trPr>
          <w:trHeight w:val="45" w:hRule="atLeast"/>
        </w:trPr>
        <w:tc>
          <w:tcPr>
            <w:tcW w:w="685"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21.</w:t>
            </w:r>
          </w:p>
        </w:tc>
        <w:tc>
          <w:tcPr>
            <w:tcW w:w="6173"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(uchylona)</w:t>
            </w:r>
          </w:p>
        </w:tc>
        <w:tc>
          <w:tcPr>
            <w:tcW w:w="2743" w:type="dxa"/>
            <w:tcBorders>
              <w:bottom w:val="single" w:color="000000" w:sz="8"/>
              <w:right w:val="single" w:color="000000" w:sz="8"/>
            </w:tcBorders>
            <w:tcMar>
              <w:top w:w="15" w:type="dxa"/>
              <w:left w:w="15" w:type="dxa"/>
              <w:bottom w:w="15" w:type="dxa"/>
              <w:right w:w="15" w:type="dxa"/>
            </w:tcMar>
            <w:vAlign w:val="center"/>
          </w:tcPr>
          <w:p/>
        </w:tc>
        <w:tc>
          <w:tcPr>
            <w:tcW w:w="2057" w:type="dxa"/>
            <w:tcBorders>
              <w:bottom w:val="single" w:color="000000" w:sz="8"/>
              <w:right w:val="single" w:color="000000" w:sz="8"/>
            </w:tcBorders>
            <w:tcMar>
              <w:top w:w="15" w:type="dxa"/>
              <w:left w:w="15" w:type="dxa"/>
              <w:bottom w:w="15" w:type="dxa"/>
              <w:right w:w="15" w:type="dxa"/>
            </w:tcMar>
            <w:vAlign w:val="center"/>
          </w:tcPr>
          <w:p/>
        </w:tc>
        <w:tc>
          <w:tcPr>
            <w:tcW w:w="10747"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val="false"/>
                <w:i/>
                <w:color w:val="000000"/>
                <w:sz w:val="24"/>
                <w:lang w:val="pl-PL"/>
              </w:rPr>
              <w:t>LR</w:t>
            </w:r>
            <w:r>
              <w:rPr>
                <w:rFonts w:ascii="Times New Roman"/>
                <w:b w:val="false"/>
                <w:i w:val="false"/>
                <w:color w:val="000000"/>
                <w:sz w:val="24"/>
                <w:lang w:val="pl-PL"/>
              </w:rPr>
              <w:t xml:space="preserve">, </w:t>
            </w:r>
            <w:r>
              <w:rPr>
                <w:rFonts w:ascii="Times New Roman"/>
                <w:b w:val="false"/>
                <w:i/>
                <w:color w:val="000000"/>
                <w:sz w:val="24"/>
                <w:lang w:val="pl-PL"/>
              </w:rPr>
              <w:t>PD</w:t>
            </w:r>
            <w:r>
              <w:rPr>
                <w:rFonts w:ascii="Times New Roman"/>
                <w:b w:val="false"/>
                <w:i w:val="false"/>
                <w:color w:val="000000"/>
                <w:sz w:val="24"/>
                <w:lang w:val="pl-PL"/>
              </w:rPr>
              <w:t xml:space="preserve"> i </w:t>
            </w:r>
            <w:r>
              <w:rPr>
                <w:rFonts w:ascii="Times New Roman"/>
                <w:b w:val="false"/>
                <w:i/>
                <w:color w:val="000000"/>
                <w:sz w:val="24"/>
                <w:lang w:val="pl-PL"/>
              </w:rPr>
              <w:t>AJ</w:t>
            </w:r>
            <w:r>
              <w:rPr>
                <w:rFonts w:ascii="Times New Roman"/>
                <w:b w:val="false"/>
                <w:i w:val="false"/>
                <w:color w:val="000000"/>
                <w:sz w:val="24"/>
                <w:lang w:val="pl-PL"/>
              </w:rPr>
              <w:t xml:space="preserve"> przyjmują wartość 1,0.</w:t>
            </w:r>
          </w:p>
        </w:tc>
      </w:tr>
      <w:tr>
        <w:trPr>
          <w:trHeight w:val="45" w:hRule="atLeast"/>
        </w:trPr>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c>
          <w:tcPr>
            <w:tcW w:w="2743" w:type="dxa"/>
            <w:tcBorders>
              <w:bottom w:val="single" w:color="000000" w:sz="8"/>
              <w:right w:val="single" w:color="000000" w:sz="8"/>
            </w:tcBorders>
            <w:tcMar>
              <w:top w:w="15" w:type="dxa"/>
              <w:left w:w="15" w:type="dxa"/>
              <w:bottom w:w="15" w:type="dxa"/>
              <w:right w:w="15" w:type="dxa"/>
            </w:tcMar>
            <w:vAlign w:val="center"/>
          </w:tcPr>
          <w:p/>
        </w:tc>
        <w:tc>
          <w:tcPr>
            <w:tcW w:w="2057" w:type="dxa"/>
            <w:tcBorders>
              <w:bottom w:val="single" w:color="000000" w:sz="8"/>
              <w:right w:val="single" w:color="000000" w:sz="8"/>
            </w:tcBorders>
            <w:tcMar>
              <w:top w:w="15" w:type="dxa"/>
              <w:left w:w="15" w:type="dxa"/>
              <w:bottom w:w="15" w:type="dxa"/>
              <w:right w:w="15" w:type="dxa"/>
            </w:tcMar>
            <w:vAlign w:val="center"/>
          </w:tcPr>
          <w:p/>
        </w:tc>
        <w:tc>
          <w:tcPr>
            <w:tcW w:w="0" w:type="auto"/>
            <w:vMerge/>
            <w:tcBorders>
              <w:top w:val="nil"/>
              <w:bottom w:val="single" w:color="000000" w:sz="8"/>
              <w:right w:val="single" w:color="000000" w:sz="8"/>
            </w:tcBorders>
          </w:tcPr>
          <w:p/>
        </w:tc>
      </w:tr>
      <w:tr>
        <w:trPr>
          <w:trHeight w:val="45" w:hRule="atLeast"/>
        </w:trPr>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c>
          <w:tcPr>
            <w:tcW w:w="2743" w:type="dxa"/>
            <w:tcBorders>
              <w:bottom w:val="single" w:color="000000" w:sz="8"/>
              <w:right w:val="single" w:color="000000" w:sz="8"/>
            </w:tcBorders>
            <w:tcMar>
              <w:top w:w="15" w:type="dxa"/>
              <w:left w:w="15" w:type="dxa"/>
              <w:bottom w:w="15" w:type="dxa"/>
              <w:right w:w="15" w:type="dxa"/>
            </w:tcMar>
            <w:vAlign w:val="center"/>
          </w:tcPr>
          <w:p/>
        </w:tc>
        <w:tc>
          <w:tcPr>
            <w:tcW w:w="2057" w:type="dxa"/>
            <w:tcBorders>
              <w:bottom w:val="single" w:color="000000" w:sz="8"/>
              <w:right w:val="single" w:color="000000" w:sz="8"/>
            </w:tcBorders>
            <w:tcMar>
              <w:top w:w="15" w:type="dxa"/>
              <w:left w:w="15" w:type="dxa"/>
              <w:bottom w:w="15" w:type="dxa"/>
              <w:right w:w="15" w:type="dxa"/>
            </w:tcMar>
            <w:vAlign w:val="center"/>
          </w:tcPr>
          <w:p/>
        </w:tc>
        <w:tc>
          <w:tcPr>
            <w:tcW w:w="0" w:type="auto"/>
            <w:vMerge/>
            <w:tcBorders>
              <w:top w:val="nil"/>
              <w:bottom w:val="single" w:color="000000" w:sz="8"/>
              <w:right w:val="single" w:color="000000" w:sz="8"/>
            </w:tcBorders>
          </w:tcPr>
          <w:p/>
        </w:tc>
      </w:tr>
      <w:tr>
        <w:trPr>
          <w:trHeight w:val="45" w:hRule="atLeast"/>
        </w:trPr>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c>
          <w:tcPr>
            <w:tcW w:w="2743" w:type="dxa"/>
            <w:tcBorders>
              <w:bottom w:val="single" w:color="000000" w:sz="8"/>
              <w:right w:val="single" w:color="000000" w:sz="8"/>
            </w:tcBorders>
            <w:tcMar>
              <w:top w:w="15" w:type="dxa"/>
              <w:left w:w="15" w:type="dxa"/>
              <w:bottom w:w="15" w:type="dxa"/>
              <w:right w:w="15" w:type="dxa"/>
            </w:tcMar>
            <w:vAlign w:val="center"/>
          </w:tcPr>
          <w:p/>
        </w:tc>
        <w:tc>
          <w:tcPr>
            <w:tcW w:w="2057" w:type="dxa"/>
            <w:tcBorders>
              <w:bottom w:val="single" w:color="000000" w:sz="8"/>
              <w:right w:val="single" w:color="000000" w:sz="8"/>
            </w:tcBorders>
            <w:tcMar>
              <w:top w:w="15" w:type="dxa"/>
              <w:left w:w="15" w:type="dxa"/>
              <w:bottom w:w="15" w:type="dxa"/>
              <w:right w:w="15" w:type="dxa"/>
            </w:tcMar>
            <w:vAlign w:val="center"/>
          </w:tcPr>
          <w:p/>
        </w:tc>
        <w:tc>
          <w:tcPr>
            <w:tcW w:w="0" w:type="auto"/>
            <w:vMerge/>
            <w:tcBorders>
              <w:top w:val="nil"/>
              <w:bottom w:val="single" w:color="000000" w:sz="8"/>
              <w:right w:val="single" w:color="000000" w:sz="8"/>
            </w:tcBorders>
          </w:tcPr>
          <w:p/>
        </w:tc>
      </w:tr>
      <w:tr>
        <w:trPr>
          <w:trHeight w:val="45" w:hRule="atLeast"/>
        </w:trPr>
        <w:tc>
          <w:tcPr>
            <w:tcW w:w="685"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22.</w:t>
            </w:r>
          </w:p>
        </w:tc>
        <w:tc>
          <w:tcPr>
            <w:tcW w:w="6173"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Wykazy albo zestawienie zbiorcze danych objętych ewidencją gruntów i budynków w postaci drukowanej</w:t>
            </w:r>
          </w:p>
        </w:tc>
        <w:tc>
          <w:tcPr>
            <w:tcW w:w="2743"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Gmina</w:t>
            </w: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29,97 zł</w:t>
            </w:r>
          </w:p>
        </w:tc>
        <w:tc>
          <w:tcPr>
            <w:tcW w:w="0" w:type="auto"/>
            <w:vMerge/>
            <w:tcBorders>
              <w:top w:val="nil"/>
              <w:bottom w:val="single" w:color="000000" w:sz="8"/>
              <w:right w:val="single" w:color="000000" w:sz="8"/>
            </w:tcBorders>
          </w:tcPr>
          <w:p/>
        </w:tc>
      </w:tr>
      <w:tr>
        <w:trPr>
          <w:trHeight w:val="45" w:hRule="atLeast"/>
        </w:trPr>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c>
          <w:tcPr>
            <w:tcW w:w="2743"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Powiat</w:t>
            </w: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44,94 zł</w:t>
            </w:r>
          </w:p>
        </w:tc>
        <w:tc>
          <w:tcPr>
            <w:tcW w:w="0" w:type="auto"/>
            <w:vMerge/>
            <w:tcBorders>
              <w:top w:val="nil"/>
              <w:bottom w:val="single" w:color="000000" w:sz="8"/>
              <w:right w:val="single" w:color="000000" w:sz="8"/>
            </w:tcBorders>
          </w:tcPr>
          <w:p/>
        </w:tc>
      </w:tr>
      <w:tr>
        <w:trPr>
          <w:trHeight w:val="45" w:hRule="atLeast"/>
        </w:trPr>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c>
          <w:tcPr>
            <w:tcW w:w="2743"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Województwo</w:t>
            </w: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74,90 zł</w:t>
            </w:r>
          </w:p>
        </w:tc>
        <w:tc>
          <w:tcPr>
            <w:tcW w:w="0" w:type="auto"/>
            <w:vMerge/>
            <w:tcBorders>
              <w:top w:val="nil"/>
              <w:bottom w:val="single" w:color="000000" w:sz="8"/>
              <w:right w:val="single" w:color="000000" w:sz="8"/>
            </w:tcBorders>
          </w:tcPr>
          <w:p/>
        </w:tc>
      </w:tr>
      <w:tr>
        <w:trPr>
          <w:trHeight w:val="45" w:hRule="atLeast"/>
        </w:trPr>
        <w:tc>
          <w:tcPr>
            <w:tcW w:w="0" w:type="auto"/>
            <w:vMerge/>
            <w:tcBorders>
              <w:top w:val="nil"/>
              <w:bottom w:val="single" w:color="000000" w:sz="8"/>
              <w:right w:val="single" w:color="000000" w:sz="8"/>
            </w:tcBorders>
          </w:tcPr>
          <w:p/>
        </w:tc>
        <w:tc>
          <w:tcPr>
            <w:tcW w:w="0" w:type="auto"/>
            <w:vMerge/>
            <w:tcBorders>
              <w:top w:val="nil"/>
              <w:bottom w:val="single" w:color="000000" w:sz="8"/>
              <w:right w:val="single" w:color="000000" w:sz="8"/>
            </w:tcBorders>
          </w:tcPr>
          <w:p/>
        </w:tc>
        <w:tc>
          <w:tcPr>
            <w:tcW w:w="2743"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Kraj</w:t>
            </w:r>
          </w:p>
        </w:tc>
        <w:tc>
          <w:tcPr>
            <w:tcW w:w="205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149,79 zł</w:t>
            </w:r>
          </w:p>
        </w:tc>
        <w:tc>
          <w:tcPr>
            <w:tcW w:w="0" w:type="auto"/>
            <w:vMerge/>
            <w:tcBorders>
              <w:top w:val="nil"/>
              <w:bottom w:val="single" w:color="000000" w:sz="8"/>
              <w:right w:val="single" w:color="000000" w:sz="8"/>
            </w:tcBorders>
          </w:tcPr>
          <w:p/>
        </w:tc>
      </w:tr>
    </w:tbl>
    <w:p>
      <w:pPr>
        <w:spacing w:before="25"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Tabela nr 11</w:t>
      </w:r>
      <w:r>
        <w:rPr>
          <w:rFonts w:ascii="Times New Roman"/>
          <w:b w:val="false"/>
          <w:i w:val="false"/>
          <w:color w:val="000000"/>
          <w:sz w:val="24"/>
          <w:lang w:val="pl-PL"/>
        </w:rPr>
        <w:t xml:space="preserve">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16"/>
        <w:gridCol w:w="6187"/>
        <w:gridCol w:w="2750"/>
        <w:gridCol w:w="2062"/>
        <w:gridCol w:w="10544"/>
      </w:tblGrid>
      <w:tr>
        <w:trPr>
          <w:trHeight w:val="45" w:hRule="atLeast"/>
        </w:trPr>
        <w:tc>
          <w:tcPr>
            <w:tcW w:w="0" w:type="auto"/>
            <w:gridSpan w:val="5"/>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Wypisy i wyrysy z operatu ewidencyjnego</w:t>
            </w:r>
            <w:r>
              <w:rPr>
                <w:rFonts w:ascii="Times New Roman"/>
                <w:b w:val="false"/>
                <w:i w:val="false"/>
                <w:color w:val="000000"/>
                <w:sz w:val="24"/>
                <w:lang w:val="pl-PL"/>
              </w:rPr>
              <w:t xml:space="preserve"> </w:t>
            </w:r>
          </w:p>
        </w:tc>
      </w:tr>
      <w:tr>
        <w:trPr>
          <w:trHeight w:val="45" w:hRule="atLeast"/>
        </w:trPr>
        <w:tc>
          <w:tcPr>
            <w:tcW w:w="91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Lp.</w:t>
            </w:r>
            <w:r>
              <w:rPr>
                <w:rFonts w:ascii="Times New Roman"/>
                <w:b w:val="false"/>
                <w:i w:val="false"/>
                <w:color w:val="000000"/>
                <w:sz w:val="24"/>
                <w:lang w:val="pl-PL"/>
              </w:rPr>
              <w:t xml:space="preserve"> </w:t>
            </w:r>
          </w:p>
        </w:tc>
        <w:tc>
          <w:tcPr>
            <w:tcW w:w="618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Nazwa dokumentu</w:t>
            </w:r>
            <w:r>
              <w:rPr>
                <w:rFonts w:ascii="Times New Roman"/>
                <w:b w:val="false"/>
                <w:i w:val="false"/>
                <w:color w:val="000000"/>
                <w:sz w:val="24"/>
                <w:lang w:val="pl-PL"/>
              </w:rPr>
              <w:t xml:space="preserve"> </w:t>
            </w:r>
          </w:p>
        </w:tc>
        <w:tc>
          <w:tcPr>
            <w:tcW w:w="2750"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Jednostka rozliczeniowa</w:t>
            </w:r>
            <w:r>
              <w:rPr>
                <w:rFonts w:ascii="Times New Roman"/>
                <w:b w:val="false"/>
                <w:i w:val="false"/>
                <w:color w:val="000000"/>
                <w:sz w:val="24"/>
                <w:lang w:val="pl-PL"/>
              </w:rPr>
              <w:t xml:space="preserve"> </w:t>
            </w:r>
          </w:p>
        </w:tc>
        <w:tc>
          <w:tcPr>
            <w:tcW w:w="2062"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Stawka podstawowa (Sp)</w:t>
            </w:r>
            <w:r>
              <w:rPr>
                <w:rFonts w:ascii="Times New Roman"/>
                <w:b w:val="false"/>
                <w:i w:val="false"/>
                <w:color w:val="000000"/>
                <w:sz w:val="24"/>
                <w:lang w:val="pl-PL"/>
              </w:rPr>
              <w:t xml:space="preserve"> </w:t>
            </w:r>
          </w:p>
        </w:tc>
        <w:tc>
          <w:tcPr>
            <w:tcW w:w="10544"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 xml:space="preserve">Współczynniki korygujące </w:t>
            </w:r>
            <w:r>
              <w:rPr>
                <w:rFonts w:ascii="Times New Roman"/>
                <w:b w:val="false"/>
                <w:i w:val="false"/>
                <w:color w:val="000000"/>
                <w:sz w:val="24"/>
                <w:lang w:val="pl-PL"/>
              </w:rPr>
              <w:t xml:space="preserve"> </w:t>
            </w:r>
            <w:r>
              <w:rPr>
                <w:rFonts w:ascii="Times New Roman"/>
                <w:b w:val="false"/>
                <w:i/>
                <w:color w:val="000000"/>
                <w:sz w:val="24"/>
                <w:lang w:val="pl-PL"/>
              </w:rPr>
              <w:t>LR</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PD</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AJ</w:t>
            </w:r>
            <w:r>
              <w:rPr>
                <w:rFonts w:ascii="Times New Roman"/>
                <w:b w:val="false"/>
                <w:i w:val="false"/>
                <w:color w:val="000000"/>
                <w:sz w:val="24"/>
                <w:lang w:val="pl-PL"/>
              </w:rPr>
              <w:t xml:space="preserve"> </w:t>
            </w:r>
          </w:p>
        </w:tc>
      </w:tr>
      <w:tr>
        <w:trPr>
          <w:trHeight w:val="45" w:hRule="atLeast"/>
        </w:trPr>
        <w:tc>
          <w:tcPr>
            <w:tcW w:w="91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w:t>
            </w:r>
          </w:p>
        </w:tc>
        <w:tc>
          <w:tcPr>
            <w:tcW w:w="618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Wypis z rejestru gruntów w postaci dokumentu elektronicznego</w:t>
            </w:r>
          </w:p>
        </w:tc>
        <w:tc>
          <w:tcPr>
            <w:tcW w:w="2750"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Jednostka rejestrowa gruntów</w:t>
            </w:r>
          </w:p>
        </w:tc>
        <w:tc>
          <w:tcPr>
            <w:tcW w:w="2062"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40,0 zł</w:t>
            </w:r>
          </w:p>
        </w:tc>
        <w:tc>
          <w:tcPr>
            <w:tcW w:w="10544"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val="false"/>
                <w:i/>
                <w:color w:val="000000"/>
                <w:sz w:val="24"/>
                <w:lang w:val="pl-PL"/>
              </w:rPr>
              <w:t>LR</w:t>
            </w:r>
            <w:r>
              <w:rPr>
                <w:rFonts w:ascii="Times New Roman"/>
                <w:b w:val="false"/>
                <w:i w:val="false"/>
                <w:color w:val="000000"/>
                <w:sz w:val="24"/>
                <w:lang w:val="pl-PL"/>
              </w:rPr>
              <w:t xml:space="preserve">, </w:t>
            </w:r>
            <w:r>
              <w:rPr>
                <w:rFonts w:ascii="Times New Roman"/>
                <w:b w:val="false"/>
                <w:i/>
                <w:color w:val="000000"/>
                <w:sz w:val="24"/>
                <w:lang w:val="pl-PL"/>
              </w:rPr>
              <w:t>PD</w:t>
            </w:r>
            <w:r>
              <w:rPr>
                <w:rFonts w:ascii="Times New Roman"/>
                <w:b w:val="false"/>
                <w:i w:val="false"/>
                <w:color w:val="000000"/>
                <w:sz w:val="24"/>
                <w:lang w:val="pl-PL"/>
              </w:rPr>
              <w:t xml:space="preserve"> i </w:t>
            </w:r>
            <w:r>
              <w:rPr>
                <w:rFonts w:ascii="Times New Roman"/>
                <w:b w:val="false"/>
                <w:i/>
                <w:color w:val="000000"/>
                <w:sz w:val="24"/>
                <w:lang w:val="pl-PL"/>
              </w:rPr>
              <w:t>AJ</w:t>
            </w:r>
            <w:r>
              <w:rPr>
                <w:rFonts w:ascii="Times New Roman"/>
                <w:b w:val="false"/>
                <w:i w:val="false"/>
                <w:color w:val="000000"/>
                <w:sz w:val="24"/>
                <w:lang w:val="pl-PL"/>
              </w:rPr>
              <w:t xml:space="preserve"> przyjmują wartość 1,0.</w:t>
            </w:r>
          </w:p>
        </w:tc>
      </w:tr>
      <w:tr>
        <w:trPr>
          <w:trHeight w:val="45" w:hRule="atLeast"/>
        </w:trPr>
        <w:tc>
          <w:tcPr>
            <w:tcW w:w="91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w:t>
            </w:r>
          </w:p>
        </w:tc>
        <w:tc>
          <w:tcPr>
            <w:tcW w:w="618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Wypis z rejestru gruntów w postaci dokumentu drukowanego</w:t>
            </w:r>
          </w:p>
        </w:tc>
        <w:tc>
          <w:tcPr>
            <w:tcW w:w="0" w:type="auto"/>
            <w:vMerge/>
            <w:tcBorders>
              <w:top w:val="nil"/>
              <w:bottom w:val="single" w:color="000000" w:sz="8"/>
              <w:right w:val="single" w:color="000000" w:sz="8"/>
            </w:tcBorders>
          </w:tcPr>
          <w:p/>
        </w:tc>
        <w:tc>
          <w:tcPr>
            <w:tcW w:w="2062"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50,0 zł</w:t>
            </w:r>
          </w:p>
        </w:tc>
        <w:tc>
          <w:tcPr>
            <w:tcW w:w="0" w:type="auto"/>
            <w:vMerge/>
            <w:tcBorders>
              <w:top w:val="nil"/>
              <w:bottom w:val="single" w:color="000000" w:sz="8"/>
              <w:right w:val="single" w:color="000000" w:sz="8"/>
            </w:tcBorders>
          </w:tcPr>
          <w:p/>
        </w:tc>
      </w:tr>
      <w:tr>
        <w:trPr>
          <w:trHeight w:val="45" w:hRule="atLeast"/>
        </w:trPr>
        <w:tc>
          <w:tcPr>
            <w:tcW w:w="91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3.</w:t>
            </w:r>
          </w:p>
        </w:tc>
        <w:tc>
          <w:tcPr>
            <w:tcW w:w="618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Wypis z rejestru gruntów bez danych osobowych w postaci dokumentu elektronicznego</w:t>
            </w:r>
          </w:p>
        </w:tc>
        <w:tc>
          <w:tcPr>
            <w:tcW w:w="0" w:type="auto"/>
            <w:vMerge/>
            <w:tcBorders>
              <w:top w:val="nil"/>
              <w:bottom w:val="single" w:color="000000" w:sz="8"/>
              <w:right w:val="single" w:color="000000" w:sz="8"/>
            </w:tcBorders>
          </w:tcPr>
          <w:p/>
        </w:tc>
        <w:tc>
          <w:tcPr>
            <w:tcW w:w="2062"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24,0 zł</w:t>
            </w:r>
          </w:p>
        </w:tc>
        <w:tc>
          <w:tcPr>
            <w:tcW w:w="0" w:type="auto"/>
            <w:vMerge/>
            <w:tcBorders>
              <w:top w:val="nil"/>
              <w:bottom w:val="single" w:color="000000" w:sz="8"/>
              <w:right w:val="single" w:color="000000" w:sz="8"/>
            </w:tcBorders>
          </w:tcPr>
          <w:p/>
        </w:tc>
      </w:tr>
      <w:tr>
        <w:trPr>
          <w:trHeight w:val="45" w:hRule="atLeast"/>
        </w:trPr>
        <w:tc>
          <w:tcPr>
            <w:tcW w:w="91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4.</w:t>
            </w:r>
          </w:p>
        </w:tc>
        <w:tc>
          <w:tcPr>
            <w:tcW w:w="618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Wypis z rejestru gruntów bez danych osobowych w postaci dokumentu drukowanego</w:t>
            </w:r>
          </w:p>
        </w:tc>
        <w:tc>
          <w:tcPr>
            <w:tcW w:w="0" w:type="auto"/>
            <w:vMerge/>
            <w:tcBorders>
              <w:top w:val="nil"/>
              <w:bottom w:val="single" w:color="000000" w:sz="8"/>
              <w:right w:val="single" w:color="000000" w:sz="8"/>
            </w:tcBorders>
          </w:tcPr>
          <w:p/>
        </w:tc>
        <w:tc>
          <w:tcPr>
            <w:tcW w:w="2062"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30,0 zł</w:t>
            </w:r>
          </w:p>
        </w:tc>
        <w:tc>
          <w:tcPr>
            <w:tcW w:w="0" w:type="auto"/>
            <w:vMerge/>
            <w:tcBorders>
              <w:top w:val="nil"/>
              <w:bottom w:val="single" w:color="000000" w:sz="8"/>
              <w:right w:val="single" w:color="000000" w:sz="8"/>
            </w:tcBorders>
          </w:tcPr>
          <w:p/>
        </w:tc>
      </w:tr>
      <w:tr>
        <w:trPr>
          <w:trHeight w:val="45" w:hRule="atLeast"/>
        </w:trPr>
        <w:tc>
          <w:tcPr>
            <w:tcW w:w="91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5.</w:t>
            </w:r>
          </w:p>
        </w:tc>
        <w:tc>
          <w:tcPr>
            <w:tcW w:w="618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Wypis z rejestru gruntów oraz wyrys z mapy ewidencyjnej w postaci dokumentu elektronicznego</w:t>
            </w:r>
          </w:p>
        </w:tc>
        <w:tc>
          <w:tcPr>
            <w:tcW w:w="0" w:type="auto"/>
            <w:vMerge/>
            <w:tcBorders>
              <w:top w:val="nil"/>
              <w:bottom w:val="single" w:color="000000" w:sz="8"/>
              <w:right w:val="single" w:color="000000" w:sz="8"/>
            </w:tcBorders>
          </w:tcPr>
          <w:p/>
        </w:tc>
        <w:tc>
          <w:tcPr>
            <w:tcW w:w="2062"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140,0 zł</w:t>
            </w:r>
          </w:p>
        </w:tc>
        <w:tc>
          <w:tcPr>
            <w:tcW w:w="0" w:type="auto"/>
            <w:vMerge/>
            <w:tcBorders>
              <w:top w:val="nil"/>
              <w:bottom w:val="single" w:color="000000" w:sz="8"/>
              <w:right w:val="single" w:color="000000" w:sz="8"/>
            </w:tcBorders>
          </w:tcPr>
          <w:p/>
        </w:tc>
      </w:tr>
      <w:tr>
        <w:trPr>
          <w:trHeight w:val="45" w:hRule="atLeast"/>
        </w:trPr>
        <w:tc>
          <w:tcPr>
            <w:tcW w:w="91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6.</w:t>
            </w:r>
          </w:p>
        </w:tc>
        <w:tc>
          <w:tcPr>
            <w:tcW w:w="618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Wypis z rejestru gruntów oraz wyrys z mapy ewidencyjnej w postaci dokumentu drukowanego</w:t>
            </w:r>
          </w:p>
        </w:tc>
        <w:tc>
          <w:tcPr>
            <w:tcW w:w="0" w:type="auto"/>
            <w:vMerge/>
            <w:tcBorders>
              <w:top w:val="nil"/>
              <w:bottom w:val="single" w:color="000000" w:sz="8"/>
              <w:right w:val="single" w:color="000000" w:sz="8"/>
            </w:tcBorders>
          </w:tcPr>
          <w:p/>
        </w:tc>
        <w:tc>
          <w:tcPr>
            <w:tcW w:w="2062"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150,0 zł</w:t>
            </w:r>
          </w:p>
        </w:tc>
        <w:tc>
          <w:tcPr>
            <w:tcW w:w="0" w:type="auto"/>
            <w:vMerge/>
            <w:tcBorders>
              <w:top w:val="nil"/>
              <w:bottom w:val="single" w:color="000000" w:sz="8"/>
              <w:right w:val="single" w:color="000000" w:sz="8"/>
            </w:tcBorders>
          </w:tcPr>
          <w:p/>
        </w:tc>
      </w:tr>
      <w:tr>
        <w:trPr>
          <w:trHeight w:val="45" w:hRule="atLeast"/>
        </w:trPr>
        <w:tc>
          <w:tcPr>
            <w:tcW w:w="91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7.</w:t>
            </w:r>
          </w:p>
        </w:tc>
        <w:tc>
          <w:tcPr>
            <w:tcW w:w="618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Wyrys z mapy ewidencyjnej w postaci dokumentu elektronicznego</w:t>
            </w:r>
          </w:p>
        </w:tc>
        <w:tc>
          <w:tcPr>
            <w:tcW w:w="0" w:type="auto"/>
            <w:vMerge/>
            <w:tcBorders>
              <w:top w:val="nil"/>
              <w:bottom w:val="single" w:color="000000" w:sz="8"/>
              <w:right w:val="single" w:color="000000" w:sz="8"/>
            </w:tcBorders>
          </w:tcPr>
          <w:p/>
        </w:tc>
        <w:tc>
          <w:tcPr>
            <w:tcW w:w="2062"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105,0 zł</w:t>
            </w:r>
          </w:p>
        </w:tc>
        <w:tc>
          <w:tcPr>
            <w:tcW w:w="0" w:type="auto"/>
            <w:vMerge/>
            <w:tcBorders>
              <w:top w:val="nil"/>
              <w:bottom w:val="single" w:color="000000" w:sz="8"/>
              <w:right w:val="single" w:color="000000" w:sz="8"/>
            </w:tcBorders>
          </w:tcPr>
          <w:p/>
        </w:tc>
      </w:tr>
      <w:tr>
        <w:trPr>
          <w:trHeight w:val="45" w:hRule="atLeast"/>
        </w:trPr>
        <w:tc>
          <w:tcPr>
            <w:tcW w:w="91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8.</w:t>
            </w:r>
          </w:p>
        </w:tc>
        <w:tc>
          <w:tcPr>
            <w:tcW w:w="618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Wyrys z mapy ewidencyjnej w postaci dokumentu drukowanego</w:t>
            </w:r>
          </w:p>
        </w:tc>
        <w:tc>
          <w:tcPr>
            <w:tcW w:w="0" w:type="auto"/>
            <w:vMerge/>
            <w:tcBorders>
              <w:top w:val="nil"/>
              <w:bottom w:val="single" w:color="000000" w:sz="8"/>
              <w:right w:val="single" w:color="000000" w:sz="8"/>
            </w:tcBorders>
          </w:tcPr>
          <w:p/>
        </w:tc>
        <w:tc>
          <w:tcPr>
            <w:tcW w:w="2062"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110,0 zł</w:t>
            </w:r>
          </w:p>
        </w:tc>
        <w:tc>
          <w:tcPr>
            <w:tcW w:w="0" w:type="auto"/>
            <w:vMerge/>
            <w:tcBorders>
              <w:top w:val="nil"/>
              <w:bottom w:val="single" w:color="000000" w:sz="8"/>
              <w:right w:val="single" w:color="000000" w:sz="8"/>
            </w:tcBorders>
          </w:tcPr>
          <w:p/>
        </w:tc>
      </w:tr>
      <w:tr>
        <w:trPr>
          <w:trHeight w:val="45" w:hRule="atLeast"/>
        </w:trPr>
        <w:tc>
          <w:tcPr>
            <w:tcW w:w="91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9.</w:t>
            </w:r>
          </w:p>
        </w:tc>
        <w:tc>
          <w:tcPr>
            <w:tcW w:w="618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Wypis z rejestru budynków albo wypis z rejestru lokali w postaci dokumentu elektronicznego</w:t>
            </w:r>
          </w:p>
        </w:tc>
        <w:tc>
          <w:tcPr>
            <w:tcW w:w="2750"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Jednostka rejestrowa budynków albo</w:t>
            </w:r>
          </w:p>
          <w:p>
            <w:pPr>
              <w:spacing w:before="25" w:after="0"/>
              <w:ind w:left="0"/>
              <w:jc w:val="center"/>
              <w:textAlignment w:val="auto"/>
            </w:pPr>
            <w:r>
              <w:rPr>
                <w:rFonts w:ascii="Times New Roman"/>
                <w:b w:val="false"/>
                <w:i w:val="false"/>
                <w:color w:val="000000"/>
                <w:sz w:val="24"/>
                <w:lang w:val="pl-PL"/>
              </w:rPr>
              <w:t>jednostka rejestrowa lokali</w:t>
            </w:r>
          </w:p>
        </w:tc>
        <w:tc>
          <w:tcPr>
            <w:tcW w:w="2062"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25,0 zł</w:t>
            </w:r>
          </w:p>
        </w:tc>
        <w:tc>
          <w:tcPr>
            <w:tcW w:w="0" w:type="auto"/>
            <w:vMerge/>
            <w:tcBorders>
              <w:top w:val="nil"/>
              <w:bottom w:val="single" w:color="000000" w:sz="8"/>
              <w:right w:val="single" w:color="000000" w:sz="8"/>
            </w:tcBorders>
          </w:tcPr>
          <w:p/>
        </w:tc>
      </w:tr>
      <w:tr>
        <w:trPr>
          <w:trHeight w:val="45" w:hRule="atLeast"/>
        </w:trPr>
        <w:tc>
          <w:tcPr>
            <w:tcW w:w="91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10.</w:t>
            </w:r>
          </w:p>
        </w:tc>
        <w:tc>
          <w:tcPr>
            <w:tcW w:w="618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Wypis z rejestru budynków albo wypis z rejestru lokali w postaci dokumentu drukowanego</w:t>
            </w:r>
          </w:p>
        </w:tc>
        <w:tc>
          <w:tcPr>
            <w:tcW w:w="0" w:type="auto"/>
            <w:vMerge/>
            <w:tcBorders>
              <w:top w:val="nil"/>
              <w:bottom w:val="single" w:color="000000" w:sz="8"/>
              <w:right w:val="single" w:color="000000" w:sz="8"/>
            </w:tcBorders>
          </w:tcPr>
          <w:p/>
        </w:tc>
        <w:tc>
          <w:tcPr>
            <w:tcW w:w="2062"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30,0 zł</w:t>
            </w:r>
          </w:p>
        </w:tc>
        <w:tc>
          <w:tcPr>
            <w:tcW w:w="0" w:type="auto"/>
            <w:vMerge/>
            <w:tcBorders>
              <w:top w:val="nil"/>
              <w:bottom w:val="single" w:color="000000" w:sz="8"/>
              <w:right w:val="single" w:color="000000" w:sz="8"/>
            </w:tcBorders>
          </w:tcPr>
          <w:p/>
        </w:tc>
      </w:tr>
      <w:tr>
        <w:trPr>
          <w:trHeight w:val="45" w:hRule="atLeast"/>
        </w:trPr>
        <w:tc>
          <w:tcPr>
            <w:tcW w:w="91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11.</w:t>
            </w:r>
          </w:p>
        </w:tc>
        <w:tc>
          <w:tcPr>
            <w:tcW w:w="618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Wypis z kartoteki budynków albo wypis z kartoteki lokali w postaci dokumentu elektronicznego</w:t>
            </w:r>
          </w:p>
        </w:tc>
        <w:tc>
          <w:tcPr>
            <w:tcW w:w="2750"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Pozycja kartoteki budynków albo pozycja kartoteki lokali</w:t>
            </w:r>
          </w:p>
        </w:tc>
        <w:tc>
          <w:tcPr>
            <w:tcW w:w="2062"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15,0 zł</w:t>
            </w:r>
          </w:p>
        </w:tc>
        <w:tc>
          <w:tcPr>
            <w:tcW w:w="0" w:type="auto"/>
            <w:vMerge/>
            <w:tcBorders>
              <w:top w:val="nil"/>
              <w:bottom w:val="single" w:color="000000" w:sz="8"/>
              <w:right w:val="single" w:color="000000" w:sz="8"/>
            </w:tcBorders>
          </w:tcPr>
          <w:p/>
        </w:tc>
      </w:tr>
      <w:tr>
        <w:trPr>
          <w:trHeight w:val="45" w:hRule="atLeast"/>
        </w:trPr>
        <w:tc>
          <w:tcPr>
            <w:tcW w:w="91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12.</w:t>
            </w:r>
          </w:p>
        </w:tc>
        <w:tc>
          <w:tcPr>
            <w:tcW w:w="618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Wypis z kartoteki budynków albo wypis z kartoteki lokali w postaci dokumentu drukowanego</w:t>
            </w:r>
          </w:p>
        </w:tc>
        <w:tc>
          <w:tcPr>
            <w:tcW w:w="0" w:type="auto"/>
            <w:vMerge/>
            <w:tcBorders>
              <w:top w:val="nil"/>
              <w:bottom w:val="single" w:color="000000" w:sz="8"/>
              <w:right w:val="single" w:color="000000" w:sz="8"/>
            </w:tcBorders>
          </w:tcPr>
          <w:p/>
        </w:tc>
        <w:tc>
          <w:tcPr>
            <w:tcW w:w="2062"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20,0 zł</w:t>
            </w:r>
          </w:p>
        </w:tc>
        <w:tc>
          <w:tcPr>
            <w:tcW w:w="0" w:type="auto"/>
            <w:vMerge/>
            <w:tcBorders>
              <w:top w:val="nil"/>
              <w:bottom w:val="single" w:color="000000" w:sz="8"/>
              <w:right w:val="single" w:color="000000" w:sz="8"/>
            </w:tcBorders>
          </w:tcPr>
          <w:p/>
        </w:tc>
      </w:tr>
      <w:tr>
        <w:trPr>
          <w:trHeight w:val="45" w:hRule="atLeast"/>
        </w:trPr>
        <w:tc>
          <w:tcPr>
            <w:tcW w:w="91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13.</w:t>
            </w:r>
          </w:p>
        </w:tc>
        <w:tc>
          <w:tcPr>
            <w:tcW w:w="618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Uproszczony wypis z rejestru gruntów (bez adnotacji dotyczących jakości danych ewidencyjnych oraz klauzuli upoważniającej do oznaczania nieruchomości w księdze wieczystej na podstawie tego dokumentu)</w:t>
            </w:r>
          </w:p>
        </w:tc>
        <w:tc>
          <w:tcPr>
            <w:tcW w:w="2750"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Działka ewidencyjna</w:t>
            </w:r>
          </w:p>
        </w:tc>
        <w:tc>
          <w:tcPr>
            <w:tcW w:w="2062"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15,0 zł</w:t>
            </w:r>
          </w:p>
        </w:tc>
        <w:tc>
          <w:tcPr>
            <w:tcW w:w="10544"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 LR przyjmuje wartość:</w:t>
            </w:r>
          </w:p>
          <w:p>
            <w:pPr>
              <w:spacing w:before="25" w:after="0"/>
              <w:ind w:left="0"/>
              <w:jc w:val="left"/>
              <w:textAlignment w:val="auto"/>
            </w:pPr>
            <w:r>
              <w:rPr>
                <w:rFonts w:ascii="Times New Roman"/>
                <w:b w:val="false"/>
                <w:i w:val="false"/>
                <w:color w:val="000000"/>
                <w:sz w:val="24"/>
                <w:lang w:val="pl-PL"/>
              </w:rPr>
              <w:t>1) 1,0 - dla Ljr nie większej niż 1;</w:t>
            </w:r>
          </w:p>
          <w:p>
            <w:pPr>
              <w:spacing w:before="25" w:after="0"/>
              <w:ind w:left="0"/>
              <w:jc w:val="left"/>
              <w:textAlignment w:val="auto"/>
            </w:pPr>
            <w:r>
              <w:rPr>
                <w:rFonts w:ascii="Times New Roman"/>
                <w:b w:val="false"/>
                <w:i w:val="false"/>
                <w:color w:val="000000"/>
                <w:sz w:val="24"/>
                <w:lang w:val="pl-PL"/>
              </w:rPr>
              <w:t>2) 0,8 - dla Ljr w przedziale 2-10;</w:t>
            </w:r>
          </w:p>
          <w:p>
            <w:pPr>
              <w:spacing w:before="25" w:after="0"/>
              <w:ind w:left="0"/>
              <w:jc w:val="left"/>
              <w:textAlignment w:val="auto"/>
            </w:pPr>
            <w:r>
              <w:rPr>
                <w:rFonts w:ascii="Times New Roman"/>
                <w:b w:val="false"/>
                <w:i w:val="false"/>
                <w:color w:val="000000"/>
                <w:sz w:val="24"/>
                <w:lang w:val="pl-PL"/>
              </w:rPr>
              <w:t>3) 0,4 - dla Ljr powyżej 10.</w:t>
            </w:r>
          </w:p>
          <w:p>
            <w:pPr>
              <w:spacing w:before="25" w:after="0"/>
              <w:ind w:left="0"/>
              <w:jc w:val="left"/>
              <w:textAlignment w:val="auto"/>
            </w:pPr>
            <w:r>
              <w:rPr>
                <w:rFonts w:ascii="Times New Roman"/>
                <w:b w:val="false"/>
                <w:i w:val="false"/>
                <w:color w:val="000000"/>
                <w:sz w:val="24"/>
                <w:lang w:val="pl-PL"/>
              </w:rPr>
              <w:t>2. PD i AJ przyjmują wartość 1,0.</w:t>
            </w:r>
          </w:p>
        </w:tc>
      </w:tr>
      <w:tr>
        <w:trPr>
          <w:trHeight w:val="45" w:hRule="atLeast"/>
        </w:trPr>
        <w:tc>
          <w:tcPr>
            <w:tcW w:w="91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14.</w:t>
            </w:r>
          </w:p>
        </w:tc>
        <w:tc>
          <w:tcPr>
            <w:tcW w:w="618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Wypis z wykazu działek</w:t>
            </w:r>
          </w:p>
        </w:tc>
        <w:tc>
          <w:tcPr>
            <w:tcW w:w="2750"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Działka ewidencyjna</w:t>
            </w:r>
          </w:p>
        </w:tc>
        <w:tc>
          <w:tcPr>
            <w:tcW w:w="2062"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5,0 zł</w:t>
            </w:r>
          </w:p>
        </w:tc>
        <w:tc>
          <w:tcPr>
            <w:tcW w:w="0" w:type="auto"/>
            <w:vMerge/>
            <w:tcBorders>
              <w:top w:val="nil"/>
              <w:bottom w:val="single" w:color="000000" w:sz="8"/>
              <w:right w:val="single" w:color="000000" w:sz="8"/>
            </w:tcBorders>
          </w:tcPr>
          <w:p/>
        </w:tc>
      </w:tr>
      <w:tr>
        <w:trPr>
          <w:trHeight w:val="45" w:hRule="atLeast"/>
        </w:trPr>
        <w:tc>
          <w:tcPr>
            <w:tcW w:w="91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15.</w:t>
            </w:r>
          </w:p>
        </w:tc>
        <w:tc>
          <w:tcPr>
            <w:tcW w:w="618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Wypis z wykazu podmiotów</w:t>
            </w:r>
          </w:p>
        </w:tc>
        <w:tc>
          <w:tcPr>
            <w:tcW w:w="2750"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Podmiot (osoba lub instytucja)</w:t>
            </w:r>
          </w:p>
        </w:tc>
        <w:tc>
          <w:tcPr>
            <w:tcW w:w="2062"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5,0 zł</w:t>
            </w:r>
          </w:p>
        </w:tc>
        <w:tc>
          <w:tcPr>
            <w:tcW w:w="0" w:type="auto"/>
            <w:vMerge/>
            <w:tcBorders>
              <w:top w:val="nil"/>
              <w:bottom w:val="single" w:color="000000" w:sz="8"/>
              <w:right w:val="single" w:color="000000" w:sz="8"/>
            </w:tcBorders>
          </w:tcPr>
          <w:p/>
        </w:tc>
      </w:tr>
    </w:tbl>
    <w:p>
      <w:pPr>
        <w:spacing w:before="25"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Tabela nr 12</w:t>
      </w:r>
      <w:r>
        <w:rPr>
          <w:rFonts w:ascii="Times New Roman"/>
          <w:b w:val="false"/>
          <w:i w:val="false"/>
          <w:color w:val="000000"/>
          <w:sz w:val="24"/>
          <w:lang w:val="pl-PL"/>
        </w:rPr>
        <w:t xml:space="preserve">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14"/>
        <w:gridCol w:w="6177"/>
        <w:gridCol w:w="2745"/>
        <w:gridCol w:w="2058"/>
        <w:gridCol w:w="10525"/>
      </w:tblGrid>
      <w:tr>
        <w:trPr>
          <w:trHeight w:val="45" w:hRule="atLeast"/>
        </w:trPr>
        <w:tc>
          <w:tcPr>
            <w:tcW w:w="0" w:type="auto"/>
            <w:gridSpan w:val="5"/>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Rejestr cen nieruchomości</w:t>
            </w:r>
            <w:r>
              <w:rPr>
                <w:rFonts w:ascii="Times New Roman"/>
                <w:b w:val="false"/>
                <w:i w:val="false"/>
                <w:color w:val="000000"/>
                <w:sz w:val="24"/>
                <w:lang w:val="pl-PL"/>
              </w:rPr>
              <w:t xml:space="preserve"> </w:t>
            </w:r>
          </w:p>
        </w:tc>
      </w:tr>
      <w:tr>
        <w:trPr>
          <w:trHeight w:val="45" w:hRule="atLeast"/>
        </w:trPr>
        <w:tc>
          <w:tcPr>
            <w:tcW w:w="91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Lp.</w:t>
            </w:r>
            <w:r>
              <w:rPr>
                <w:rFonts w:ascii="Times New Roman"/>
                <w:b w:val="false"/>
                <w:i w:val="false"/>
                <w:color w:val="000000"/>
                <w:sz w:val="24"/>
                <w:lang w:val="pl-PL"/>
              </w:rPr>
              <w:t xml:space="preserve"> </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Nazwa materiału zasobu</w:t>
            </w:r>
            <w:r>
              <w:rPr>
                <w:rFonts w:ascii="Times New Roman"/>
                <w:b w:val="false"/>
                <w:i w:val="false"/>
                <w:color w:val="000000"/>
                <w:sz w:val="24"/>
                <w:lang w:val="pl-PL"/>
              </w:rPr>
              <w:t xml:space="preserve"> </w:t>
            </w:r>
          </w:p>
        </w:tc>
        <w:tc>
          <w:tcPr>
            <w:tcW w:w="2745"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Jednostka rozliczeniowa</w:t>
            </w:r>
            <w:r>
              <w:rPr>
                <w:rFonts w:ascii="Times New Roman"/>
                <w:b w:val="false"/>
                <w:i w:val="false"/>
                <w:color w:val="000000"/>
                <w:sz w:val="24"/>
                <w:lang w:val="pl-PL"/>
              </w:rPr>
              <w:t xml:space="preserve"> </w:t>
            </w:r>
          </w:p>
        </w:tc>
        <w:tc>
          <w:tcPr>
            <w:tcW w:w="205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Stawka podstawowa (Sp)</w:t>
            </w:r>
            <w:r>
              <w:rPr>
                <w:rFonts w:ascii="Times New Roman"/>
                <w:b w:val="false"/>
                <w:i w:val="false"/>
                <w:color w:val="000000"/>
                <w:sz w:val="24"/>
                <w:lang w:val="pl-PL"/>
              </w:rPr>
              <w:t xml:space="preserve"> </w:t>
            </w:r>
          </w:p>
        </w:tc>
        <w:tc>
          <w:tcPr>
            <w:tcW w:w="10525"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 xml:space="preserve">Współczynniki korygujące </w:t>
            </w:r>
            <w:r>
              <w:rPr>
                <w:rFonts w:ascii="Times New Roman"/>
                <w:b w:val="false"/>
                <w:i w:val="false"/>
                <w:color w:val="000000"/>
                <w:sz w:val="24"/>
                <w:lang w:val="pl-PL"/>
              </w:rPr>
              <w:t xml:space="preserve"> </w:t>
            </w:r>
            <w:r>
              <w:rPr>
                <w:rFonts w:ascii="Times New Roman"/>
                <w:b w:val="false"/>
                <w:i/>
                <w:color w:val="000000"/>
                <w:sz w:val="24"/>
                <w:lang w:val="pl-PL"/>
              </w:rPr>
              <w:t>LR</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PD</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AJ</w:t>
            </w:r>
            <w:r>
              <w:rPr>
                <w:rFonts w:ascii="Times New Roman"/>
                <w:b w:val="false"/>
                <w:i w:val="false"/>
                <w:color w:val="000000"/>
                <w:sz w:val="24"/>
                <w:lang w:val="pl-PL"/>
              </w:rPr>
              <w:t xml:space="preserve"> </w:t>
            </w:r>
          </w:p>
        </w:tc>
      </w:tr>
      <w:tr>
        <w:trPr>
          <w:trHeight w:val="45" w:hRule="atLeast"/>
        </w:trPr>
        <w:tc>
          <w:tcPr>
            <w:tcW w:w="91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Zbiór danych rejestru cen nieruchomości w postaci elektronicznej</w:t>
            </w:r>
          </w:p>
        </w:tc>
        <w:tc>
          <w:tcPr>
            <w:tcW w:w="2745"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nieruchomość będąca przedmiotem transakcji</w:t>
            </w:r>
          </w:p>
        </w:tc>
        <w:tc>
          <w:tcPr>
            <w:tcW w:w="205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8,99 zł</w:t>
            </w:r>
          </w:p>
        </w:tc>
        <w:tc>
          <w:tcPr>
            <w:tcW w:w="10525"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1. </w:t>
            </w:r>
            <w:r>
              <w:rPr>
                <w:rFonts w:ascii="Times New Roman"/>
                <w:b w:val="false"/>
                <w:i/>
                <w:color w:val="000000"/>
                <w:sz w:val="24"/>
                <w:lang w:val="pl-PL"/>
              </w:rPr>
              <w:t>LR</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dla Ljr nie większej niż 10;</w:t>
            </w:r>
          </w:p>
          <w:p>
            <w:pPr>
              <w:spacing w:before="25" w:after="0"/>
              <w:ind w:left="0"/>
              <w:jc w:val="left"/>
              <w:textAlignment w:val="auto"/>
            </w:pPr>
            <w:r>
              <w:rPr>
                <w:rFonts w:ascii="Times New Roman"/>
                <w:b w:val="false"/>
                <w:i w:val="false"/>
                <w:color w:val="000000"/>
                <w:sz w:val="24"/>
                <w:lang w:val="pl-PL"/>
              </w:rPr>
              <w:t>2) 0,5 - dla Ljr większej niż 10 ale nie większej niż 100;</w:t>
            </w:r>
          </w:p>
          <w:p>
            <w:pPr>
              <w:spacing w:before="25" w:after="0"/>
              <w:ind w:left="0"/>
              <w:jc w:val="left"/>
              <w:textAlignment w:val="auto"/>
            </w:pPr>
            <w:r>
              <w:rPr>
                <w:rFonts w:ascii="Times New Roman"/>
                <w:b w:val="false"/>
                <w:i w:val="false"/>
                <w:color w:val="000000"/>
                <w:sz w:val="24"/>
                <w:lang w:val="pl-PL"/>
              </w:rPr>
              <w:t>3) 0,1 - dla Ljr większej niż 100.</w:t>
            </w:r>
          </w:p>
          <w:p>
            <w:pPr>
              <w:spacing w:before="25" w:after="0"/>
              <w:ind w:left="0"/>
              <w:jc w:val="left"/>
              <w:textAlignment w:val="auto"/>
            </w:pPr>
            <w:r>
              <w:rPr>
                <w:rFonts w:ascii="Times New Roman"/>
                <w:b w:val="false"/>
                <w:i w:val="false"/>
                <w:color w:val="000000"/>
                <w:sz w:val="24"/>
                <w:lang w:val="pl-PL"/>
              </w:rPr>
              <w:t xml:space="preserve">2. </w:t>
            </w:r>
            <w:r>
              <w:rPr>
                <w:rFonts w:ascii="Times New Roman"/>
                <w:b w:val="false"/>
                <w:i/>
                <w:color w:val="000000"/>
                <w:sz w:val="24"/>
                <w:lang w:val="pl-PL"/>
              </w:rPr>
              <w:t>PD</w:t>
            </w:r>
            <w:r>
              <w:rPr>
                <w:rFonts w:ascii="Times New Roman"/>
                <w:b w:val="false"/>
                <w:i w:val="false"/>
                <w:color w:val="000000"/>
                <w:sz w:val="24"/>
                <w:lang w:val="pl-PL"/>
              </w:rPr>
              <w:t xml:space="preserve"> i </w:t>
            </w:r>
            <w:r>
              <w:rPr>
                <w:rFonts w:ascii="Times New Roman"/>
                <w:b w:val="false"/>
                <w:i/>
                <w:color w:val="000000"/>
                <w:sz w:val="24"/>
                <w:lang w:val="pl-PL"/>
              </w:rPr>
              <w:t>AJ</w:t>
            </w:r>
            <w:r>
              <w:rPr>
                <w:rFonts w:ascii="Times New Roman"/>
                <w:b w:val="false"/>
                <w:i w:val="false"/>
                <w:color w:val="000000"/>
                <w:sz w:val="24"/>
                <w:lang w:val="pl-PL"/>
              </w:rPr>
              <w:t xml:space="preserve"> przyjmują wartość 1,0.</w:t>
            </w:r>
          </w:p>
        </w:tc>
      </w:tr>
      <w:tr>
        <w:trPr>
          <w:trHeight w:val="45" w:hRule="atLeast"/>
        </w:trPr>
        <w:tc>
          <w:tcPr>
            <w:tcW w:w="914"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w:t>
            </w:r>
          </w:p>
        </w:tc>
        <w:tc>
          <w:tcPr>
            <w:tcW w:w="617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Wyciąg z rejestru cen nieruchomości w postaci dokumentu drukowanego</w:t>
            </w:r>
          </w:p>
        </w:tc>
        <w:tc>
          <w:tcPr>
            <w:tcW w:w="0" w:type="auto"/>
            <w:vMerge/>
            <w:tcBorders>
              <w:top w:val="nil"/>
              <w:bottom w:val="single" w:color="000000" w:sz="8"/>
              <w:right w:val="single" w:color="000000" w:sz="8"/>
            </w:tcBorders>
          </w:tcPr>
          <w:p/>
        </w:tc>
        <w:tc>
          <w:tcPr>
            <w:tcW w:w="205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11,99 zł</w:t>
            </w:r>
          </w:p>
        </w:tc>
        <w:tc>
          <w:tcPr>
            <w:tcW w:w="0" w:type="auto"/>
            <w:vMerge/>
            <w:tcBorders>
              <w:top w:val="nil"/>
              <w:bottom w:val="single" w:color="000000" w:sz="8"/>
              <w:right w:val="single" w:color="000000" w:sz="8"/>
            </w:tcBorders>
          </w:tcPr>
          <w:p/>
        </w:tc>
      </w:tr>
    </w:tbl>
    <w:p>
      <w:pPr>
        <w:spacing w:before="25"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Tabela nr 13</w:t>
      </w:r>
      <w:r>
        <w:rPr>
          <w:rFonts w:ascii="Times New Roman"/>
          <w:b w:val="false"/>
          <w:i w:val="false"/>
          <w:color w:val="000000"/>
          <w:sz w:val="24"/>
          <w:lang w:val="pl-PL"/>
        </w:rPr>
        <w:t xml:space="preserve">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96"/>
        <w:gridCol w:w="5826"/>
        <w:gridCol w:w="2688"/>
        <w:gridCol w:w="2016"/>
        <w:gridCol w:w="675"/>
        <w:gridCol w:w="10307"/>
      </w:tblGrid>
      <w:tr>
        <w:trPr>
          <w:trHeight w:val="45" w:hRule="atLeast"/>
        </w:trPr>
        <w:tc>
          <w:tcPr>
            <w:tcW w:w="0" w:type="auto"/>
            <w:gridSpan w:val="6"/>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Mapa zasadnicza</w:t>
            </w:r>
            <w:r>
              <w:rPr>
                <w:rFonts w:ascii="Times New Roman"/>
                <w:b w:val="false"/>
                <w:i w:val="false"/>
                <w:color w:val="000000"/>
                <w:sz w:val="24"/>
                <w:lang w:val="pl-PL"/>
              </w:rPr>
              <w:t xml:space="preserve"> </w:t>
            </w:r>
          </w:p>
        </w:tc>
      </w:tr>
      <w:tr>
        <w:trPr>
          <w:trHeight w:val="45" w:hRule="atLeast"/>
        </w:trPr>
        <w:tc>
          <w:tcPr>
            <w:tcW w:w="89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Lp.</w:t>
            </w:r>
            <w:r>
              <w:rPr>
                <w:rFonts w:ascii="Times New Roman"/>
                <w:b w:val="false"/>
                <w:i w:val="false"/>
                <w:color w:val="000000"/>
                <w:sz w:val="24"/>
                <w:lang w:val="pl-PL"/>
              </w:rPr>
              <w:t xml:space="preserve"> </w:t>
            </w:r>
          </w:p>
        </w:tc>
        <w:tc>
          <w:tcPr>
            <w:tcW w:w="582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Nazwa materiału zasobu</w:t>
            </w:r>
            <w:r>
              <w:rPr>
                <w:rFonts w:ascii="Times New Roman"/>
                <w:b w:val="false"/>
                <w:i w:val="false"/>
                <w:color w:val="000000"/>
                <w:sz w:val="24"/>
                <w:lang w:val="pl-PL"/>
              </w:rPr>
              <w:t xml:space="preserve"> </w:t>
            </w:r>
          </w:p>
        </w:tc>
        <w:tc>
          <w:tcPr>
            <w:tcW w:w="268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Jednostka rozliczeniowa</w:t>
            </w:r>
            <w:r>
              <w:rPr>
                <w:rFonts w:ascii="Times New Roman"/>
                <w:b w:val="false"/>
                <w:i w:val="false"/>
                <w:color w:val="000000"/>
                <w:sz w:val="24"/>
                <w:lang w:val="pl-PL"/>
              </w:rPr>
              <w:t xml:space="preserve"> </w:t>
            </w:r>
          </w:p>
        </w:tc>
        <w:tc>
          <w:tcPr>
            <w:tcW w:w="0" w:type="auto"/>
            <w:gridSpan w:val="2"/>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Stawka podstawowa (Sp)</w:t>
            </w:r>
            <w:r>
              <w:rPr>
                <w:rFonts w:ascii="Times New Roman"/>
                <w:b w:val="false"/>
                <w:i w:val="false"/>
                <w:color w:val="000000"/>
                <w:sz w:val="24"/>
                <w:lang w:val="pl-PL"/>
              </w:rPr>
              <w:t xml:space="preserve"> </w:t>
            </w:r>
          </w:p>
        </w:tc>
        <w:tc>
          <w:tcPr>
            <w:tcW w:w="1030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 xml:space="preserve">Współczynniki korygujące </w:t>
            </w:r>
            <w:r>
              <w:rPr>
                <w:rFonts w:ascii="Times New Roman"/>
                <w:b w:val="false"/>
                <w:i w:val="false"/>
                <w:color w:val="000000"/>
                <w:sz w:val="24"/>
                <w:lang w:val="pl-PL"/>
              </w:rPr>
              <w:t xml:space="preserve"> </w:t>
            </w:r>
            <w:r>
              <w:rPr>
                <w:rFonts w:ascii="Times New Roman"/>
                <w:b w:val="false"/>
                <w:i/>
                <w:color w:val="000000"/>
                <w:sz w:val="24"/>
                <w:lang w:val="pl-PL"/>
              </w:rPr>
              <w:t>LR</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PD</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AJ</w:t>
            </w:r>
            <w:r>
              <w:rPr>
                <w:rFonts w:ascii="Times New Roman"/>
                <w:b w:val="false"/>
                <w:i w:val="false"/>
                <w:color w:val="000000"/>
                <w:sz w:val="24"/>
                <w:lang w:val="pl-PL"/>
              </w:rPr>
              <w:t xml:space="preserve"> </w:t>
            </w:r>
          </w:p>
        </w:tc>
      </w:tr>
      <w:tr>
        <w:trPr>
          <w:trHeight w:val="45" w:hRule="atLeast"/>
        </w:trPr>
        <w:tc>
          <w:tcPr>
            <w:tcW w:w="89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w:t>
            </w:r>
          </w:p>
        </w:tc>
        <w:tc>
          <w:tcPr>
            <w:tcW w:w="582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Mapa zasadnicza w postaci rastrowej</w:t>
            </w:r>
          </w:p>
        </w:tc>
        <w:tc>
          <w:tcPr>
            <w:tcW w:w="2688"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ha</w:t>
            </w:r>
          </w:p>
        </w:tc>
        <w:tc>
          <w:tcPr>
            <w:tcW w:w="0" w:type="auto"/>
            <w:gridSpan w:val="2"/>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19,90 zł</w:t>
            </w:r>
          </w:p>
        </w:tc>
        <w:tc>
          <w:tcPr>
            <w:tcW w:w="1030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 LR przyjmuje wartość:</w:t>
            </w:r>
          </w:p>
          <w:p>
            <w:pPr>
              <w:spacing w:before="25" w:after="0"/>
              <w:ind w:left="0"/>
              <w:jc w:val="left"/>
              <w:textAlignment w:val="auto"/>
            </w:pPr>
            <w:r>
              <w:rPr>
                <w:rFonts w:ascii="Times New Roman"/>
                <w:b w:val="false"/>
                <w:i w:val="false"/>
                <w:color w:val="000000"/>
                <w:sz w:val="24"/>
                <w:lang w:val="pl-PL"/>
              </w:rPr>
              <w:t>1) 1,0 - dla Ljr nie większej niż 10;</w:t>
            </w:r>
          </w:p>
          <w:p>
            <w:pPr>
              <w:spacing w:before="25" w:after="0"/>
              <w:ind w:left="0"/>
              <w:jc w:val="left"/>
              <w:textAlignment w:val="auto"/>
            </w:pPr>
            <w:r>
              <w:rPr>
                <w:rFonts w:ascii="Times New Roman"/>
                <w:b w:val="false"/>
                <w:i w:val="false"/>
                <w:color w:val="000000"/>
                <w:sz w:val="24"/>
                <w:lang w:val="pl-PL"/>
              </w:rPr>
              <w:t>2) 0,8 - dla Ljr w przedziale 11-100;</w:t>
            </w:r>
          </w:p>
          <w:p>
            <w:pPr>
              <w:spacing w:before="25" w:after="0"/>
              <w:ind w:left="0"/>
              <w:jc w:val="left"/>
              <w:textAlignment w:val="auto"/>
            </w:pPr>
            <w:r>
              <w:rPr>
                <w:rFonts w:ascii="Times New Roman"/>
                <w:b w:val="false"/>
                <w:i w:val="false"/>
                <w:color w:val="000000"/>
                <w:sz w:val="24"/>
                <w:lang w:val="pl-PL"/>
              </w:rPr>
              <w:t>3) 0,6 - dla Ljr większej od 100.</w:t>
            </w:r>
          </w:p>
        </w:tc>
      </w:tr>
      <w:tr>
        <w:trPr>
          <w:trHeight w:val="45" w:hRule="atLeast"/>
        </w:trPr>
        <w:tc>
          <w:tcPr>
            <w:tcW w:w="89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w:t>
            </w:r>
          </w:p>
        </w:tc>
        <w:tc>
          <w:tcPr>
            <w:tcW w:w="582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Mapa zasadnicza w postaci wektorowej</w:t>
            </w:r>
          </w:p>
        </w:tc>
        <w:tc>
          <w:tcPr>
            <w:tcW w:w="0" w:type="auto"/>
            <w:vMerge/>
            <w:tcBorders>
              <w:top w:val="nil"/>
              <w:bottom w:val="single" w:color="000000" w:sz="8"/>
              <w:right w:val="single" w:color="000000" w:sz="8"/>
            </w:tcBorders>
          </w:tcPr>
          <w:p/>
        </w:tc>
        <w:tc>
          <w:tcPr>
            <w:tcW w:w="0" w:type="auto"/>
            <w:gridSpan w:val="2"/>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28,43 zł</w:t>
            </w:r>
          </w:p>
        </w:tc>
        <w:tc>
          <w:tcPr>
            <w:tcW w:w="1030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 AJ przyjmuje wartość:</w:t>
            </w:r>
          </w:p>
          <w:p>
            <w:pPr>
              <w:spacing w:before="25" w:after="0"/>
              <w:ind w:left="0"/>
              <w:jc w:val="left"/>
              <w:textAlignment w:val="auto"/>
            </w:pPr>
            <w:r>
              <w:rPr>
                <w:rFonts w:ascii="Times New Roman"/>
                <w:b w:val="false"/>
                <w:i w:val="false"/>
                <w:color w:val="000000"/>
                <w:sz w:val="24"/>
                <w:lang w:val="pl-PL"/>
              </w:rPr>
              <w:t>1) 1,0 - dla mapy zasadniczej w skalach 1:500</w:t>
            </w:r>
          </w:p>
          <w:p>
            <w:pPr>
              <w:spacing w:before="25" w:after="0"/>
              <w:ind w:left="0"/>
              <w:jc w:val="left"/>
              <w:textAlignment w:val="auto"/>
            </w:pPr>
            <w:r>
              <w:rPr>
                <w:rFonts w:ascii="Times New Roman"/>
                <w:b w:val="false"/>
                <w:i w:val="false"/>
                <w:color w:val="000000"/>
                <w:sz w:val="24"/>
                <w:lang w:val="pl-PL"/>
              </w:rPr>
              <w:t>2) 0,8 - dla mapy zasadniczej w skalach 1:1000;</w:t>
            </w:r>
          </w:p>
          <w:p>
            <w:pPr>
              <w:spacing w:before="25" w:after="0"/>
              <w:ind w:left="0"/>
              <w:jc w:val="left"/>
              <w:textAlignment w:val="auto"/>
            </w:pPr>
            <w:r>
              <w:rPr>
                <w:rFonts w:ascii="Times New Roman"/>
                <w:b w:val="false"/>
                <w:i w:val="false"/>
                <w:color w:val="000000"/>
                <w:sz w:val="24"/>
                <w:lang w:val="pl-PL"/>
              </w:rPr>
              <w:t>3) 0,5 - dla mapy zasadniczej w skalach 1:2000;</w:t>
            </w:r>
          </w:p>
          <w:p>
            <w:pPr>
              <w:spacing w:before="25" w:after="0"/>
              <w:ind w:left="0"/>
              <w:jc w:val="left"/>
              <w:textAlignment w:val="auto"/>
            </w:pPr>
            <w:r>
              <w:rPr>
                <w:rFonts w:ascii="Times New Roman"/>
                <w:b w:val="false"/>
                <w:i w:val="false"/>
                <w:color w:val="000000"/>
                <w:sz w:val="24"/>
                <w:lang w:val="pl-PL"/>
              </w:rPr>
              <w:t>4) 0,3 - dla mapy zasadniczej w skalach 1:5000.</w:t>
            </w:r>
          </w:p>
          <w:p>
            <w:pPr>
              <w:spacing w:before="25" w:after="0"/>
              <w:ind w:left="0"/>
              <w:jc w:val="left"/>
              <w:textAlignment w:val="auto"/>
            </w:pPr>
            <w:r>
              <w:rPr>
                <w:rFonts w:ascii="Times New Roman"/>
                <w:b w:val="false"/>
                <w:i w:val="false"/>
                <w:color w:val="000000"/>
                <w:sz w:val="24"/>
                <w:lang w:val="pl-PL"/>
              </w:rPr>
              <w:t>3. PD przyjmuje wartość 1,0.</w:t>
            </w:r>
          </w:p>
        </w:tc>
      </w:tr>
      <w:tr>
        <w:trPr>
          <w:trHeight w:val="45" w:hRule="atLeast"/>
        </w:trPr>
        <w:tc>
          <w:tcPr>
            <w:tcW w:w="89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3.</w:t>
            </w:r>
          </w:p>
        </w:tc>
        <w:tc>
          <w:tcPr>
            <w:tcW w:w="582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Arkusz mapy zasadniczej w postaci drukowanej</w:t>
            </w:r>
          </w:p>
        </w:tc>
        <w:tc>
          <w:tcPr>
            <w:tcW w:w="268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Arkusz formatu</w:t>
            </w:r>
          </w:p>
          <w:p>
            <w:pPr>
              <w:spacing w:before="25" w:after="0"/>
              <w:ind w:left="0"/>
              <w:jc w:val="center"/>
              <w:textAlignment w:val="auto"/>
            </w:pPr>
            <w:r>
              <w:rPr>
                <w:rFonts w:ascii="Times New Roman"/>
                <w:b w:val="false"/>
                <w:i w:val="false"/>
                <w:color w:val="000000"/>
                <w:sz w:val="24"/>
                <w:lang w:val="pl-PL"/>
              </w:rPr>
              <w:t>A0</w:t>
            </w:r>
          </w:p>
        </w:tc>
        <w:tc>
          <w:tcPr>
            <w:tcW w:w="201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224,71 zł</w:t>
            </w:r>
          </w:p>
        </w:tc>
        <w:tc>
          <w:tcPr>
            <w:tcW w:w="0" w:type="auto"/>
            <w:gridSpan w:val="2"/>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1. </w:t>
            </w:r>
            <w:r>
              <w:rPr>
                <w:rFonts w:ascii="Times New Roman"/>
                <w:b w:val="false"/>
                <w:i/>
                <w:color w:val="000000"/>
                <w:sz w:val="24"/>
                <w:lang w:val="pl-PL"/>
              </w:rPr>
              <w:t>LR</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dla Ljr nie większej niż 10;</w:t>
            </w:r>
          </w:p>
          <w:p>
            <w:pPr>
              <w:spacing w:before="25" w:after="0"/>
              <w:ind w:left="0"/>
              <w:jc w:val="left"/>
              <w:textAlignment w:val="auto"/>
            </w:pPr>
            <w:r>
              <w:rPr>
                <w:rFonts w:ascii="Times New Roman"/>
                <w:b w:val="false"/>
                <w:i w:val="false"/>
                <w:color w:val="000000"/>
                <w:sz w:val="24"/>
                <w:lang w:val="pl-PL"/>
              </w:rPr>
              <w:t>2) 0,8 - dla Ljr większej od 10.</w:t>
            </w:r>
          </w:p>
          <w:p>
            <w:pPr>
              <w:spacing w:before="25" w:after="0"/>
              <w:ind w:left="0"/>
              <w:jc w:val="left"/>
              <w:textAlignment w:val="auto"/>
            </w:pPr>
            <w:r>
              <w:rPr>
                <w:rFonts w:ascii="Times New Roman"/>
                <w:b w:val="false"/>
                <w:i w:val="false"/>
                <w:color w:val="000000"/>
                <w:sz w:val="24"/>
                <w:lang w:val="pl-PL"/>
              </w:rPr>
              <w:t xml:space="preserve">2. </w:t>
            </w:r>
            <w:r>
              <w:rPr>
                <w:rFonts w:ascii="Times New Roman"/>
                <w:b w:val="false"/>
                <w:i/>
                <w:color w:val="000000"/>
                <w:sz w:val="24"/>
                <w:lang w:val="pl-PL"/>
              </w:rPr>
              <w:t>PD</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1,00 - dla arkusza mapy w formacie A0;</w:t>
            </w:r>
          </w:p>
          <w:p>
            <w:pPr>
              <w:spacing w:before="25" w:after="0"/>
              <w:ind w:left="0"/>
              <w:jc w:val="left"/>
              <w:textAlignment w:val="auto"/>
            </w:pPr>
            <w:r>
              <w:rPr>
                <w:rFonts w:ascii="Times New Roman"/>
                <w:b w:val="false"/>
                <w:i w:val="false"/>
                <w:color w:val="000000"/>
                <w:sz w:val="24"/>
                <w:lang w:val="pl-PL"/>
              </w:rPr>
              <w:t>2) 0,60 - dla arkusza mapy w formacie A1;</w:t>
            </w:r>
          </w:p>
          <w:p>
            <w:pPr>
              <w:spacing w:before="25" w:after="0"/>
              <w:ind w:left="0"/>
              <w:jc w:val="left"/>
              <w:textAlignment w:val="auto"/>
            </w:pPr>
            <w:r>
              <w:rPr>
                <w:rFonts w:ascii="Times New Roman"/>
                <w:b w:val="false"/>
                <w:i w:val="false"/>
                <w:color w:val="000000"/>
                <w:sz w:val="24"/>
                <w:lang w:val="pl-PL"/>
              </w:rPr>
              <w:t>3) 0,40 - dla arkusza mapy w formacie A2;</w:t>
            </w:r>
          </w:p>
          <w:p>
            <w:pPr>
              <w:spacing w:before="25" w:after="0"/>
              <w:ind w:left="0"/>
              <w:jc w:val="left"/>
              <w:textAlignment w:val="auto"/>
            </w:pPr>
            <w:r>
              <w:rPr>
                <w:rFonts w:ascii="Times New Roman"/>
                <w:b w:val="false"/>
                <w:i w:val="false"/>
                <w:color w:val="000000"/>
                <w:sz w:val="24"/>
                <w:lang w:val="pl-PL"/>
              </w:rPr>
              <w:t>4) 0,25 - dla arkusza mapy w formacie A3;</w:t>
            </w:r>
          </w:p>
          <w:p>
            <w:pPr>
              <w:spacing w:before="25" w:after="0"/>
              <w:ind w:left="0"/>
              <w:jc w:val="left"/>
              <w:textAlignment w:val="auto"/>
            </w:pPr>
            <w:r>
              <w:rPr>
                <w:rFonts w:ascii="Times New Roman"/>
                <w:b w:val="false"/>
                <w:i w:val="false"/>
                <w:color w:val="000000"/>
                <w:sz w:val="24"/>
                <w:lang w:val="pl-PL"/>
              </w:rPr>
              <w:t>5) 0,15 - dla arkusza mapy w formacie A4.</w:t>
            </w:r>
          </w:p>
          <w:p>
            <w:pPr>
              <w:spacing w:before="25" w:after="0"/>
              <w:ind w:left="0"/>
              <w:jc w:val="left"/>
              <w:textAlignment w:val="auto"/>
            </w:pPr>
            <w:r>
              <w:rPr>
                <w:rFonts w:ascii="Times New Roman"/>
                <w:b w:val="false"/>
                <w:i w:val="false"/>
                <w:color w:val="000000"/>
                <w:sz w:val="24"/>
                <w:lang w:val="pl-PL"/>
              </w:rPr>
              <w:t xml:space="preserve">3. </w:t>
            </w:r>
            <w:r>
              <w:rPr>
                <w:rFonts w:ascii="Times New Roman"/>
                <w:b w:val="false"/>
                <w:i/>
                <w:color w:val="000000"/>
                <w:sz w:val="24"/>
                <w:lang w:val="pl-PL"/>
              </w:rPr>
              <w:t>AJ</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dla wydruku kolorowego;</w:t>
            </w:r>
          </w:p>
          <w:p>
            <w:pPr>
              <w:spacing w:before="25" w:after="0"/>
              <w:ind w:left="0"/>
              <w:jc w:val="left"/>
              <w:textAlignment w:val="auto"/>
            </w:pPr>
            <w:r>
              <w:rPr>
                <w:rFonts w:ascii="Times New Roman"/>
                <w:b w:val="false"/>
                <w:i w:val="false"/>
                <w:color w:val="000000"/>
                <w:sz w:val="24"/>
                <w:lang w:val="pl-PL"/>
              </w:rPr>
              <w:t>2) 0,7 - dla wydruku czarno-białego.</w:t>
            </w:r>
          </w:p>
        </w:tc>
      </w:tr>
      <w:tr>
        <w:trPr>
          <w:trHeight w:val="45" w:hRule="atLeast"/>
        </w:trPr>
        <w:tc>
          <w:tcPr>
            <w:tcW w:w="89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4.</w:t>
            </w:r>
          </w:p>
        </w:tc>
        <w:tc>
          <w:tcPr>
            <w:tcW w:w="582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Kolejna kopia arkusza mapy zasadniczej, o którym mowa w lp. 3</w:t>
            </w:r>
          </w:p>
        </w:tc>
        <w:tc>
          <w:tcPr>
            <w:tcW w:w="268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Arkusz formatu</w:t>
            </w:r>
          </w:p>
          <w:p>
            <w:pPr>
              <w:spacing w:before="25" w:after="0"/>
              <w:ind w:left="0"/>
              <w:jc w:val="center"/>
              <w:textAlignment w:val="auto"/>
            </w:pPr>
            <w:r>
              <w:rPr>
                <w:rFonts w:ascii="Times New Roman"/>
                <w:b w:val="false"/>
                <w:i w:val="false"/>
                <w:color w:val="000000"/>
                <w:sz w:val="24"/>
                <w:lang w:val="pl-PL"/>
              </w:rPr>
              <w:t>A0</w:t>
            </w:r>
          </w:p>
        </w:tc>
        <w:tc>
          <w:tcPr>
            <w:tcW w:w="2016"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119,83 zł</w:t>
            </w:r>
          </w:p>
        </w:tc>
        <w:tc>
          <w:tcPr>
            <w:tcW w:w="0" w:type="auto"/>
            <w:gridSpan w:val="2"/>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1. </w:t>
            </w:r>
            <w:r>
              <w:rPr>
                <w:rFonts w:ascii="Times New Roman"/>
                <w:b w:val="false"/>
                <w:i/>
                <w:color w:val="000000"/>
                <w:sz w:val="24"/>
                <w:lang w:val="pl-PL"/>
              </w:rPr>
              <w:t>LR</w:t>
            </w:r>
            <w:r>
              <w:rPr>
                <w:rFonts w:ascii="Times New Roman"/>
                <w:b w:val="false"/>
                <w:i w:val="false"/>
                <w:color w:val="000000"/>
                <w:sz w:val="24"/>
                <w:lang w:val="pl-PL"/>
              </w:rPr>
              <w:t xml:space="preserve"> przyjmuje wartość 1,0.</w:t>
            </w:r>
          </w:p>
          <w:p>
            <w:pPr>
              <w:spacing w:before="25" w:after="0"/>
              <w:ind w:left="0"/>
              <w:jc w:val="left"/>
              <w:textAlignment w:val="auto"/>
            </w:pPr>
            <w:r>
              <w:rPr>
                <w:rFonts w:ascii="Times New Roman"/>
                <w:b w:val="false"/>
                <w:i w:val="false"/>
                <w:color w:val="000000"/>
                <w:sz w:val="24"/>
                <w:lang w:val="pl-PL"/>
              </w:rPr>
              <w:t xml:space="preserve">2. </w:t>
            </w:r>
            <w:r>
              <w:rPr>
                <w:rFonts w:ascii="Times New Roman"/>
                <w:b w:val="false"/>
                <w:i/>
                <w:color w:val="000000"/>
                <w:sz w:val="24"/>
                <w:lang w:val="pl-PL"/>
              </w:rPr>
              <w:t>PD</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1,00 - dla arkusza mapy w formacie A0;</w:t>
            </w:r>
          </w:p>
          <w:p>
            <w:pPr>
              <w:spacing w:before="25" w:after="0"/>
              <w:ind w:left="0"/>
              <w:jc w:val="left"/>
              <w:textAlignment w:val="auto"/>
            </w:pPr>
            <w:r>
              <w:rPr>
                <w:rFonts w:ascii="Times New Roman"/>
                <w:b w:val="false"/>
                <w:i w:val="false"/>
                <w:color w:val="000000"/>
                <w:sz w:val="24"/>
                <w:lang w:val="pl-PL"/>
              </w:rPr>
              <w:t>2) 0,60 - dla arkusza mapy w formacie A1;</w:t>
            </w:r>
          </w:p>
          <w:p>
            <w:pPr>
              <w:spacing w:before="25" w:after="0"/>
              <w:ind w:left="0"/>
              <w:jc w:val="left"/>
              <w:textAlignment w:val="auto"/>
            </w:pPr>
            <w:r>
              <w:rPr>
                <w:rFonts w:ascii="Times New Roman"/>
                <w:b w:val="false"/>
                <w:i w:val="false"/>
                <w:color w:val="000000"/>
                <w:sz w:val="24"/>
                <w:lang w:val="pl-PL"/>
              </w:rPr>
              <w:t>3) 0,40 - dla arkusza mapy w formacie A2;</w:t>
            </w:r>
          </w:p>
          <w:p>
            <w:pPr>
              <w:spacing w:before="25" w:after="0"/>
              <w:ind w:left="0"/>
              <w:jc w:val="left"/>
              <w:textAlignment w:val="auto"/>
            </w:pPr>
            <w:r>
              <w:rPr>
                <w:rFonts w:ascii="Times New Roman"/>
                <w:b w:val="false"/>
                <w:i w:val="false"/>
                <w:color w:val="000000"/>
                <w:sz w:val="24"/>
                <w:lang w:val="pl-PL"/>
              </w:rPr>
              <w:t>4) 0,25 - dla arkusza mapy w formacie A3;</w:t>
            </w:r>
          </w:p>
          <w:p>
            <w:pPr>
              <w:spacing w:before="25" w:after="0"/>
              <w:ind w:left="0"/>
              <w:jc w:val="left"/>
              <w:textAlignment w:val="auto"/>
            </w:pPr>
            <w:r>
              <w:rPr>
                <w:rFonts w:ascii="Times New Roman"/>
                <w:b w:val="false"/>
                <w:i w:val="false"/>
                <w:color w:val="000000"/>
                <w:sz w:val="24"/>
                <w:lang w:val="pl-PL"/>
              </w:rPr>
              <w:t>5) 0,15 - dla arkusza mapy w formacie A4.</w:t>
            </w:r>
          </w:p>
          <w:p>
            <w:pPr>
              <w:spacing w:before="25" w:after="0"/>
              <w:ind w:left="0"/>
              <w:jc w:val="left"/>
              <w:textAlignment w:val="auto"/>
            </w:pPr>
            <w:r>
              <w:rPr>
                <w:rFonts w:ascii="Times New Roman"/>
                <w:b w:val="false"/>
                <w:i w:val="false"/>
                <w:color w:val="000000"/>
                <w:sz w:val="24"/>
                <w:lang w:val="pl-PL"/>
              </w:rPr>
              <w:t xml:space="preserve">3. </w:t>
            </w:r>
            <w:r>
              <w:rPr>
                <w:rFonts w:ascii="Times New Roman"/>
                <w:b w:val="false"/>
                <w:i/>
                <w:color w:val="000000"/>
                <w:sz w:val="24"/>
                <w:lang w:val="pl-PL"/>
              </w:rPr>
              <w:t>AJ</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dla wydruku kolorowego;</w:t>
            </w:r>
          </w:p>
          <w:p>
            <w:pPr>
              <w:spacing w:before="25" w:after="0"/>
              <w:ind w:left="0"/>
              <w:jc w:val="left"/>
              <w:textAlignment w:val="auto"/>
            </w:pPr>
            <w:r>
              <w:rPr>
                <w:rFonts w:ascii="Times New Roman"/>
                <w:b w:val="false"/>
                <w:i w:val="false"/>
                <w:color w:val="000000"/>
                <w:sz w:val="24"/>
                <w:lang w:val="pl-PL"/>
              </w:rPr>
              <w:t>2) 0,7 - dla wydruku czarno-białego.</w:t>
            </w:r>
          </w:p>
        </w:tc>
      </w:tr>
    </w:tbl>
    <w:p>
      <w:pPr>
        <w:spacing w:before="25"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Tabela nr 14</w:t>
      </w:r>
      <w:r>
        <w:rPr>
          <w:rFonts w:ascii="Times New Roman"/>
          <w:b w:val="false"/>
          <w:i w:val="false"/>
          <w:color w:val="000000"/>
          <w:sz w:val="24"/>
          <w:lang w:val="pl-PL"/>
        </w:rPr>
        <w:t xml:space="preserve">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923"/>
        <w:gridCol w:w="6007"/>
        <w:gridCol w:w="2771"/>
        <w:gridCol w:w="2078"/>
        <w:gridCol w:w="10629"/>
      </w:tblGrid>
      <w:tr>
        <w:trPr>
          <w:trHeight w:val="45" w:hRule="atLeast"/>
        </w:trPr>
        <w:tc>
          <w:tcPr>
            <w:tcW w:w="0" w:type="auto"/>
            <w:gridSpan w:val="5"/>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Kartograficzne opracowania tematyczne i specjalne oraz niestandardowe opracowania topograficzne</w:t>
            </w:r>
            <w:r>
              <w:rPr>
                <w:rFonts w:ascii="Times New Roman"/>
                <w:b w:val="false"/>
                <w:i w:val="false"/>
                <w:color w:val="000000"/>
                <w:sz w:val="24"/>
                <w:lang w:val="pl-PL"/>
              </w:rPr>
              <w:t xml:space="preserve"> </w:t>
            </w:r>
          </w:p>
        </w:tc>
      </w:tr>
      <w:tr>
        <w:trPr>
          <w:trHeight w:val="45" w:hRule="atLeast"/>
        </w:trPr>
        <w:tc>
          <w:tcPr>
            <w:tcW w:w="92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Lp.</w:t>
            </w:r>
            <w:r>
              <w:rPr>
                <w:rFonts w:ascii="Times New Roman"/>
                <w:b w:val="false"/>
                <w:i w:val="false"/>
                <w:color w:val="000000"/>
                <w:sz w:val="24"/>
                <w:lang w:val="pl-PL"/>
              </w:rPr>
              <w:t xml:space="preserve"> </w:t>
            </w:r>
          </w:p>
        </w:tc>
        <w:tc>
          <w:tcPr>
            <w:tcW w:w="600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Nazwa materiału zasobu</w:t>
            </w:r>
            <w:r>
              <w:rPr>
                <w:rFonts w:ascii="Times New Roman"/>
                <w:b w:val="false"/>
                <w:i w:val="false"/>
                <w:color w:val="000000"/>
                <w:sz w:val="24"/>
                <w:lang w:val="pl-PL"/>
              </w:rPr>
              <w:t xml:space="preserve"> </w:t>
            </w:r>
          </w:p>
        </w:tc>
        <w:tc>
          <w:tcPr>
            <w:tcW w:w="2771"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Jednostka rozliczeniowa</w:t>
            </w:r>
            <w:r>
              <w:rPr>
                <w:rFonts w:ascii="Times New Roman"/>
                <w:b w:val="false"/>
                <w:i w:val="false"/>
                <w:color w:val="000000"/>
                <w:sz w:val="24"/>
                <w:lang w:val="pl-PL"/>
              </w:rPr>
              <w:t xml:space="preserve"> </w:t>
            </w:r>
          </w:p>
        </w:tc>
        <w:tc>
          <w:tcPr>
            <w:tcW w:w="207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Stawka podstawowa (Sp)</w:t>
            </w:r>
            <w:r>
              <w:rPr>
                <w:rFonts w:ascii="Times New Roman"/>
                <w:b w:val="false"/>
                <w:i w:val="false"/>
                <w:color w:val="000000"/>
                <w:sz w:val="24"/>
                <w:lang w:val="pl-PL"/>
              </w:rPr>
              <w:t xml:space="preserve"> </w:t>
            </w:r>
          </w:p>
        </w:tc>
        <w:tc>
          <w:tcPr>
            <w:tcW w:w="10629"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 xml:space="preserve">Współczynniki korygujące </w:t>
            </w:r>
            <w:r>
              <w:rPr>
                <w:rFonts w:ascii="Times New Roman"/>
                <w:b w:val="false"/>
                <w:i w:val="false"/>
                <w:color w:val="000000"/>
                <w:sz w:val="24"/>
                <w:lang w:val="pl-PL"/>
              </w:rPr>
              <w:t xml:space="preserve"> </w:t>
            </w:r>
            <w:r>
              <w:rPr>
                <w:rFonts w:ascii="Times New Roman"/>
                <w:b w:val="false"/>
                <w:i/>
                <w:color w:val="000000"/>
                <w:sz w:val="24"/>
                <w:lang w:val="pl-PL"/>
              </w:rPr>
              <w:t>LR</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PD</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AJ</w:t>
            </w:r>
            <w:r>
              <w:rPr>
                <w:rFonts w:ascii="Times New Roman"/>
                <w:b w:val="false"/>
                <w:i w:val="false"/>
                <w:color w:val="000000"/>
                <w:sz w:val="24"/>
                <w:lang w:val="pl-PL"/>
              </w:rPr>
              <w:t xml:space="preserve"> </w:t>
            </w:r>
          </w:p>
        </w:tc>
      </w:tr>
      <w:tr>
        <w:trPr>
          <w:trHeight w:val="45" w:hRule="atLeast"/>
        </w:trPr>
        <w:tc>
          <w:tcPr>
            <w:tcW w:w="92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w:t>
            </w:r>
          </w:p>
        </w:tc>
        <w:tc>
          <w:tcPr>
            <w:tcW w:w="600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Kartograficzne opracowania tematyczne oraz niestandardowe opracowania topograficzne, niewymienione w tabelach nr 2, 3, 6-13 </w:t>
            </w:r>
            <w:r>
              <w:rPr>
                <w:rFonts w:ascii="Times New Roman"/>
                <w:b w:val="false"/>
                <w:i w:val="false"/>
                <w:color w:val="1b1b1b"/>
                <w:sz w:val="24"/>
                <w:lang w:val="pl-PL"/>
              </w:rPr>
              <w:t>załącznika</w:t>
            </w:r>
            <w:r>
              <w:rPr>
                <w:rFonts w:ascii="Times New Roman"/>
                <w:b w:val="false"/>
                <w:i w:val="false"/>
                <w:color w:val="000000"/>
                <w:sz w:val="24"/>
                <w:lang w:val="pl-PL"/>
              </w:rPr>
              <w:t xml:space="preserve"> do ustawy z dnia 17 maja 1989 r. - Prawo geodezyjne i kartograficzne, w postaci rastrowej</w:t>
            </w:r>
          </w:p>
        </w:tc>
        <w:tc>
          <w:tcPr>
            <w:tcW w:w="2771"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arkusz mapy</w:t>
            </w:r>
          </w:p>
        </w:tc>
        <w:tc>
          <w:tcPr>
            <w:tcW w:w="207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14,97 zł</w:t>
            </w:r>
          </w:p>
        </w:tc>
        <w:tc>
          <w:tcPr>
            <w:tcW w:w="10629"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val="false"/>
                <w:i/>
                <w:color w:val="000000"/>
                <w:sz w:val="24"/>
                <w:lang w:val="pl-PL"/>
              </w:rPr>
              <w:t>LR</w:t>
            </w:r>
            <w:r>
              <w:rPr>
                <w:rFonts w:ascii="Times New Roman"/>
                <w:b w:val="false"/>
                <w:i w:val="false"/>
                <w:color w:val="000000"/>
                <w:sz w:val="24"/>
                <w:lang w:val="pl-PL"/>
              </w:rPr>
              <w:t xml:space="preserve">, </w:t>
            </w:r>
            <w:r>
              <w:rPr>
                <w:rFonts w:ascii="Times New Roman"/>
                <w:b w:val="false"/>
                <w:i/>
                <w:color w:val="000000"/>
                <w:sz w:val="24"/>
                <w:lang w:val="pl-PL"/>
              </w:rPr>
              <w:t>PD</w:t>
            </w:r>
            <w:r>
              <w:rPr>
                <w:rFonts w:ascii="Times New Roman"/>
                <w:b w:val="false"/>
                <w:i w:val="false"/>
                <w:color w:val="000000"/>
                <w:sz w:val="24"/>
                <w:lang w:val="pl-PL"/>
              </w:rPr>
              <w:t xml:space="preserve"> i </w:t>
            </w:r>
            <w:r>
              <w:rPr>
                <w:rFonts w:ascii="Times New Roman"/>
                <w:b w:val="false"/>
                <w:i/>
                <w:color w:val="000000"/>
                <w:sz w:val="24"/>
                <w:lang w:val="pl-PL"/>
              </w:rPr>
              <w:t xml:space="preserve">AJ </w:t>
            </w:r>
            <w:r>
              <w:rPr>
                <w:rFonts w:ascii="Times New Roman"/>
                <w:b w:val="false"/>
                <w:i w:val="false"/>
                <w:color w:val="000000"/>
                <w:sz w:val="24"/>
                <w:lang w:val="pl-PL"/>
              </w:rPr>
              <w:t>przyjmują wartość 1,0.</w:t>
            </w:r>
          </w:p>
        </w:tc>
      </w:tr>
      <w:tr>
        <w:trPr>
          <w:trHeight w:val="45" w:hRule="atLeast"/>
        </w:trPr>
        <w:tc>
          <w:tcPr>
            <w:tcW w:w="92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w:t>
            </w:r>
          </w:p>
        </w:tc>
        <w:tc>
          <w:tcPr>
            <w:tcW w:w="600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Kartograficzne opracowania tematyczne oraz niestandardowe opracowania topograficzne, niewymienione w tabelach nr 2, 3, 6-13 </w:t>
            </w:r>
            <w:r>
              <w:rPr>
                <w:rFonts w:ascii="Times New Roman"/>
                <w:b w:val="false"/>
                <w:i w:val="false"/>
                <w:color w:val="1b1b1b"/>
                <w:sz w:val="24"/>
                <w:lang w:val="pl-PL"/>
              </w:rPr>
              <w:t>załącznika</w:t>
            </w:r>
            <w:r>
              <w:rPr>
                <w:rFonts w:ascii="Times New Roman"/>
                <w:b w:val="false"/>
                <w:i w:val="false"/>
                <w:color w:val="000000"/>
                <w:sz w:val="24"/>
                <w:lang w:val="pl-PL"/>
              </w:rPr>
              <w:t xml:space="preserve"> do ustawy z dnia 17 maja 1989 r. - Prawo geodezyjne i kartograficzne, w postaci wektorowej</w:t>
            </w:r>
          </w:p>
        </w:tc>
        <w:tc>
          <w:tcPr>
            <w:tcW w:w="0" w:type="auto"/>
            <w:vMerge/>
            <w:tcBorders>
              <w:top w:val="nil"/>
              <w:bottom w:val="single" w:color="000000" w:sz="8"/>
              <w:right w:val="single" w:color="000000" w:sz="8"/>
            </w:tcBorders>
          </w:tcPr>
          <w:p/>
        </w:tc>
        <w:tc>
          <w:tcPr>
            <w:tcW w:w="207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22,47 zł</w:t>
            </w:r>
          </w:p>
        </w:tc>
        <w:tc>
          <w:tcPr>
            <w:tcW w:w="0" w:type="auto"/>
            <w:vMerge/>
            <w:tcBorders>
              <w:top w:val="nil"/>
              <w:bottom w:val="single" w:color="000000" w:sz="8"/>
              <w:right w:val="single" w:color="000000" w:sz="8"/>
            </w:tcBorders>
          </w:tcPr>
          <w:p/>
        </w:tc>
      </w:tr>
      <w:tr>
        <w:trPr>
          <w:trHeight w:val="45" w:hRule="atLeast"/>
        </w:trPr>
        <w:tc>
          <w:tcPr>
            <w:tcW w:w="92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3.</w:t>
            </w:r>
          </w:p>
        </w:tc>
        <w:tc>
          <w:tcPr>
            <w:tcW w:w="6007"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Kartograficzne opracowania tematyczne i specjalne oraz niestandardowe opracowania topograficzne, niewymienione w tabelach nr 2, 3, 6-13 </w:t>
            </w:r>
            <w:r>
              <w:rPr>
                <w:rFonts w:ascii="Times New Roman"/>
                <w:b w:val="false"/>
                <w:i w:val="false"/>
                <w:color w:val="1b1b1b"/>
                <w:sz w:val="24"/>
                <w:lang w:val="pl-PL"/>
              </w:rPr>
              <w:t>załącznika</w:t>
            </w:r>
            <w:r>
              <w:rPr>
                <w:rFonts w:ascii="Times New Roman"/>
                <w:b w:val="false"/>
                <w:i w:val="false"/>
                <w:color w:val="000000"/>
                <w:sz w:val="24"/>
                <w:lang w:val="pl-PL"/>
              </w:rPr>
              <w:t xml:space="preserve"> do ustawy z dnia 17 maja 1989 r. - Prawo geodezyjne i kartograficzne, w postaci drukowanej</w:t>
            </w:r>
          </w:p>
        </w:tc>
        <w:tc>
          <w:tcPr>
            <w:tcW w:w="0" w:type="auto"/>
            <w:vMerge/>
            <w:tcBorders>
              <w:top w:val="nil"/>
              <w:bottom w:val="single" w:color="000000" w:sz="8"/>
              <w:right w:val="single" w:color="000000" w:sz="8"/>
            </w:tcBorders>
          </w:tcPr>
          <w:p/>
        </w:tc>
        <w:tc>
          <w:tcPr>
            <w:tcW w:w="2078"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29,97 zł</w:t>
            </w:r>
          </w:p>
        </w:tc>
        <w:tc>
          <w:tcPr>
            <w:tcW w:w="1062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1. </w:t>
            </w:r>
            <w:r>
              <w:rPr>
                <w:rFonts w:ascii="Times New Roman"/>
                <w:b w:val="false"/>
                <w:i/>
                <w:color w:val="000000"/>
                <w:sz w:val="24"/>
                <w:lang w:val="pl-PL"/>
              </w:rPr>
              <w:t>LR</w:t>
            </w:r>
            <w:r>
              <w:rPr>
                <w:rFonts w:ascii="Times New Roman"/>
                <w:b w:val="false"/>
                <w:i w:val="false"/>
                <w:color w:val="000000"/>
                <w:sz w:val="24"/>
                <w:lang w:val="pl-PL"/>
              </w:rPr>
              <w:t xml:space="preserve"> i </w:t>
            </w:r>
            <w:r>
              <w:rPr>
                <w:rFonts w:ascii="Times New Roman"/>
                <w:b w:val="false"/>
                <w:i/>
                <w:color w:val="000000"/>
                <w:sz w:val="24"/>
                <w:lang w:val="pl-PL"/>
              </w:rPr>
              <w:t>PD</w:t>
            </w:r>
            <w:r>
              <w:rPr>
                <w:rFonts w:ascii="Times New Roman"/>
                <w:b w:val="false"/>
                <w:i w:val="false"/>
                <w:color w:val="000000"/>
                <w:sz w:val="24"/>
                <w:lang w:val="pl-PL"/>
              </w:rPr>
              <w:t xml:space="preserve"> przyjmują wartość 1,0.</w:t>
            </w:r>
          </w:p>
          <w:p>
            <w:pPr>
              <w:spacing w:before="25" w:after="0"/>
              <w:ind w:left="0"/>
              <w:jc w:val="left"/>
              <w:textAlignment w:val="auto"/>
            </w:pPr>
            <w:r>
              <w:rPr>
                <w:rFonts w:ascii="Times New Roman"/>
                <w:b w:val="false"/>
                <w:i w:val="false"/>
                <w:color w:val="000000"/>
                <w:sz w:val="24"/>
                <w:lang w:val="pl-PL"/>
              </w:rPr>
              <w:t xml:space="preserve">2. </w:t>
            </w:r>
            <w:r>
              <w:rPr>
                <w:rFonts w:ascii="Times New Roman"/>
                <w:b w:val="false"/>
                <w:i/>
                <w:color w:val="000000"/>
                <w:sz w:val="24"/>
                <w:lang w:val="pl-PL"/>
              </w:rPr>
              <w:t>AJ</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dla ploterowego wydruku kolorowego;</w:t>
            </w:r>
          </w:p>
          <w:p>
            <w:pPr>
              <w:spacing w:before="25" w:after="0"/>
              <w:ind w:left="0"/>
              <w:jc w:val="left"/>
              <w:textAlignment w:val="auto"/>
            </w:pPr>
            <w:r>
              <w:rPr>
                <w:rFonts w:ascii="Times New Roman"/>
                <w:b w:val="false"/>
                <w:i w:val="false"/>
                <w:color w:val="000000"/>
                <w:sz w:val="24"/>
                <w:lang w:val="pl-PL"/>
              </w:rPr>
              <w:t>2) 0,7 - dla ploterowego wydruku czarno-białego;</w:t>
            </w:r>
          </w:p>
          <w:p>
            <w:pPr>
              <w:spacing w:before="25" w:after="0"/>
              <w:ind w:left="0"/>
              <w:jc w:val="left"/>
              <w:textAlignment w:val="auto"/>
            </w:pPr>
            <w:r>
              <w:rPr>
                <w:rFonts w:ascii="Times New Roman"/>
                <w:b w:val="false"/>
                <w:i w:val="false"/>
                <w:color w:val="000000"/>
                <w:sz w:val="24"/>
                <w:lang w:val="pl-PL"/>
              </w:rPr>
              <w:t>3) 0,4 - dla druku poligraficznego.</w:t>
            </w:r>
          </w:p>
        </w:tc>
      </w:tr>
    </w:tbl>
    <w:p>
      <w:pPr>
        <w:spacing w:before="25"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xml:space="preserve">Tabela nr 15 </w:t>
      </w:r>
      <w:r>
        <w:rPr>
          <w:rFonts w:ascii="Times New Roman"/>
          <w:b w:val="false"/>
          <w:i w:val="false"/>
          <w:color w:val="000000"/>
          <w:sz w:val="24"/>
          <w:lang w:val="pl-PL"/>
        </w:rPr>
        <w:t>(uchylona).</w:t>
      </w:r>
    </w:p>
    <w:p>
      <w:pPr>
        <w:spacing w:before="25"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Tabela nr 16</w:t>
      </w:r>
      <w:r>
        <w:rPr>
          <w:rFonts w:ascii="Times New Roman"/>
          <w:b w:val="false"/>
          <w:i w:val="false"/>
          <w:color w:val="000000"/>
          <w:sz w:val="24"/>
          <w:lang w:val="pl-PL"/>
        </w:rPr>
        <w:t xml:space="preserve">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96"/>
        <w:gridCol w:w="5829"/>
        <w:gridCol w:w="2690"/>
        <w:gridCol w:w="2017"/>
        <w:gridCol w:w="10313"/>
        <w:gridCol w:w="676"/>
      </w:tblGrid>
      <w:tr>
        <w:trPr>
          <w:trHeight w:val="45" w:hRule="atLeast"/>
        </w:trPr>
        <w:tc>
          <w:tcPr>
            <w:tcW w:w="0" w:type="auto"/>
            <w:gridSpan w:val="6"/>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Udostępnianie materiałów zasobu niewymienionych w tabelach nr 2, 3 i 6-14, udostępnianie do wglądu dokumentów i koordynacja usytuowania projektowanych sieci uzbrojenia terenu</w:t>
            </w:r>
            <w:r>
              <w:rPr>
                <w:rFonts w:ascii="Times New Roman"/>
                <w:b w:val="false"/>
                <w:i w:val="false"/>
                <w:color w:val="000000"/>
                <w:sz w:val="24"/>
                <w:lang w:val="pl-PL"/>
              </w:rPr>
              <w:t xml:space="preserve"> </w:t>
            </w:r>
          </w:p>
        </w:tc>
      </w:tr>
      <w:tr>
        <w:trPr>
          <w:trHeight w:val="45" w:hRule="atLeast"/>
        </w:trPr>
        <w:tc>
          <w:tcPr>
            <w:tcW w:w="89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Lp.</w:t>
            </w:r>
            <w:r>
              <w:rPr>
                <w:rFonts w:ascii="Times New Roman"/>
                <w:b w:val="false"/>
                <w:i w:val="false"/>
                <w:color w:val="000000"/>
                <w:sz w:val="24"/>
                <w:lang w:val="pl-PL"/>
              </w:rPr>
              <w:t xml:space="preserve"> </w:t>
            </w:r>
          </w:p>
        </w:tc>
        <w:tc>
          <w:tcPr>
            <w:tcW w:w="5829"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Nazwa materiału zasobu/czynność</w:t>
            </w:r>
            <w:r>
              <w:rPr>
                <w:rFonts w:ascii="Times New Roman"/>
                <w:b w:val="false"/>
                <w:i w:val="false"/>
                <w:color w:val="000000"/>
                <w:sz w:val="24"/>
                <w:lang w:val="pl-PL"/>
              </w:rPr>
              <w:t xml:space="preserve"> </w:t>
            </w:r>
          </w:p>
        </w:tc>
        <w:tc>
          <w:tcPr>
            <w:tcW w:w="2690"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Jednostka rozliczeniowa</w:t>
            </w:r>
            <w:r>
              <w:rPr>
                <w:rFonts w:ascii="Times New Roman"/>
                <w:b w:val="false"/>
                <w:i w:val="false"/>
                <w:color w:val="000000"/>
                <w:sz w:val="24"/>
                <w:lang w:val="pl-PL"/>
              </w:rPr>
              <w:t xml:space="preserve"> </w:t>
            </w:r>
          </w:p>
        </w:tc>
        <w:tc>
          <w:tcPr>
            <w:tcW w:w="201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Stawka podstawowa (Sp)</w:t>
            </w:r>
            <w:r>
              <w:rPr>
                <w:rFonts w:ascii="Times New Roman"/>
                <w:b w:val="false"/>
                <w:i w:val="false"/>
                <w:color w:val="000000"/>
                <w:sz w:val="24"/>
                <w:lang w:val="pl-PL"/>
              </w:rPr>
              <w:t xml:space="preserve"> </w:t>
            </w:r>
          </w:p>
        </w:tc>
        <w:tc>
          <w:tcPr>
            <w:tcW w:w="0" w:type="auto"/>
            <w:gridSpan w:val="2"/>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 xml:space="preserve">Współczynniki korygujące </w:t>
            </w:r>
            <w:r>
              <w:rPr>
                <w:rFonts w:ascii="Times New Roman"/>
                <w:b w:val="false"/>
                <w:i w:val="false"/>
                <w:color w:val="000000"/>
                <w:sz w:val="24"/>
                <w:lang w:val="pl-PL"/>
              </w:rPr>
              <w:t xml:space="preserve"> </w:t>
            </w:r>
            <w:r>
              <w:rPr>
                <w:rFonts w:ascii="Times New Roman"/>
                <w:b w:val="false"/>
                <w:i/>
                <w:color w:val="000000"/>
                <w:sz w:val="24"/>
                <w:lang w:val="pl-PL"/>
              </w:rPr>
              <w:t>LR</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PD</w:t>
            </w:r>
            <w:r>
              <w:rPr>
                <w:rFonts w:ascii="Times New Roman"/>
                <w:b w:val="false"/>
                <w:i w:val="false"/>
                <w:color w:val="000000"/>
                <w:sz w:val="24"/>
                <w:lang w:val="pl-PL"/>
              </w:rPr>
              <w:t xml:space="preserve"> </w:t>
            </w:r>
            <w:r>
              <w:rPr>
                <w:rFonts w:ascii="Times New Roman"/>
                <w:b/>
                <w:i w:val="false"/>
                <w:color w:val="000000"/>
                <w:sz w:val="24"/>
                <w:lang w:val="pl-PL"/>
              </w:rPr>
              <w:t xml:space="preserve">, </w:t>
            </w:r>
            <w:r>
              <w:rPr>
                <w:rFonts w:ascii="Times New Roman"/>
                <w:b w:val="false"/>
                <w:i w:val="false"/>
                <w:color w:val="000000"/>
                <w:sz w:val="24"/>
                <w:lang w:val="pl-PL"/>
              </w:rPr>
              <w:t xml:space="preserve"> </w:t>
            </w:r>
            <w:r>
              <w:rPr>
                <w:rFonts w:ascii="Times New Roman"/>
                <w:b w:val="false"/>
                <w:i/>
                <w:color w:val="000000"/>
                <w:sz w:val="24"/>
                <w:lang w:val="pl-PL"/>
              </w:rPr>
              <w:t>AJ</w:t>
            </w:r>
            <w:r>
              <w:rPr>
                <w:rFonts w:ascii="Times New Roman"/>
                <w:b w:val="false"/>
                <w:i w:val="false"/>
                <w:color w:val="000000"/>
                <w:sz w:val="24"/>
                <w:lang w:val="pl-PL"/>
              </w:rPr>
              <w:t xml:space="preserve"> </w:t>
            </w:r>
          </w:p>
        </w:tc>
      </w:tr>
      <w:tr>
        <w:trPr>
          <w:trHeight w:val="45" w:hRule="atLeast"/>
        </w:trPr>
        <w:tc>
          <w:tcPr>
            <w:tcW w:w="89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w:t>
            </w:r>
          </w:p>
        </w:tc>
        <w:tc>
          <w:tcPr>
            <w:tcW w:w="582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Kopia materiału zasobu innego niż wymienione w tabelach 2,3, 6-14 w postaci nieelektronicznej</w:t>
            </w:r>
          </w:p>
        </w:tc>
        <w:tc>
          <w:tcPr>
            <w:tcW w:w="2690"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karta formatu A4</w:t>
            </w:r>
          </w:p>
        </w:tc>
        <w:tc>
          <w:tcPr>
            <w:tcW w:w="201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4,50 zł</w:t>
            </w:r>
          </w:p>
        </w:tc>
        <w:tc>
          <w:tcPr>
            <w:tcW w:w="0" w:type="auto"/>
            <w:gridSpan w:val="2"/>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 PD przyjmuje wartość:</w:t>
            </w:r>
          </w:p>
          <w:p>
            <w:pPr>
              <w:spacing w:before="25" w:after="0"/>
              <w:ind w:left="0"/>
              <w:jc w:val="left"/>
              <w:textAlignment w:val="auto"/>
            </w:pPr>
            <w:r>
              <w:rPr>
                <w:rFonts w:ascii="Times New Roman"/>
                <w:b w:val="false"/>
                <w:i w:val="false"/>
                <w:color w:val="000000"/>
                <w:sz w:val="24"/>
                <w:lang w:val="pl-PL"/>
              </w:rPr>
              <w:t>1) 1,0 - dla formatu A4 lub mniejszego;</w:t>
            </w:r>
          </w:p>
          <w:p>
            <w:pPr>
              <w:spacing w:before="25" w:after="0"/>
              <w:ind w:left="0"/>
              <w:jc w:val="left"/>
              <w:textAlignment w:val="auto"/>
            </w:pPr>
            <w:r>
              <w:rPr>
                <w:rFonts w:ascii="Times New Roman"/>
                <w:b w:val="false"/>
                <w:i w:val="false"/>
                <w:color w:val="000000"/>
                <w:sz w:val="24"/>
                <w:lang w:val="pl-PL"/>
              </w:rPr>
              <w:t>2) 1,5 - dla formatu A3;</w:t>
            </w:r>
          </w:p>
          <w:p>
            <w:pPr>
              <w:spacing w:before="25" w:after="0"/>
              <w:ind w:left="0"/>
              <w:jc w:val="left"/>
              <w:textAlignment w:val="auto"/>
            </w:pPr>
            <w:r>
              <w:rPr>
                <w:rFonts w:ascii="Times New Roman"/>
                <w:b w:val="false"/>
                <w:i w:val="false"/>
                <w:color w:val="000000"/>
                <w:sz w:val="24"/>
                <w:lang w:val="pl-PL"/>
              </w:rPr>
              <w:t>3) 2,0 - dla formatu A2;</w:t>
            </w:r>
          </w:p>
          <w:p>
            <w:pPr>
              <w:spacing w:before="25" w:after="0"/>
              <w:ind w:left="0"/>
              <w:jc w:val="left"/>
              <w:textAlignment w:val="auto"/>
            </w:pPr>
            <w:r>
              <w:rPr>
                <w:rFonts w:ascii="Times New Roman"/>
                <w:b w:val="false"/>
                <w:i w:val="false"/>
                <w:color w:val="000000"/>
                <w:sz w:val="24"/>
                <w:lang w:val="pl-PL"/>
              </w:rPr>
              <w:t>4) 5,0 - dla formatu A1;</w:t>
            </w:r>
          </w:p>
          <w:p>
            <w:pPr>
              <w:spacing w:before="25" w:after="0"/>
              <w:ind w:left="0"/>
              <w:jc w:val="left"/>
              <w:textAlignment w:val="auto"/>
            </w:pPr>
            <w:r>
              <w:rPr>
                <w:rFonts w:ascii="Times New Roman"/>
                <w:b w:val="false"/>
                <w:i w:val="false"/>
                <w:color w:val="000000"/>
                <w:sz w:val="24"/>
                <w:lang w:val="pl-PL"/>
              </w:rPr>
              <w:t>5) 7,0 - dla formatu A0 i większego.</w:t>
            </w:r>
          </w:p>
          <w:p>
            <w:pPr>
              <w:spacing w:before="25" w:after="0"/>
              <w:ind w:left="0"/>
              <w:jc w:val="left"/>
              <w:textAlignment w:val="auto"/>
            </w:pPr>
            <w:r>
              <w:rPr>
                <w:rFonts w:ascii="Times New Roman"/>
                <w:b w:val="false"/>
                <w:i w:val="false"/>
                <w:color w:val="000000"/>
                <w:sz w:val="24"/>
                <w:lang w:val="pl-PL"/>
              </w:rPr>
              <w:t>2. LR i AJ przyjmują wartość 1,0.</w:t>
            </w:r>
          </w:p>
        </w:tc>
      </w:tr>
      <w:tr>
        <w:trPr>
          <w:trHeight w:val="45" w:hRule="atLeast"/>
        </w:trPr>
        <w:tc>
          <w:tcPr>
            <w:tcW w:w="89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w:t>
            </w:r>
          </w:p>
        </w:tc>
        <w:tc>
          <w:tcPr>
            <w:tcW w:w="582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Kopia materiału zasobu innego niż wymienione w tabelach 2,3, 6-14 w postaci elektronicznej</w:t>
            </w:r>
          </w:p>
        </w:tc>
        <w:tc>
          <w:tcPr>
            <w:tcW w:w="2690"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dokument</w:t>
            </w:r>
          </w:p>
        </w:tc>
        <w:tc>
          <w:tcPr>
            <w:tcW w:w="201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10,49 zł</w:t>
            </w:r>
          </w:p>
        </w:tc>
        <w:tc>
          <w:tcPr>
            <w:tcW w:w="0" w:type="auto"/>
            <w:gridSpan w:val="2"/>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val="false"/>
                <w:i/>
                <w:color w:val="000000"/>
                <w:sz w:val="24"/>
                <w:lang w:val="pl-PL"/>
              </w:rPr>
              <w:t>LR</w:t>
            </w:r>
            <w:r>
              <w:rPr>
                <w:rFonts w:ascii="Times New Roman"/>
                <w:b w:val="false"/>
                <w:i w:val="false"/>
                <w:color w:val="000000"/>
                <w:sz w:val="24"/>
                <w:lang w:val="pl-PL"/>
              </w:rPr>
              <w:t xml:space="preserve">, </w:t>
            </w:r>
            <w:r>
              <w:rPr>
                <w:rFonts w:ascii="Times New Roman"/>
                <w:b w:val="false"/>
                <w:i/>
                <w:color w:val="000000"/>
                <w:sz w:val="24"/>
                <w:lang w:val="pl-PL"/>
              </w:rPr>
              <w:t>AJ</w:t>
            </w:r>
            <w:r>
              <w:rPr>
                <w:rFonts w:ascii="Times New Roman"/>
                <w:b w:val="false"/>
                <w:i w:val="false"/>
                <w:color w:val="000000"/>
                <w:sz w:val="24"/>
                <w:lang w:val="pl-PL"/>
              </w:rPr>
              <w:t xml:space="preserve"> i </w:t>
            </w:r>
            <w:r>
              <w:rPr>
                <w:rFonts w:ascii="Times New Roman"/>
                <w:b w:val="false"/>
                <w:i/>
                <w:color w:val="000000"/>
                <w:sz w:val="24"/>
                <w:lang w:val="pl-PL"/>
              </w:rPr>
              <w:t>PD</w:t>
            </w:r>
            <w:r>
              <w:rPr>
                <w:rFonts w:ascii="Times New Roman"/>
                <w:b w:val="false"/>
                <w:i w:val="false"/>
                <w:color w:val="000000"/>
                <w:sz w:val="24"/>
                <w:lang w:val="pl-PL"/>
              </w:rPr>
              <w:t xml:space="preserve"> przyjmują wartość 1,0.</w:t>
            </w:r>
          </w:p>
        </w:tc>
      </w:tr>
      <w:tr>
        <w:trPr>
          <w:trHeight w:val="45" w:hRule="atLeast"/>
        </w:trPr>
        <w:tc>
          <w:tcPr>
            <w:tcW w:w="89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3.</w:t>
            </w:r>
          </w:p>
        </w:tc>
        <w:tc>
          <w:tcPr>
            <w:tcW w:w="5829" w:type="dxa"/>
            <w:vMerge w:val="restart"/>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(uchylone)</w:t>
            </w:r>
          </w:p>
        </w:tc>
        <w:tc>
          <w:tcPr>
            <w:tcW w:w="2690" w:type="dxa"/>
            <w:tcBorders>
              <w:bottom w:val="single" w:color="000000" w:sz="8"/>
              <w:right w:val="single" w:color="000000" w:sz="8"/>
            </w:tcBorders>
            <w:tcMar>
              <w:top w:w="15" w:type="dxa"/>
              <w:left w:w="15" w:type="dxa"/>
              <w:bottom w:w="15" w:type="dxa"/>
              <w:right w:w="15" w:type="dxa"/>
            </w:tcMar>
            <w:vAlign w:val="center"/>
          </w:tcPr>
          <w:p/>
        </w:tc>
        <w:tc>
          <w:tcPr>
            <w:tcW w:w="2017" w:type="dxa"/>
            <w:tcBorders>
              <w:bottom w:val="single" w:color="000000" w:sz="8"/>
              <w:right w:val="single" w:color="000000" w:sz="8"/>
            </w:tcBorders>
            <w:tcMar>
              <w:top w:w="15" w:type="dxa"/>
              <w:left w:w="15" w:type="dxa"/>
              <w:bottom w:w="15" w:type="dxa"/>
              <w:right w:w="15" w:type="dxa"/>
            </w:tcMar>
            <w:vAlign w:val="center"/>
          </w:tcPr>
          <w:p/>
        </w:tc>
        <w:tc>
          <w:tcPr>
            <w:tcW w:w="0" w:type="auto"/>
            <w:gridSpan w:val="2"/>
            <w:vMerge/>
            <w:tcBorders>
              <w:top w:val="nil"/>
              <w:bottom w:val="single" w:color="000000" w:sz="8"/>
              <w:right w:val="single" w:color="000000" w:sz="8"/>
            </w:tcBorders>
          </w:tcPr>
          <w:p/>
        </w:tc>
      </w:tr>
      <w:tr>
        <w:trPr>
          <w:trHeight w:val="45" w:hRule="atLeast"/>
        </w:trPr>
        <w:tc>
          <w:tcPr>
            <w:tcW w:w="89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4.</w:t>
            </w:r>
          </w:p>
        </w:tc>
        <w:tc>
          <w:tcPr>
            <w:tcW w:w="0" w:type="auto"/>
            <w:vMerge/>
            <w:tcBorders>
              <w:top w:val="nil"/>
              <w:bottom w:val="single" w:color="000000" w:sz="8"/>
              <w:right w:val="single" w:color="000000" w:sz="8"/>
            </w:tcBorders>
          </w:tcPr>
          <w:p/>
        </w:tc>
        <w:tc>
          <w:tcPr>
            <w:tcW w:w="2690" w:type="dxa"/>
            <w:tcBorders>
              <w:bottom w:val="single" w:color="000000" w:sz="8"/>
              <w:right w:val="single" w:color="000000" w:sz="8"/>
            </w:tcBorders>
            <w:tcMar>
              <w:top w:w="15" w:type="dxa"/>
              <w:left w:w="15" w:type="dxa"/>
              <w:bottom w:w="15" w:type="dxa"/>
              <w:right w:w="15" w:type="dxa"/>
            </w:tcMar>
            <w:vAlign w:val="center"/>
          </w:tcPr>
          <w:p/>
        </w:tc>
        <w:tc>
          <w:tcPr>
            <w:tcW w:w="2017" w:type="dxa"/>
            <w:tcBorders>
              <w:bottom w:val="single" w:color="000000" w:sz="8"/>
              <w:right w:val="single" w:color="000000" w:sz="8"/>
            </w:tcBorders>
            <w:tcMar>
              <w:top w:w="15" w:type="dxa"/>
              <w:left w:w="15" w:type="dxa"/>
              <w:bottom w:w="15" w:type="dxa"/>
              <w:right w:w="15" w:type="dxa"/>
            </w:tcMar>
            <w:vAlign w:val="center"/>
          </w:tcPr>
          <w:p/>
        </w:tc>
        <w:tc>
          <w:tcPr>
            <w:tcW w:w="0" w:type="auto"/>
            <w:gridSpan w:val="2"/>
            <w:vMerge/>
            <w:tcBorders>
              <w:top w:val="nil"/>
              <w:bottom w:val="single" w:color="000000" w:sz="8"/>
              <w:right w:val="single" w:color="000000" w:sz="8"/>
            </w:tcBorders>
          </w:tcPr>
          <w:p/>
        </w:tc>
      </w:tr>
      <w:tr>
        <w:trPr>
          <w:trHeight w:val="45" w:hRule="atLeast"/>
        </w:trPr>
        <w:tc>
          <w:tcPr>
            <w:tcW w:w="89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5.</w:t>
            </w:r>
          </w:p>
        </w:tc>
        <w:tc>
          <w:tcPr>
            <w:tcW w:w="582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Udostępnianie do wglądu zbiorów aktów notarialnych oraz orzeczeń sądowych i decyzji administracyjnych będących podstawą wpisów w ewidencji gruntów i budynków, podmiotom które posiadają uprawnienia do wglądu do takich zbiorów na podstawie odrębnych przepisów</w:t>
            </w:r>
          </w:p>
        </w:tc>
        <w:tc>
          <w:tcPr>
            <w:tcW w:w="2690"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zbiór dokumentów, dotyczących jednej jednostki ewidencyjnej, udostępniony na okres do 4 godzin</w:t>
            </w:r>
          </w:p>
        </w:tc>
        <w:tc>
          <w:tcPr>
            <w:tcW w:w="201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30,0 zł</w:t>
            </w:r>
          </w:p>
        </w:tc>
        <w:tc>
          <w:tcPr>
            <w:tcW w:w="0" w:type="auto"/>
            <w:gridSpan w:val="2"/>
            <w:vMerge/>
            <w:tcBorders>
              <w:top w:val="nil"/>
              <w:bottom w:val="single" w:color="000000" w:sz="8"/>
              <w:right w:val="single" w:color="000000" w:sz="8"/>
            </w:tcBorders>
          </w:tcPr>
          <w:p/>
        </w:tc>
      </w:tr>
      <w:tr>
        <w:trPr>
          <w:trHeight w:val="45" w:hRule="atLeast"/>
        </w:trPr>
        <w:tc>
          <w:tcPr>
            <w:tcW w:w="896"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6.</w:t>
            </w:r>
          </w:p>
        </w:tc>
        <w:tc>
          <w:tcPr>
            <w:tcW w:w="582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Koordynacja usytuowania projektowanej sieci uzbrojenia terenu</w:t>
            </w:r>
          </w:p>
        </w:tc>
        <w:tc>
          <w:tcPr>
            <w:tcW w:w="2690"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Projektowana sieć uzbrojenia terenu jednego rodzaju</w:t>
            </w:r>
          </w:p>
        </w:tc>
        <w:tc>
          <w:tcPr>
            <w:tcW w:w="2017" w:type="dxa"/>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150,0 zł</w:t>
            </w:r>
          </w:p>
        </w:tc>
        <w:tc>
          <w:tcPr>
            <w:tcW w:w="1031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1. </w:t>
            </w:r>
            <w:r>
              <w:rPr>
                <w:rFonts w:ascii="Times New Roman"/>
                <w:b w:val="false"/>
                <w:i/>
                <w:color w:val="000000"/>
                <w:sz w:val="24"/>
                <w:lang w:val="pl-PL"/>
              </w:rPr>
              <w:t>LR</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dla Ljr nie większej niż 1 (przedmiotem koordynacji jest jeden rodzaj projektowanej sieci uzbrojenia terenu);</w:t>
            </w:r>
          </w:p>
          <w:p>
            <w:pPr>
              <w:spacing w:before="25" w:after="0"/>
              <w:ind w:left="0"/>
              <w:jc w:val="left"/>
              <w:textAlignment w:val="auto"/>
            </w:pPr>
            <w:r>
              <w:rPr>
                <w:rFonts w:ascii="Times New Roman"/>
                <w:b w:val="false"/>
                <w:i w:val="false"/>
                <w:color w:val="000000"/>
                <w:sz w:val="24"/>
                <w:lang w:val="pl-PL"/>
              </w:rPr>
              <w:t>2) 0,7 - dla Ljr większej niż 1 (przedmiotem koordynacji jest więcej niż jeden rodzaj projektowanej sieci uzbrojenia terenu).</w:t>
            </w:r>
          </w:p>
          <w:p>
            <w:pPr>
              <w:spacing w:before="25" w:after="0"/>
              <w:ind w:left="0"/>
              <w:jc w:val="left"/>
              <w:textAlignment w:val="auto"/>
            </w:pPr>
            <w:r>
              <w:rPr>
                <w:rFonts w:ascii="Times New Roman"/>
                <w:b w:val="false"/>
                <w:i w:val="false"/>
                <w:color w:val="000000"/>
                <w:sz w:val="24"/>
                <w:lang w:val="pl-PL"/>
              </w:rPr>
              <w:t>2.</w:t>
            </w:r>
            <w:r>
              <w:rPr>
                <w:rFonts w:ascii="Times New Roman"/>
                <w:b w:val="false"/>
                <w:i/>
                <w:color w:val="000000"/>
                <w:sz w:val="24"/>
                <w:lang w:val="pl-PL"/>
              </w:rPr>
              <w:t xml:space="preserve"> PD</w:t>
            </w:r>
            <w:r>
              <w:rPr>
                <w:rFonts w:ascii="Times New Roman"/>
                <w:b w:val="false"/>
                <w:i w:val="false"/>
                <w:color w:val="000000"/>
                <w:sz w:val="24"/>
                <w:lang w:val="pl-PL"/>
              </w:rPr>
              <w:t xml:space="preserve"> przyjmuje wartość:</w:t>
            </w:r>
          </w:p>
          <w:p>
            <w:pPr>
              <w:spacing w:before="25" w:after="0"/>
              <w:ind w:left="0"/>
              <w:jc w:val="left"/>
              <w:textAlignment w:val="auto"/>
            </w:pPr>
            <w:r>
              <w:rPr>
                <w:rFonts w:ascii="Times New Roman"/>
                <w:b w:val="false"/>
                <w:i w:val="false"/>
                <w:color w:val="000000"/>
                <w:sz w:val="24"/>
                <w:lang w:val="pl-PL"/>
              </w:rPr>
              <w:t>1) 1,0 - w przypadku gdy przedmiotem wniosku o koordynację są sieci uzbrojenia terenu niebędące przyłączami;</w:t>
            </w:r>
          </w:p>
          <w:p>
            <w:pPr>
              <w:spacing w:before="25" w:after="0"/>
              <w:ind w:left="0"/>
              <w:jc w:val="left"/>
              <w:textAlignment w:val="auto"/>
            </w:pPr>
            <w:r>
              <w:rPr>
                <w:rFonts w:ascii="Times New Roman"/>
                <w:b w:val="false"/>
                <w:i w:val="false"/>
                <w:color w:val="000000"/>
                <w:sz w:val="24"/>
                <w:lang w:val="pl-PL"/>
              </w:rPr>
              <w:t>2) 0,7 - w przypadku gdy przedmiotem wniosku o koordynację są przyłącza.</w:t>
            </w:r>
          </w:p>
          <w:p>
            <w:pPr>
              <w:spacing w:before="25" w:after="0"/>
              <w:ind w:left="0"/>
              <w:jc w:val="left"/>
              <w:textAlignment w:val="auto"/>
            </w:pPr>
            <w:r>
              <w:rPr>
                <w:rFonts w:ascii="Times New Roman"/>
                <w:b w:val="false"/>
                <w:i w:val="false"/>
                <w:color w:val="000000"/>
                <w:sz w:val="24"/>
                <w:lang w:val="pl-PL"/>
              </w:rPr>
              <w:t xml:space="preserve">3. </w:t>
            </w:r>
            <w:r>
              <w:rPr>
                <w:rFonts w:ascii="Times New Roman"/>
                <w:b w:val="false"/>
                <w:i/>
                <w:color w:val="000000"/>
                <w:sz w:val="24"/>
                <w:lang w:val="pl-PL"/>
              </w:rPr>
              <w:t>AJ</w:t>
            </w:r>
            <w:r>
              <w:rPr>
                <w:rFonts w:ascii="Times New Roman"/>
                <w:b w:val="false"/>
                <w:i w:val="false"/>
                <w:color w:val="000000"/>
                <w:sz w:val="24"/>
                <w:lang w:val="pl-PL"/>
              </w:rPr>
              <w:t xml:space="preserve"> przyjmuje wartość 1,0.</w:t>
            </w:r>
          </w:p>
        </w:tc>
      </w:tr>
    </w:tbl>
    <w:p>
      <w:pPr>
        <w:spacing w:before="25"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Tabela nr 16a</w:t>
      </w:r>
      <w:r>
        <w:rPr>
          <w:rFonts w:ascii="Times New Roman"/>
          <w:b w:val="false"/>
          <w:i w:val="false"/>
          <w:color w:val="000000"/>
          <w:sz w:val="24"/>
          <w:lang w:val="pl-PL"/>
        </w:rPr>
        <w:t xml:space="preserve">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99"/>
        <w:gridCol w:w="6072"/>
        <w:gridCol w:w="15293"/>
      </w:tblGrid>
      <w:tr>
        <w:trPr>
          <w:trHeight w:val="45" w:hRule="atLeast"/>
        </w:trPr>
        <w:tc>
          <w:tcPr>
            <w:tcW w:w="0" w:type="auto"/>
            <w:gridSpan w:val="3"/>
            <w:tcBorders>
              <w:bottom w:val="single" w:color="000000" w:sz="8"/>
              <w:right w:val="single" w:color="000000" w:sz="8"/>
            </w:tcBorders>
            <w:tcMar>
              <w:top w:w="15" w:type="dxa"/>
              <w:left w:w="15" w:type="dxa"/>
              <w:bottom w:w="15" w:type="dxa"/>
              <w:right w:w="15" w:type="dxa"/>
            </w:tcMar>
            <w:vAlign w:val="center"/>
          </w:tcPr>
          <w:p>
            <w:pPr>
              <w:spacing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Udostępnianie materiałów zasobu dotyczących zgłoszonych prac geodezyjnych,</w:t>
            </w:r>
            <w:r>
              <w:rPr>
                <w:rFonts w:ascii="Times New Roman"/>
                <w:b w:val="false"/>
                <w:i w:val="false"/>
                <w:color w:val="000000"/>
                <w:sz w:val="24"/>
                <w:lang w:val="pl-PL"/>
              </w:rPr>
              <w:t xml:space="preserve"> </w:t>
            </w:r>
          </w:p>
          <w:p>
            <w:pPr>
              <w:spacing w:before="25" w:after="0"/>
              <w:ind w:left="0"/>
              <w:jc w:val="center"/>
              <w:textAlignment w:val="auto"/>
            </w:pPr>
            <w:r>
              <w:rPr>
                <w:rFonts w:ascii="Times New Roman"/>
                <w:b w:val="false"/>
                <w:i w:val="false"/>
                <w:color w:val="000000"/>
                <w:sz w:val="24"/>
                <w:lang w:val="pl-PL"/>
              </w:rPr>
              <w:t xml:space="preserve"> </w:t>
            </w:r>
            <w:r>
              <w:rPr>
                <w:rFonts w:ascii="Times New Roman"/>
                <w:b/>
                <w:i w:val="false"/>
                <w:color w:val="000000"/>
                <w:sz w:val="24"/>
                <w:lang w:val="pl-PL"/>
              </w:rPr>
              <w:t>o których mowa w art. 12 ust. 1 pkt 3</w:t>
            </w:r>
            <w:r>
              <w:rPr>
                <w:rFonts w:ascii="Times New Roman"/>
                <w:b w:val="false"/>
                <w:i w:val="false"/>
                <w:color w:val="000000"/>
                <w:sz w:val="24"/>
                <w:lang w:val="pl-PL"/>
              </w:rPr>
              <w:t xml:space="preserve"> </w:t>
            </w:r>
          </w:p>
        </w:tc>
      </w:tr>
      <w:tr>
        <w:trPr>
          <w:trHeight w:val="45" w:hRule="atLeast"/>
        </w:trPr>
        <w:tc>
          <w:tcPr>
            <w:tcW w:w="89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Lp.</w:t>
            </w:r>
            <w:r>
              <w:rPr>
                <w:rFonts w:ascii="Times New Roman"/>
                <w:b w:val="false"/>
                <w:i w:val="false"/>
                <w:color w:val="000000"/>
                <w:sz w:val="24"/>
                <w:lang w:val="pl-PL"/>
              </w:rPr>
              <w:t xml:space="preserve"> </w:t>
            </w:r>
          </w:p>
        </w:tc>
        <w:tc>
          <w:tcPr>
            <w:tcW w:w="607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Obszar objęty zgłoszeniem pracy</w:t>
            </w:r>
            <w:r>
              <w:rPr>
                <w:rFonts w:ascii="Times New Roman"/>
                <w:b w:val="false"/>
                <w:i w:val="false"/>
                <w:color w:val="000000"/>
                <w:sz w:val="24"/>
                <w:lang w:val="pl-PL"/>
              </w:rPr>
              <w:t xml:space="preserve"> </w:t>
            </w:r>
          </w:p>
        </w:tc>
        <w:tc>
          <w:tcPr>
            <w:tcW w:w="1529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Opłata zryczałtowana</w:t>
            </w:r>
            <w:r>
              <w:rPr>
                <w:rFonts w:ascii="Times New Roman"/>
                <w:b w:val="false"/>
                <w:i w:val="false"/>
                <w:color w:val="000000"/>
                <w:sz w:val="24"/>
                <w:lang w:val="pl-PL"/>
              </w:rPr>
              <w:t xml:space="preserve"> </w:t>
            </w:r>
          </w:p>
        </w:tc>
      </w:tr>
      <w:tr>
        <w:trPr>
          <w:trHeight w:val="45" w:hRule="atLeast"/>
        </w:trPr>
        <w:tc>
          <w:tcPr>
            <w:tcW w:w="89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w:t>
            </w:r>
          </w:p>
        </w:tc>
        <w:tc>
          <w:tcPr>
            <w:tcW w:w="607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Do 1 ha</w:t>
            </w:r>
          </w:p>
        </w:tc>
        <w:tc>
          <w:tcPr>
            <w:tcW w:w="1529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142,13 zł</w:t>
            </w:r>
          </w:p>
        </w:tc>
      </w:tr>
      <w:tr>
        <w:trPr>
          <w:trHeight w:val="45" w:hRule="atLeast"/>
        </w:trPr>
        <w:tc>
          <w:tcPr>
            <w:tcW w:w="89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w:t>
            </w:r>
          </w:p>
        </w:tc>
        <w:tc>
          <w:tcPr>
            <w:tcW w:w="607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Powyżej 1ha do 10 ha</w:t>
            </w:r>
          </w:p>
        </w:tc>
        <w:tc>
          <w:tcPr>
            <w:tcW w:w="1529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142,13 zł oraz dodatkowo kwota 14,20 zł za każdy rozpoczęty hektar powyżej 1 ha</w:t>
            </w:r>
          </w:p>
        </w:tc>
      </w:tr>
      <w:tr>
        <w:trPr>
          <w:trHeight w:val="45" w:hRule="atLeast"/>
        </w:trPr>
        <w:tc>
          <w:tcPr>
            <w:tcW w:w="899"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3.</w:t>
            </w:r>
          </w:p>
        </w:tc>
        <w:tc>
          <w:tcPr>
            <w:tcW w:w="6072"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Powyżej 10 ha</w:t>
            </w:r>
          </w:p>
        </w:tc>
        <w:tc>
          <w:tcPr>
            <w:tcW w:w="15293" w:type="dxa"/>
            <w:tcBorders>
              <w:bottom w:val="single" w:color="000000" w:sz="8"/>
              <w:right w:val="single" w:color="000000" w:sz="8"/>
            </w:tcBorders>
            <w:tcMar>
              <w:top w:w="15" w:type="dxa"/>
              <w:left w:w="15" w:type="dxa"/>
              <w:bottom w:w="15" w:type="dxa"/>
              <w:right w:w="15" w:type="dxa"/>
            </w:tcMar>
            <w:vAlign w:val="center"/>
          </w:tcPr>
          <w:p>
            <w:pPr>
              <w:spacing w:after="0"/>
              <w:ind w:left="0"/>
              <w:jc w:val="left"/>
              <w:textAlignment w:val="auto"/>
            </w:pPr>
            <w:r>
              <w:rPr>
                <w:rFonts w:ascii="Times New Roman"/>
                <w:b w:val="false"/>
                <w:i w:val="false"/>
                <w:color w:val="000000"/>
                <w:sz w:val="24"/>
                <w:lang w:val="pl-PL"/>
              </w:rPr>
              <w:t>270,05 zł oraz dodatkowo kwota 7,12 zł za każdy rozpoczęty hektar powyżej 10 ha</w:t>
            </w:r>
          </w:p>
        </w:tc>
      </w:tr>
    </w:tbl>
    <w:p>
      <w:pPr>
        <w:spacing w:before="25"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xml:space="preserve">Tabela nr 17 </w:t>
      </w:r>
      <w:r>
        <w:rPr>
          <w:rFonts w:ascii="Times New Roman"/>
          <w:b w:val="false"/>
          <w:i w:val="false"/>
          <w:color w:val="000000"/>
          <w:sz w:val="24"/>
          <w:lang w:val="pl-PL"/>
        </w:rPr>
        <w:t>(uchylona)</w:t>
      </w:r>
    </w:p>
    <w:p>
      <w:pPr>
        <w:spacing w:before="25" w:after="0"/>
        <w:ind w:left="0"/>
        <w:jc w:val="left"/>
        <w:textAlignment w:val="auto"/>
      </w:pPr>
      <w:r>
        <w:rPr>
          <w:rFonts w:ascii="Times New Roman"/>
          <w:b w:val="false"/>
          <w:i w:val="false"/>
          <w:color w:val="000000"/>
          <w:sz w:val="24"/>
          <w:lang w:val="pl-PL"/>
        </w:rPr>
        <w:t xml:space="preserve"> </w:t>
      </w:r>
      <w:r>
        <w:rPr>
          <w:rFonts w:ascii="Times New Roman"/>
          <w:b/>
          <w:i w:val="false"/>
          <w:color w:val="000000"/>
          <w:sz w:val="24"/>
          <w:lang w:val="pl-PL"/>
        </w:rPr>
        <w:t xml:space="preserve">Tabela nr 18 </w:t>
      </w:r>
      <w:r>
        <w:rPr>
          <w:rFonts w:ascii="Times New Roman"/>
          <w:b w:val="false"/>
          <w:i w:val="false"/>
          <w:color w:val="000000"/>
          <w:sz w:val="24"/>
          <w:lang w:val="pl-PL"/>
        </w:rPr>
        <w:t>(uchylona).</w:t>
      </w:r>
    </w:p>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imes New Roman" w:hAnsi="Times New Roman" w:eastAsia="Times New Roman" w:cs="Times New Roman" w:asciiTheme="minorHAnsi" w:hAnsiTheme="minorHAnsi" w:eastAsiaTheme="minorHAnsi" w:cstheme="minorBidi"/>
        <w:sz w:val="24"/>
        <w:szCs w:val="22"/>
        <w:lang w:val="pl-PL"/>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rPr>
      <w:rFonts w:ascii="Times New Roman" w:hAnsi="Times New Roman" w:eastAsia="Times New Roman" w:cs="Times New Roman"/>
      <w:sz w:val="24"/>
      <w:lang w:val="pl-PL"/>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erStyle">
    <w:name w:val="HeaderStyle"/>
    <w:pPr>
      <w:spacing w:line="240" w:lineRule="auto"/>
      <w:jc w:val="center"/>
    </w:pPr>
    <w:rPr>
      <w:rFonts w:ascii="Times New Roman" w:hAnsi="Times New Roman" w:eastAsia="Times New Roman" w:cs="Times New Roman"/>
      <w:b/>
      <w:color w:val="000000" w:themeColor="text1"/>
      <w:sz w:val="24"/>
    </w:rPr>
  </w:style>
  <w:style w:type="paragraph" w:styleId="TitleStyle">
    <w:name w:val="TitleStyle"/>
    <w:pPr>
      <w:spacing w:line="240" w:lineRule="auto"/>
      <w:jc w:val="left"/>
    </w:pPr>
    <w:rPr>
      <w:rFonts w:ascii="Times New Roman" w:hAnsi="Times New Roman" w:eastAsia="Times New Roman" w:cs="Times New Roman"/>
      <w:b/>
      <w:color w:val="000000" w:themeColor="text1"/>
      <w:sz w:val="24"/>
    </w:rPr>
  </w:style>
  <w:style w:type="paragraph" w:styleId="TitleCenterStyle">
    <w:name w:val="TitleCenterStyle"/>
    <w:pPr>
      <w:spacing w:line="240" w:lineRule="auto"/>
      <w:jc w:val="center"/>
    </w:pPr>
    <w:rPr>
      <w:rFonts w:ascii="Times New Roman" w:hAnsi="Times New Roman" w:eastAsia="Times New Roman" w:cs="Times New Roman"/>
      <w:b/>
      <w:color w:val="000000" w:themeColor="text1"/>
      <w:sz w:val="24"/>
    </w:rPr>
  </w:style>
  <w:style w:type="paragraph" w:styleId="NormalStyle">
    <w:name w:val="NormalStyle"/>
    <w:pPr>
      <w:spacing w:after="0" w:line="240" w:lineRule="auto"/>
      <w:jc w:val="left"/>
    </w:pPr>
    <w:rPr>
      <w:rFonts w:ascii="Times New Roman" w:hAnsi="Times New Roman" w:eastAsia="Times New Roman" w:cs="Times New Roman"/>
      <w:color w:val="000000" w:themeColor="text1"/>
      <w:sz w:val="24"/>
    </w:rPr>
  </w:style>
  <w:style w:type="paragraph" w:styleId="NormalSpacingStyle">
    <w:name w:val="NormalSpacingStyle"/>
    <w:pPr>
      <w:spacing w:line="240" w:lineRule="auto"/>
      <w:jc w:val="left"/>
    </w:pPr>
    <w:rPr>
      <w:rFonts w:ascii="Times New Roman" w:hAnsi="Times New Roman" w:eastAsia="Times New Roman" w:cs="Times New Roman"/>
      <w:color w:val="000000" w:themeColor="text1"/>
      <w:sz w:val="24"/>
    </w:rPr>
  </w:style>
  <w:style w:type="paragraph" w:styleId="BoldStyle">
    <w:name w:val="BoldStyle"/>
    <w:pPr>
      <w:spacing w:after="0" w:line="240" w:lineRule="auto"/>
      <w:jc w:val="left"/>
    </w:pPr>
    <w:rPr>
      <w:rFonts w:ascii="Times New Roman" w:hAnsi="Times New Roman" w:eastAsia="Times New Roman" w:cs="Times New Roman"/>
      <w:b/>
      <w:color w:val="000000" w:themeColor="text1"/>
      <w:sz w:val="24"/>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