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4.png"/>
  <Override ContentType="image/png" PartName="/word/media/document_image_rId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11 (Apache licensed) using REFERENCE JAXB in Eclipse Adoptium Java 21.0.6 on Linux -->
    <w:p>
      <w:pPr>
        <w:pStyle w:val="TitleStyle"/>
      </w:pPr>
      <w:r>
        <w:t>Ewidencja gruntów i budynków.</w:t>
      </w:r>
    </w:p>
    <w:p>
      <w:pPr>
        <w:pStyle w:val="NormalStyle"/>
      </w:pPr>
      <w:r>
        <w:t>Dz.U.2024.219 t.j. z dnia 2024.02.20</w:t>
      </w:r>
    </w:p>
    <w:p>
      <w:pPr>
        <w:pStyle w:val="NormalStyle"/>
      </w:pPr>
      <w:r>
        <w:t xml:space="preserve">Status: Akt obowiązujący </w:t>
      </w:r>
    </w:p>
    <w:p>
      <w:pPr>
        <w:pStyle w:val="NormalStyle"/>
      </w:pPr>
      <w:r>
        <w:t xml:space="preserve">Wersja od: 31 grudnia 2024r. </w:t>
      </w:r>
    </w:p>
    <w:p>
      <w:pPr>
        <w:spacing w:before="60" w:after="0"/>
        <w:ind w:left="0"/>
        <w:jc w:val="center"/>
        <w:textAlignment w:val="auto"/>
      </w:pPr>
      <w:r>
        <w:rPr>
          <w:rFonts w:ascii="Times New Roman"/>
          <w:b/>
          <w:i w:val="false"/>
          <w:color w:val="000000"/>
          <w:sz w:val="24"/>
          <w:lang w:val="pl-PL"/>
        </w:rPr>
        <w:t>ROZPORZĄDZENIE</w:t>
      </w:r>
    </w:p>
    <w:p>
      <w:pPr>
        <w:spacing w:after="0"/>
        <w:ind w:left="0"/>
        <w:jc w:val="center"/>
        <w:textAlignment w:val="auto"/>
      </w:pPr>
      <w:r>
        <w:rPr>
          <w:rFonts w:ascii="Times New Roman"/>
          <w:b/>
          <w:i w:val="false"/>
          <w:color w:val="000000"/>
          <w:sz w:val="24"/>
          <w:lang w:val="pl-PL"/>
        </w:rPr>
        <w:t xml:space="preserve">MINISTRA ROZWOJU, PRACY I TECHNOLOGII </w:t>
      </w:r>
      <w:r>
        <w:rPr>
          <w:rFonts w:ascii="Times New Roman"/>
          <w:b/>
          <w:i w:val="false"/>
          <w:color w:val="000000"/>
          <w:sz w:val="24"/>
          <w:lang w:val="pl-PL"/>
        </w:rPr>
        <w:t xml:space="preserve"> </w:t>
      </w:r>
    </w:p>
    <w:p>
      <w:pPr>
        <w:spacing w:before="80" w:after="0"/>
        <w:ind w:left="0"/>
        <w:jc w:val="center"/>
        <w:textAlignment w:val="auto"/>
      </w:pPr>
      <w:r>
        <w:rPr>
          <w:rFonts w:ascii="Times New Roman"/>
          <w:b/>
          <w:i w:val="false"/>
          <w:color w:val="000000"/>
          <w:sz w:val="24"/>
          <w:lang w:val="pl-PL"/>
        </w:rPr>
        <w:t>z dnia 27 lipca 2021 r.</w:t>
      </w:r>
    </w:p>
    <w:p>
      <w:pPr>
        <w:spacing w:before="80" w:after="0"/>
        <w:ind w:left="0"/>
        <w:jc w:val="center"/>
        <w:textAlignment w:val="auto"/>
      </w:pPr>
      <w:r>
        <w:rPr>
          <w:rFonts w:ascii="Times New Roman"/>
          <w:b/>
          <w:i w:val="false"/>
          <w:color w:val="000000"/>
          <w:sz w:val="24"/>
          <w:lang w:val="pl-PL"/>
        </w:rPr>
        <w:t>w sprawie ewidencji gruntów i budynków</w:t>
      </w:r>
    </w:p>
    <w:p>
      <w:pPr>
        <w:spacing w:before="80" w:after="240"/>
        <w:ind w:left="0"/>
        <w:jc w:val="center"/>
        <w:textAlignment w:val="auto"/>
      </w:pPr>
      <w:r>
        <w:rPr>
          <w:rFonts w:ascii="Times New Roman"/>
          <w:b w:val="false"/>
          <w:i w:val="false"/>
          <w:color w:val="000000"/>
          <w:sz w:val="24"/>
          <w:lang w:val="pl-PL"/>
        </w:rPr>
        <w:t xml:space="preserve">Na podstawie </w:t>
      </w:r>
      <w:r>
        <w:rPr>
          <w:rFonts w:ascii="Times New Roman"/>
          <w:b w:val="false"/>
          <w:i w:val="false"/>
          <w:color w:val="1b1b1b"/>
          <w:sz w:val="24"/>
          <w:lang w:val="pl-PL"/>
        </w:rPr>
        <w:t>art. 26 ust. 2</w:t>
      </w:r>
      <w:r>
        <w:rPr>
          <w:rFonts w:ascii="Times New Roman"/>
          <w:b w:val="false"/>
          <w:i w:val="false"/>
          <w:color w:val="000000"/>
          <w:sz w:val="24"/>
          <w:lang w:val="pl-PL"/>
        </w:rPr>
        <w:t xml:space="preserve"> ustawy z dnia 17 maja 1989 r. - Prawo geodezyjne i kartograficzne (Dz. U. z 2023 r. poz. 1752, 1615, 1688 i 1762) zarządza się, co następuje: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Przepisy ogólne</w:t>
      </w:r>
    </w:p>
    <w:p>
      <w:pPr>
        <w:spacing w:before="26" w:after="0"/>
        <w:ind w:left="0"/>
        <w:jc w:val="left"/>
        <w:textAlignment w:val="auto"/>
      </w:pPr>
      <w:r>
        <w:rPr>
          <w:rFonts w:ascii="Times New Roman"/>
          <w:b/>
          <w:i w:val="false"/>
          <w:color w:val="000000"/>
          <w:sz w:val="24"/>
          <w:lang w:val="pl-PL"/>
        </w:rPr>
        <w:t>§  1. </w:t>
      </w:r>
      <w:r>
        <w:rPr>
          <w:rFonts w:ascii="Times New Roman"/>
          <w:b/>
          <w:i w:val="false"/>
          <w:color w:val="000000"/>
          <w:sz w:val="24"/>
          <w:lang w:val="pl-PL"/>
        </w:rPr>
        <w:t xml:space="preserve"> [Przedmiot regulacji]</w:t>
      </w:r>
      <w:r>
        <w:rPr>
          <w:rFonts w:ascii="Times New Roman"/>
          <w:b w:val="false"/>
          <w:i w:val="false"/>
          <w:color w:val="000000"/>
          <w:sz w:val="24"/>
          <w:lang w:val="pl-PL"/>
        </w:rPr>
        <w:t>Rozporządzenie określa: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szczegółowy zakres informacji objętych ewidencją gruntów i budynków, zwanej dalej "ewidencją";</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rodzaje budynków i lokali, które nie są wykazywane w ewidencji;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sposób zakładania i prowadzenia ewidencji;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szczegółowe zasady wymiany danych ewidencyjnych;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sposób i terminy sporządzania powiatowych, wojewódzkich i krajowych zestawień zbiorczych danych objętych ewidencją;</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zakres informacji objętych rejestrem cen nieruchomości.</w:t>
      </w:r>
    </w:p>
    <w:p>
      <w:pPr>
        <w:spacing w:before="26" w:after="0"/>
        <w:ind w:left="0"/>
        <w:jc w:val="left"/>
        <w:textAlignment w:val="auto"/>
      </w:pPr>
      <w:r>
        <w:rPr>
          <w:rFonts w:ascii="Times New Roman"/>
          <w:b/>
          <w:i w:val="false"/>
          <w:color w:val="000000"/>
          <w:sz w:val="24"/>
          <w:lang w:val="pl-PL"/>
        </w:rPr>
        <w:t>§  2. </w:t>
      </w:r>
      <w:r>
        <w:rPr>
          <w:rFonts w:ascii="Times New Roman"/>
          <w:b/>
          <w:i w:val="false"/>
          <w:color w:val="000000"/>
          <w:sz w:val="24"/>
          <w:lang w:val="pl-PL"/>
        </w:rPr>
        <w:t xml:space="preserve"> [Definicje]</w:t>
      </w:r>
      <w:r>
        <w:rPr>
          <w:rFonts w:ascii="Times New Roman"/>
          <w:b w:val="false"/>
          <w:i w:val="false"/>
          <w:color w:val="000000"/>
          <w:sz w:val="24"/>
          <w:lang w:val="pl-PL"/>
        </w:rPr>
        <w:t>Użyte w rozporządzeniu określenia oznaczają: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ustawa - </w:t>
      </w:r>
      <w:r>
        <w:rPr>
          <w:rFonts w:ascii="Times New Roman"/>
          <w:b w:val="false"/>
          <w:i w:val="false"/>
          <w:color w:val="1b1b1b"/>
          <w:sz w:val="24"/>
          <w:lang w:val="pl-PL"/>
        </w:rPr>
        <w:t>ustawę</w:t>
      </w:r>
      <w:r>
        <w:rPr>
          <w:rFonts w:ascii="Times New Roman"/>
          <w:b w:val="false"/>
          <w:i w:val="false"/>
          <w:color w:val="000000"/>
          <w:sz w:val="24"/>
          <w:lang w:val="pl-PL"/>
        </w:rPr>
        <w:t xml:space="preserve"> z dnia 17 maja 1989 r. - Prawo geodezyjne i kartograficzne;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granica działki ewidencyjnej - linię łamaną albo odcinek, wspólną dla dwóch sąsiadujących ze sobą działek ewidencyjnych albo wspólną dla działki ewidencyjnej i granicy państwa - w przypadku działek ewidencyjnych przylegających do granicy państwa;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 xml:space="preserve">budynek - obiekt budowlany, który jest budynkiem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7 lipca 1994 r. - Prawo budowlane (Dz. U. z 2023 r. poz. 682, z późn. zm.);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blok budynku - część budynku wyodrębniona ze względu na liczbę kondygnacji;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samoistny posiadacz - osobę lub podmiot władający gruntem na zasadach samoistnego posiadania;</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 xml:space="preserve">kondygnacja, kondygnacja nadziemna oraz kondygnacja podziemna - odpowiednio kondygnację, kondygnację nadziemną lub kondygnację podziemną, o których mowa w przepisach wydanych na podstawie </w:t>
      </w:r>
      <w:r>
        <w:rPr>
          <w:rFonts w:ascii="Times New Roman"/>
          <w:b w:val="false"/>
          <w:i w:val="false"/>
          <w:color w:val="1b1b1b"/>
          <w:sz w:val="24"/>
          <w:lang w:val="pl-PL"/>
        </w:rPr>
        <w:t>art. 7 ust. 2 pkt 1</w:t>
      </w:r>
      <w:r>
        <w:rPr>
          <w:rFonts w:ascii="Times New Roman"/>
          <w:b w:val="false"/>
          <w:i w:val="false"/>
          <w:color w:val="000000"/>
          <w:sz w:val="24"/>
          <w:lang w:val="pl-PL"/>
        </w:rPr>
        <w:t xml:space="preserve"> ustawy z dnia 7 lipca 1994 r. - Prawo budowlane;</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starosta - również prezydenta miasta na prawach powiatu.</w:t>
      </w:r>
    </w:p>
    <w:p>
      <w:pPr>
        <w:spacing w:before="26" w:after="240"/>
        <w:ind w:left="0"/>
        <w:jc w:val="left"/>
        <w:textAlignment w:val="auto"/>
      </w:pPr>
      <w:r>
        <w:rPr>
          <w:rFonts w:ascii="Times New Roman"/>
          <w:b/>
          <w:i w:val="false"/>
          <w:color w:val="000000"/>
          <w:sz w:val="24"/>
          <w:lang w:val="pl-PL"/>
        </w:rPr>
        <w:t>§  3. </w:t>
      </w:r>
      <w:r>
        <w:rPr>
          <w:rFonts w:ascii="Times New Roman"/>
          <w:b/>
          <w:i w:val="false"/>
          <w:color w:val="000000"/>
          <w:sz w:val="24"/>
          <w:lang w:val="pl-PL"/>
        </w:rPr>
        <w:t xml:space="preserve"> [Objęcie ewidencją całego terytorium RP]</w:t>
      </w:r>
      <w:r>
        <w:rPr>
          <w:rFonts w:ascii="Times New Roman"/>
          <w:b w:val="false"/>
          <w:i w:val="false"/>
          <w:color w:val="000000"/>
          <w:sz w:val="24"/>
          <w:lang w:val="pl-PL"/>
        </w:rPr>
        <w:t>Ewidencja obejmuje terytorium Rzeczypospolitej Polskiej, z wyjątkiem morza terytorialnego.</w:t>
      </w:r>
    </w:p>
    <w:p>
      <w:pPr>
        <w:spacing w:before="26" w:after="0"/>
        <w:ind w:left="0"/>
        <w:jc w:val="left"/>
        <w:textAlignment w:val="auto"/>
      </w:pPr>
      <w:r>
        <w:rPr>
          <w:rFonts w:ascii="Times New Roman"/>
          <w:b/>
          <w:i w:val="false"/>
          <w:color w:val="000000"/>
          <w:sz w:val="24"/>
          <w:lang w:val="pl-PL"/>
        </w:rPr>
        <w:t>§  4. </w:t>
      </w:r>
      <w:r>
        <w:rPr>
          <w:rFonts w:ascii="Times New Roman"/>
          <w:b/>
          <w:i w:val="false"/>
          <w:color w:val="000000"/>
          <w:sz w:val="24"/>
          <w:lang w:val="pl-PL"/>
        </w:rPr>
        <w:t xml:space="preserve"> [Jednostki powierzchniowe podziału kraju dla celów ewidencji]</w:t>
      </w:r>
      <w:r>
        <w:rPr>
          <w:rFonts w:ascii="Times New Roman"/>
          <w:b w:val="false"/>
          <w:i w:val="false"/>
          <w:color w:val="000000"/>
          <w:sz w:val="24"/>
          <w:lang w:val="pl-PL"/>
        </w:rPr>
        <w:t>Jednostkami powierzchniowymi podziału kraju dla celów ewidencji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jednostka ewidencyjna;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obręb ewidencyjny;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działka ewidencyjna.</w:t>
      </w:r>
    </w:p>
    <w:p>
      <w:pPr>
        <w:spacing w:before="26" w:after="0"/>
        <w:ind w:left="0"/>
        <w:jc w:val="left"/>
        <w:textAlignment w:val="auto"/>
      </w:pPr>
      <w:r>
        <w:rPr>
          <w:rFonts w:ascii="Times New Roman"/>
          <w:b/>
          <w:i w:val="false"/>
          <w:color w:val="000000"/>
          <w:sz w:val="24"/>
          <w:lang w:val="pl-PL"/>
        </w:rPr>
        <w:t>§  5. </w:t>
      </w:r>
      <w:r>
        <w:rPr>
          <w:rFonts w:ascii="Times New Roman"/>
          <w:b/>
          <w:i w:val="false"/>
          <w:color w:val="000000"/>
          <w:sz w:val="24"/>
          <w:lang w:val="pl-PL"/>
        </w:rPr>
        <w:t xml:space="preserve"> [Jednostki ewidencyjne]</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Jednostkę ewidencyjną stanowi obszar gminy.</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gmin miejsko-wiejskich tworzy się dwie jednostki ewidencyjne - jedną dla obszaru miasta i drugą dla części wiejskiej gminy.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miastach, w których są wyodrębnione dzielnice lub delegatury, jednostką ewidencyjną może być obszar dzielnicy lub delegatury.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Jednostkę ewidencyjną określa nazwa własna oraz identyfikator wynikający z podziału administracyjnego kraju, o którym mowa w przepisach wydanych na podstawie </w:t>
      </w:r>
      <w:r>
        <w:rPr>
          <w:rFonts w:ascii="Times New Roman"/>
          <w:b w:val="false"/>
          <w:i w:val="false"/>
          <w:color w:val="1b1b1b"/>
          <w:sz w:val="24"/>
          <w:lang w:val="pl-PL"/>
        </w:rPr>
        <w:t>art. 49</w:t>
      </w:r>
      <w:r>
        <w:rPr>
          <w:rFonts w:ascii="Times New Roman"/>
          <w:b w:val="false"/>
          <w:i w:val="false"/>
          <w:color w:val="000000"/>
          <w:sz w:val="24"/>
          <w:lang w:val="pl-PL"/>
        </w:rPr>
        <w:t xml:space="preserve"> ustawy z dnia 29 czerwca 1995 r. o statystyce publicznej (Dz. U. z 2023 r. poz. 773).</w:t>
      </w:r>
    </w:p>
    <w:p>
      <w:pPr>
        <w:spacing w:before="26" w:after="0"/>
        <w:ind w:left="0"/>
        <w:jc w:val="left"/>
        <w:textAlignment w:val="auto"/>
      </w:pPr>
      <w:r>
        <w:rPr>
          <w:rFonts w:ascii="Times New Roman"/>
          <w:b/>
          <w:i w:val="false"/>
          <w:color w:val="000000"/>
          <w:sz w:val="24"/>
          <w:lang w:val="pl-PL"/>
        </w:rPr>
        <w:t>§  6. </w:t>
      </w:r>
      <w:r>
        <w:rPr>
          <w:rFonts w:ascii="Times New Roman"/>
          <w:b/>
          <w:i w:val="false"/>
          <w:color w:val="000000"/>
          <w:sz w:val="24"/>
          <w:lang w:val="pl-PL"/>
        </w:rPr>
        <w:t xml:space="preserve"> [Obręby ewidencyjne]</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Jednostka ewidencyjna dzieli się na obręby ewidencyjne.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Na obszarach wiejskich obręb ewidencyjny może obejmować całą wieś wraz z przyległymi do niej obiektami fizjograficznymi lub jej wydzieloną część.</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Na obszarach miast obręb ewidencyjny może obejmować całe miasto lub jego wydzieloną część.</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Teren zamknięty, o którym mowa w </w:t>
      </w:r>
      <w:r>
        <w:rPr>
          <w:rFonts w:ascii="Times New Roman"/>
          <w:b w:val="false"/>
          <w:i w:val="false"/>
          <w:color w:val="1b1b1b"/>
          <w:sz w:val="24"/>
          <w:lang w:val="pl-PL"/>
        </w:rPr>
        <w:t>art. 2 pkt 9</w:t>
      </w:r>
      <w:r>
        <w:rPr>
          <w:rFonts w:ascii="Times New Roman"/>
          <w:b w:val="false"/>
          <w:i w:val="false"/>
          <w:color w:val="000000"/>
          <w:sz w:val="24"/>
          <w:lang w:val="pl-PL"/>
        </w:rPr>
        <w:t xml:space="preserve"> ustawy, może stanowić odrębny obręb ewidencyjny.</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Podziału na obręby ewidencyjne i określenia ich granic dokonuje starosta w uzgodnieniu z Głównym Geodetą Kraju, po zasięgnięciu opinii właściwej miejscowo jednostki statystyki publicznej.</w:t>
      </w:r>
    </w:p>
    <w:p>
      <w:pPr>
        <w:spacing w:before="26" w:after="0"/>
        <w:ind w:left="0"/>
        <w:jc w:val="left"/>
        <w:textAlignment w:val="auto"/>
      </w:pPr>
      <w:r>
        <w:rPr>
          <w:rFonts w:ascii="Times New Roman"/>
          <w:b w:val="false"/>
          <w:i w:val="false"/>
          <w:color w:val="000000"/>
          <w:sz w:val="24"/>
          <w:lang w:val="pl-PL"/>
        </w:rPr>
        <w:t xml:space="preserve">5a.  </w:t>
      </w:r>
      <w:r>
        <w:rPr>
          <w:rFonts w:ascii="Times New Roman"/>
          <w:b w:val="false"/>
          <w:i w:val="false"/>
          <w:color w:val="000000"/>
          <w:sz w:val="24"/>
          <w:lang w:val="pl-PL"/>
        </w:rPr>
        <w:t xml:space="preserve"> </w:t>
      </w:r>
      <w:r>
        <w:rPr>
          <w:rFonts w:ascii="Times New Roman"/>
          <w:b w:val="false"/>
          <w:i w:val="false"/>
          <w:color w:val="000000"/>
          <w:sz w:val="24"/>
          <w:lang w:val="pl-PL"/>
        </w:rPr>
        <w:t> Starosta do wniosku o uzgodnienie, o którym mowa w ust. 5, dołącza załącznik mapowy obrazujący projektowany podział na obręby ewidencyjne wraz z ich granicami.</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Uzgodnienie, o którym mowa w ust. 5, następuje w terminie 14 dni od dnia otrzymania wniosku przez Głównego Geodetę Kraju. W przypadku braku uzgodnienia w tym terminie projekt podziału na obręby ewidencyjne i określenia ich granic przedstawiony przez starostę uznaje się za uzgodniony.</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Obręb ewidencyjny w jednostce ewidencyjnej jest oznaczony nazwą i numerem, które są unikalne w jednostce ewidencyjnej.</w:t>
      </w:r>
    </w:p>
    <w:p>
      <w:pPr>
        <w:spacing w:before="26" w:after="0"/>
        <w:ind w:left="0"/>
        <w:jc w:val="left"/>
        <w:textAlignment w:val="auto"/>
      </w:pPr>
      <w:r>
        <w:rPr>
          <w:rFonts w:ascii="Times New Roman"/>
          <w:b/>
          <w:i w:val="false"/>
          <w:color w:val="000000"/>
          <w:sz w:val="24"/>
          <w:lang w:val="pl-PL"/>
        </w:rPr>
        <w:t>§  7. </w:t>
      </w:r>
      <w:r>
        <w:rPr>
          <w:rFonts w:ascii="Times New Roman"/>
          <w:b/>
          <w:i w:val="false"/>
          <w:color w:val="000000"/>
          <w:sz w:val="24"/>
          <w:lang w:val="pl-PL"/>
        </w:rPr>
        <w:t xml:space="preserve"> [Działki ewidencyjne]</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Działkę ewidencyjną stanowi ciągły obszar gruntu, położony w granicach jednego obrębu ewidencyjnego, jednorodny pod względem prawnym, wydzielony z otoczenia za pomocą granic działek ewidencyjnych.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Sąsiadujące ze sobą działki ewidencyjne, będące przedmiotem tych samych praw oraz władania tych samych osób lub jednostek organizacyjnych, wykazuje się w ewidencji jako odrębne działki ewidencyjne, jeżeli: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zostały wyodrębnione w wyniku podziału nieruchomości, a materiały powstałe w wyniku prac geodezyjnych związanych z tym podziałem zostały przyjęte do państwowego zasobu geodezyjnego i kartograficznego;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 xml:space="preserve">są wyszczególnione w istniejących dokumentach określających stan prawny nieruchomości, w szczególności w księgach wieczystych, zbiorach dokumentów, aktach notarialnych, prawomocnych orzeczeniach sądowych i ostatecznych decyzjach administracyjnych, a jednocześnie są działkami gruntu lub działkami budowlanymi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21 sierpnia 1997 r. o gospodarce nieruchomościami (Dz. U. z 2023 r. poz. 344, z późn. zm.);</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obejmują grunty zajęte pod drogi publiczne, linie kolejowe, wody śródlądowe lub rowy, a ich wyróżnienie w postaci odrębnych działek jest celowe ze względu na odrębne oznaczenia tych gruntów w innych ewidencjach i rejestrach publicznych lub ze względu na ich różne nazwy urzędowe.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wzajemnego przecinania się gruntów zajętych pod linie kolejowe, drogi publiczne lub kanały przy ustalaniu granic działek ewidencyjnych stosuje się następujące zasady: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linie kolejowe wybudowane na powierzchni gruntu dzielą drogi publiczne wybudowane na powierzchni gruntu na odrębne działki ewidencyjne;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drogi wyższej kategorii wybudowane na powierzchni gruntu dzielą drogi niższej kategorii wybudowane na powierzchni gruntu na odrębne działki ewidencyjne;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drogi i linie kolejowe wybudowane na powierzchni gruntu dzielą drogi i linie kolejowe wybudowane w tunelach i na wiaduktach na odrębne działki ewidencyjne;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drogi publiczne dzielą drogi wewnętrzne na odrębne działki ewidencyjne;</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kryte kanały oraz rurociągi nie dzielą linii kolejowych oraz dróg publicznych na odrębne działki ewidencyjne.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Grunt zajęty przez ciek naturalny stanowi odrębną działkę ewidencyjną niezależnie od tego, czy wody w tym cieku płyną korytem naturalnym, czy korytem uregulowanym odkrytym lub zakrytym.</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 obszarze obrębu ewidencyjnego działka ewidencyjna jest wyróżniana przez jej numer, który ma postać liczby naturalnej.</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podziału nieruchomości nowe działki ewidencyjne oznacza się numerami w postaci ułamka q/p, w którym q jest liczbą naturalną oznaczającą numer działki ewidencyjnej pierwotnej podlegającej podziałowi, zaś p jest najmniejszą liczbą naturalną umożliwiającą wyróżnienie każdej nowej działki ewidencyjnej.</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 przypadku połączenia działek ewidencyjnych lub podziału nieruchomości składającej się z co najmniej dwóch sąsiadujących ze sobą działek ewidencyjnych nowo powstałe działki ewidencyjne oznacza się kolejnymi liczbami naturalnymi po najwyższym wykorzystanym numerze działki ewidencyjnej w obrębie ewidencyjnym.</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Numery działek ewidencyjnych, które w wyniku zmiany granic obrębów ewidencyjnych znalazły się w granicach innego obrębu ewidencyjnego, oznacza się kolejnymi liczbami naturalnymi po najwyższym wykorzystanym numerze działki ewidencyjnej w obrębie ewidencyjnym.</w:t>
      </w:r>
    </w:p>
    <w:p>
      <w:pPr>
        <w:spacing w:before="26" w:after="0"/>
        <w:ind w:left="0"/>
        <w:jc w:val="left"/>
        <w:textAlignment w:val="auto"/>
      </w:pPr>
      <w:r>
        <w:rPr>
          <w:rFonts w:ascii="Times New Roman"/>
          <w:b/>
          <w:i w:val="false"/>
          <w:color w:val="000000"/>
          <w:sz w:val="24"/>
          <w:lang w:val="pl-PL"/>
        </w:rPr>
        <w:t>§  8. </w:t>
      </w:r>
      <w:r>
        <w:rPr>
          <w:rFonts w:ascii="Times New Roman"/>
          <w:b/>
          <w:i w:val="false"/>
          <w:color w:val="000000"/>
          <w:sz w:val="24"/>
          <w:lang w:val="pl-PL"/>
        </w:rPr>
        <w:t xml:space="preserve"> [Grupy użytków gruntowych wykazywanych w ewidencji]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Użytki gruntowe wykazywane w ewidencji dzielą się na następujące grupy:</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grunty rolne;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grunty leśne oraz zadrzewione i zakrzewione;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grunty zabudowane i zurbanizowane;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grunty pod wodami;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tereny różne.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W przypadku użytków, o których mowa w ust. 1 pkt 1 i 2, w ewidencji wykazuje się także klasy bonitacyjne ustalone zgodnie z przepisami wydanymi na podstawie </w:t>
      </w:r>
      <w:r>
        <w:rPr>
          <w:rFonts w:ascii="Times New Roman"/>
          <w:b w:val="false"/>
          <w:i w:val="false"/>
          <w:color w:val="1b1b1b"/>
          <w:sz w:val="24"/>
          <w:lang w:val="pl-PL"/>
        </w:rPr>
        <w:t>art. 26 ust. 1</w:t>
      </w:r>
      <w:r>
        <w:rPr>
          <w:rFonts w:ascii="Times New Roman"/>
          <w:b w:val="false"/>
          <w:i w:val="false"/>
          <w:color w:val="000000"/>
          <w:sz w:val="24"/>
          <w:lang w:val="pl-PL"/>
        </w:rPr>
        <w:t xml:space="preserve"> ustawy.</w:t>
      </w:r>
    </w:p>
    <w:p>
      <w:pPr>
        <w:spacing w:before="26" w:after="0"/>
        <w:ind w:left="0"/>
        <w:jc w:val="left"/>
        <w:textAlignment w:val="auto"/>
      </w:pPr>
      <w:r>
        <w:rPr>
          <w:rFonts w:ascii="Times New Roman"/>
          <w:b/>
          <w:i w:val="false"/>
          <w:color w:val="000000"/>
          <w:sz w:val="24"/>
          <w:lang w:val="pl-PL"/>
        </w:rPr>
        <w:t>§  9. </w:t>
      </w:r>
      <w:r>
        <w:rPr>
          <w:rFonts w:ascii="Times New Roman"/>
          <w:b/>
          <w:i w:val="false"/>
          <w:color w:val="000000"/>
          <w:sz w:val="24"/>
          <w:lang w:val="pl-PL"/>
        </w:rPr>
        <w:t xml:space="preserve"> [Rodzaje gruntów w poszczególnych grupach gruntów i ich oznaczenia]</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Grunty rolne, o których mowa w § 8 ust. 1 pkt 1, dzielą się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użytki rolne, do których zalicza się:</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grunty orne, oznaczone symbolem R,</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łąki trwałe, oznaczone symbolem Ł,</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pastwiska trwałe, oznaczone symbolem Ps,</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sady, oznaczone symbolem S,</w:t>
      </w:r>
    </w:p>
    <w:p>
      <w:pPr>
        <w:spacing w:after="0"/>
        <w:ind w:left="746"/>
        <w:jc w:val="left"/>
        <w:textAlignment w:val="auto"/>
      </w:pPr>
      <w:r>
        <w:rPr>
          <w:rFonts w:ascii="Times New Roman"/>
          <w:b w:val="false"/>
          <w:i w:val="false"/>
          <w:color w:val="000000"/>
          <w:sz w:val="24"/>
          <w:lang w:val="pl-PL"/>
        </w:rPr>
        <w:t xml:space="preserve">e) </w:t>
      </w:r>
      <w:r>
        <w:rPr>
          <w:rFonts w:ascii="Times New Roman"/>
          <w:b w:val="false"/>
          <w:i w:val="false"/>
          <w:color w:val="000000"/>
          <w:sz w:val="24"/>
          <w:lang w:val="pl-PL"/>
        </w:rPr>
        <w:t>grunty rolne zabudowane, oznaczone symbolem Br,</w:t>
      </w:r>
    </w:p>
    <w:p>
      <w:pPr>
        <w:spacing w:after="0"/>
        <w:ind w:left="746"/>
        <w:jc w:val="left"/>
        <w:textAlignment w:val="auto"/>
      </w:pPr>
      <w:r>
        <w:rPr>
          <w:rFonts w:ascii="Times New Roman"/>
          <w:b w:val="false"/>
          <w:i w:val="false"/>
          <w:color w:val="000000"/>
          <w:sz w:val="24"/>
          <w:lang w:val="pl-PL"/>
        </w:rPr>
        <w:t xml:space="preserve">f) </w:t>
      </w:r>
      <w:r>
        <w:rPr>
          <w:rFonts w:ascii="Times New Roman"/>
          <w:b w:val="false"/>
          <w:i w:val="false"/>
          <w:color w:val="000000"/>
          <w:sz w:val="24"/>
          <w:lang w:val="pl-PL"/>
        </w:rPr>
        <w:t>grunty zadrzewione i zakrzewione na użytkach rolnych, oznaczone symbolem Lzr,</w:t>
      </w:r>
    </w:p>
    <w:p>
      <w:pPr>
        <w:spacing w:after="0"/>
        <w:ind w:left="746"/>
        <w:jc w:val="left"/>
        <w:textAlignment w:val="auto"/>
      </w:pPr>
      <w:r>
        <w:rPr>
          <w:rFonts w:ascii="Times New Roman"/>
          <w:b w:val="false"/>
          <w:i w:val="false"/>
          <w:color w:val="000000"/>
          <w:sz w:val="24"/>
          <w:lang w:val="pl-PL"/>
        </w:rPr>
        <w:t xml:space="preserve">g) </w:t>
      </w:r>
      <w:r>
        <w:rPr>
          <w:rFonts w:ascii="Times New Roman"/>
          <w:b w:val="false"/>
          <w:i w:val="false"/>
          <w:color w:val="000000"/>
          <w:sz w:val="24"/>
          <w:lang w:val="pl-PL"/>
        </w:rPr>
        <w:t>grunty pod stawami, oznaczone symbolem Wsr,</w:t>
      </w:r>
    </w:p>
    <w:p>
      <w:pPr>
        <w:spacing w:after="0"/>
        <w:ind w:left="746"/>
        <w:jc w:val="left"/>
        <w:textAlignment w:val="auto"/>
      </w:pPr>
      <w:r>
        <w:rPr>
          <w:rFonts w:ascii="Times New Roman"/>
          <w:b w:val="false"/>
          <w:i w:val="false"/>
          <w:color w:val="000000"/>
          <w:sz w:val="24"/>
          <w:lang w:val="pl-PL"/>
        </w:rPr>
        <w:t xml:space="preserve">h) </w:t>
      </w:r>
      <w:r>
        <w:rPr>
          <w:rFonts w:ascii="Times New Roman"/>
          <w:b w:val="false"/>
          <w:i w:val="false"/>
          <w:color w:val="000000"/>
          <w:sz w:val="24"/>
          <w:lang w:val="pl-PL"/>
        </w:rPr>
        <w:t>grunty pod rowami, oznaczone symbolem W;</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nieużytki, oznaczone symbolem N.</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Grunty leśne oraz zadrzewione i zakrzewione, o których mowa w § 8 ust. 1 pkt 2, dzielą się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lasy, oznaczone symbolem Ls;</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grunty zadrzewione i zakrzewione, oznaczone symbolem Lz;</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(uchylony).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Grunty zabudowane i zurbanizowane, o których mowa w § 8 ust. 1 pkt 3, dzielą się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tereny mieszkaniowe, oznaczone symbolem 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tereny przemysłowe, oznaczone symbolem Ba;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inne tereny zabudowane, oznaczone symbolem Bi;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zurbanizowane tereny niezabudowane lub w trakcie zabudowy, oznaczone symbolem Bp;</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tereny rekreacyjno-wypoczynkowe, oznaczone symbolem Bz;</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użytki kopalne, oznaczone symbolem K;</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tereny komunikacyjne, w tym:</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drogi, oznaczone symbolem dr,</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tereny kolejowe, oznaczone symbolem Tk,</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inne tereny komunikacyjne, oznaczone symbolem Ti,</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grunty przeznaczone pod budowę dróg publicznych lub linii kolejowych, oznaczone symbolem Tp.</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Grunty pod wodami, o których mowa w § 8 ust. 1 pkt 4, dzielą się na: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grunty pod morskimi wodami wewnętrznymi, oznaczone symbolem Wm;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grunty pod wodami powierzchniowymi płynącymi, oznaczone symbolem Wp;</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grunty pod wodami powierzchniowymi stojącymi, oznaczone symbolem Ws.</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Tereny różne, o których mowa w § 8 ust. 1 pkt 5, oznaczone są symbolem Tr.</w:t>
      </w:r>
    </w:p>
    <w:p>
      <w:pPr>
        <w:spacing w:before="26" w:after="240"/>
        <w:ind w:left="0"/>
        <w:jc w:val="left"/>
        <w:textAlignment w:val="auto"/>
      </w:pPr>
      <w:r>
        <w:rPr>
          <w:rFonts w:ascii="Times New Roman"/>
          <w:b/>
          <w:i w:val="false"/>
          <w:color w:val="000000"/>
          <w:sz w:val="24"/>
          <w:lang w:val="pl-PL"/>
        </w:rPr>
        <w:t>§  10. </w:t>
      </w:r>
      <w:r>
        <w:rPr>
          <w:rFonts w:ascii="Times New Roman"/>
          <w:b/>
          <w:i w:val="false"/>
          <w:color w:val="000000"/>
          <w:sz w:val="24"/>
          <w:lang w:val="pl-PL"/>
        </w:rPr>
        <w:t xml:space="preserve"> [Zaliczanie gruntów do poszczególnych użytków gruntowych]</w:t>
      </w:r>
      <w:r>
        <w:rPr>
          <w:rFonts w:ascii="Times New Roman"/>
          <w:b w:val="false"/>
          <w:i w:val="false"/>
          <w:color w:val="000000"/>
          <w:sz w:val="24"/>
          <w:lang w:val="pl-PL"/>
        </w:rPr>
        <w:t>Zaliczanie gruntów do poszczególnych użytków gruntowych określa załącznik nr 1 do rozporządzenia.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Szczegółowy zakres danych objętych ewidencją</w:t>
      </w:r>
    </w:p>
    <w:p>
      <w:pPr>
        <w:spacing w:before="26" w:after="0"/>
        <w:ind w:left="0"/>
        <w:jc w:val="left"/>
        <w:textAlignment w:val="auto"/>
      </w:pPr>
      <w:r>
        <w:rPr>
          <w:rFonts w:ascii="Times New Roman"/>
          <w:b/>
          <w:i w:val="false"/>
          <w:color w:val="000000"/>
          <w:sz w:val="24"/>
          <w:lang w:val="pl-PL"/>
        </w:rPr>
        <w:t>§  11. </w:t>
      </w:r>
      <w:r>
        <w:rPr>
          <w:rFonts w:ascii="Times New Roman"/>
          <w:b/>
          <w:i w:val="false"/>
          <w:color w:val="000000"/>
          <w:sz w:val="24"/>
          <w:lang w:val="pl-PL"/>
        </w:rPr>
        <w:t xml:space="preserve"> [Dane w ewidencji]</w:t>
      </w:r>
      <w:r>
        <w:rPr>
          <w:rFonts w:ascii="Times New Roman"/>
          <w:b w:val="false"/>
          <w:i w:val="false"/>
          <w:color w:val="000000"/>
          <w:sz w:val="24"/>
          <w:lang w:val="pl-PL"/>
        </w:rPr>
        <w:t>Ewidencja obejmuje dane dotyczące: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działek ewidencyjnych;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użytków gruntowych;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klas bonitacyjnych;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punktów granicznych;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budynków;</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lokali;</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właścicieli albo samoistnych posiadaczy, opisu prawa własności lub stanu posiadania tych osób oraz przysługujących im wielkości udziałów w prawie własności, daty nabycia tego prawa oraz informacji o dokumentach, które stanowiły podstawę opisu prawa własności albo stanu posiadania.</w:t>
      </w:r>
    </w:p>
    <w:p>
      <w:pPr>
        <w:spacing w:before="26" w:after="0"/>
        <w:ind w:left="0"/>
        <w:jc w:val="left"/>
        <w:textAlignment w:val="auto"/>
      </w:pPr>
      <w:r>
        <w:rPr>
          <w:rFonts w:ascii="Times New Roman"/>
          <w:b/>
          <w:i w:val="false"/>
          <w:color w:val="000000"/>
          <w:sz w:val="24"/>
          <w:lang w:val="pl-PL"/>
        </w:rPr>
        <w:t>§  12. </w:t>
      </w:r>
      <w:r>
        <w:rPr>
          <w:rFonts w:ascii="Times New Roman"/>
          <w:b/>
          <w:i w:val="false"/>
          <w:color w:val="000000"/>
          <w:sz w:val="24"/>
          <w:lang w:val="pl-PL"/>
        </w:rPr>
        <w:t xml:space="preserve"> [Dodatkowe dane wykazywane w ewidencji]</w:t>
      </w:r>
      <w:r>
        <w:rPr>
          <w:rFonts w:ascii="Times New Roman"/>
          <w:b w:val="false"/>
          <w:i w:val="false"/>
          <w:color w:val="000000"/>
          <w:sz w:val="24"/>
          <w:lang w:val="pl-PL"/>
        </w:rPr>
        <w:t>W ewidencji oprócz danych, o których mowa w § 11 pkt 7, wykazuje się także: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dane dotyczące:</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użytkowników wieczystych gruntów,</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jednostek organizacyjnych sprawujących zarząd albo trwały zarząd nieruchomościami,</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państwowych osób prawnych, którym Skarb Państwa powierzył w stosunku do jego nieruchomości wykonywanie prawa własności lub innych praw rzeczowych,</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organów administracji publicznej, które gospodarują nieruchomościami wchodzącymi w skład zasobu nieruchomości Skarbu Państwa oraz gminnych, powiatowych i wojewódzkich zasobów nieruchomości,</w:t>
      </w:r>
    </w:p>
    <w:p>
      <w:pPr>
        <w:spacing w:after="0"/>
        <w:ind w:left="746"/>
        <w:jc w:val="left"/>
        <w:textAlignment w:val="auto"/>
      </w:pPr>
      <w:r>
        <w:rPr>
          <w:rFonts w:ascii="Times New Roman"/>
          <w:b w:val="false"/>
          <w:i w:val="false"/>
          <w:color w:val="000000"/>
          <w:sz w:val="24"/>
          <w:lang w:val="pl-PL"/>
        </w:rPr>
        <w:t xml:space="preserve">e) </w:t>
      </w:r>
      <w:r>
        <w:rPr>
          <w:rFonts w:ascii="Times New Roman"/>
          <w:b w:val="false"/>
          <w:i w:val="false"/>
          <w:color w:val="000000"/>
          <w:sz w:val="24"/>
          <w:lang w:val="pl-PL"/>
        </w:rPr>
        <w:t>użytkowników gruntów państwowych i samorządowych;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opis prawa podmiotów, o których mowa w pkt 1, do działek ewidencyjnych, budynków i lokali oraz datę uzyskania lub ustanowienia tego prawa;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wielkość udziałów podmiotów, o których mowa w pkt 1, w przysługujących im i ujawnianych w ewidencji uprawnieniach do nieruchomości;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informacje o dokumentach, które stanowiły podstawę ujawnienia w ewidencji prawa podmiotów, o których mowa w pkt 1, do gruntów, budynków i lokali.</w:t>
      </w:r>
    </w:p>
    <w:p>
      <w:pPr>
        <w:spacing w:before="26" w:after="0"/>
        <w:ind w:left="0"/>
        <w:jc w:val="left"/>
        <w:textAlignment w:val="auto"/>
      </w:pPr>
      <w:r>
        <w:rPr>
          <w:rFonts w:ascii="Times New Roman"/>
          <w:b/>
          <w:i w:val="false"/>
          <w:color w:val="000000"/>
          <w:sz w:val="24"/>
          <w:lang w:val="pl-PL"/>
        </w:rPr>
        <w:t>§  13. </w:t>
      </w:r>
      <w:r>
        <w:rPr>
          <w:rFonts w:ascii="Times New Roman"/>
          <w:b/>
          <w:i w:val="false"/>
          <w:color w:val="000000"/>
          <w:sz w:val="24"/>
          <w:lang w:val="pl-PL"/>
        </w:rPr>
        <w:t xml:space="preserve"> [Jednostki rejestrowe gruntów, budynków i lokali]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Działki ewidencyjne położone w granicach jednego obrębu ewidencyjnego i będące przedmiotem identycznych praw i odpowiadających im udziałów, o których mowa w § 11 pkt 7 i § 12 pkt 1 i 3, tworzą jednostkę rejestrową gruntów.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Budynki stanowiące odrębny od gruntu przedmiot własności, położone na działkach ewidencyjnych wchodzących w skład jednej jednostki rejestrowej gruntów, będące przedmiotem tych samych praw oraz odpowiadających im udziałów, tworzą jednostkę rejestrową budynków.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Każdy lokal stanowiący odrębną nieruchomość należy do odrębnej jednostki rejestrowej lokali.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Jednostki rejestrowe gruntów, budynków i lokali oznacza się identyfikatorami.</w:t>
      </w:r>
    </w:p>
    <w:p>
      <w:pPr>
        <w:spacing w:before="26" w:after="0"/>
        <w:ind w:left="0"/>
        <w:jc w:val="left"/>
        <w:textAlignment w:val="auto"/>
      </w:pPr>
      <w:r>
        <w:rPr>
          <w:rFonts w:ascii="Times New Roman"/>
          <w:b/>
          <w:i w:val="false"/>
          <w:color w:val="000000"/>
          <w:sz w:val="24"/>
          <w:lang w:val="pl-PL"/>
        </w:rPr>
        <w:t>§  14. </w:t>
      </w:r>
      <w:r>
        <w:rPr>
          <w:rFonts w:ascii="Times New Roman"/>
          <w:b/>
          <w:i w:val="false"/>
          <w:color w:val="000000"/>
          <w:sz w:val="24"/>
          <w:lang w:val="pl-PL"/>
        </w:rPr>
        <w:t xml:space="preserve"> [Grupy rejestrowe dla jednostek rejestrowych]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Na podstawie statusu podmiotów i przysługujących im wielkości udziałów, o których mowa w § 11 pkt 7, ustala się następujące grupy rejestrowe: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grupa 1 - Skarb Państwa, jeżeli nie występuje w zbiegu z użytkownikami wieczystymi;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grupa 2 - Skarb Państwa, jeżeli występuje w zbiegu z użytkownikami wieczystymi;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grupa 3 - jednoosobowe spółki Skarbu Państwa, przedsiębiorstwa państwowe i inne państwowe osoby prawne;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grupa 4 - gminy, związki międzygminne lub metropolitalne, jeżeli nie występują w zbiegu z użytkownikami wieczystymi;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grupa 5 - gminy, związki międzygminne lub metropolitalne, jeżeli występują w zbiegu z użytkownikami wieczystymi;</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grupa 6 - jednoosobowe spółki jednostek samorządu terytorialnego i inne osoby prawne, których organami założycielskimi są organy samorządu terytorialnego;</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grupa 7 - osoby fizyczne;</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grupa 8 - spółdzielnie;</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grupa 9 - kościoły i związki wyznaniowe;</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grupa 10 - wspólnoty gruntowe;</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grupa 11 - powiaty i związki powiatów, jeżeli nie występują w zbiegu z użytkownikami wieczystymi;</w:t>
      </w:r>
    </w:p>
    <w:p>
      <w:pPr>
        <w:spacing w:before="26" w:after="0"/>
        <w:ind w:left="373"/>
        <w:jc w:val="left"/>
        <w:textAlignment w:val="auto"/>
      </w:pPr>
      <w:r>
        <w:rPr>
          <w:rFonts w:ascii="Times New Roman"/>
          <w:b w:val="false"/>
          <w:i w:val="false"/>
          <w:color w:val="000000"/>
          <w:sz w:val="24"/>
          <w:lang w:val="pl-PL"/>
        </w:rPr>
        <w:t xml:space="preserve">12) </w:t>
      </w:r>
      <w:r>
        <w:rPr>
          <w:rFonts w:ascii="Times New Roman"/>
          <w:b w:val="false"/>
          <w:i w:val="false"/>
          <w:color w:val="000000"/>
          <w:sz w:val="24"/>
          <w:lang w:val="pl-PL"/>
        </w:rPr>
        <w:t>grupa 12 - powiaty i związki powiatów, jeżeli występują w zbiegu z użytkownikami wieczystymi;</w:t>
      </w:r>
    </w:p>
    <w:p>
      <w:pPr>
        <w:spacing w:before="26" w:after="0"/>
        <w:ind w:left="373"/>
        <w:jc w:val="left"/>
        <w:textAlignment w:val="auto"/>
      </w:pPr>
      <w:r>
        <w:rPr>
          <w:rFonts w:ascii="Times New Roman"/>
          <w:b w:val="false"/>
          <w:i w:val="false"/>
          <w:color w:val="000000"/>
          <w:sz w:val="24"/>
          <w:lang w:val="pl-PL"/>
        </w:rPr>
        <w:t xml:space="preserve">13) </w:t>
      </w:r>
      <w:r>
        <w:rPr>
          <w:rFonts w:ascii="Times New Roman"/>
          <w:b w:val="false"/>
          <w:i w:val="false"/>
          <w:color w:val="000000"/>
          <w:sz w:val="24"/>
          <w:lang w:val="pl-PL"/>
        </w:rPr>
        <w:t>grupa 13 - województwa, jeżeli nie występują w zbiegu z użytkownikami wieczystymi;</w:t>
      </w:r>
    </w:p>
    <w:p>
      <w:pPr>
        <w:spacing w:before="26" w:after="0"/>
        <w:ind w:left="373"/>
        <w:jc w:val="left"/>
        <w:textAlignment w:val="auto"/>
      </w:pPr>
      <w:r>
        <w:rPr>
          <w:rFonts w:ascii="Times New Roman"/>
          <w:b w:val="false"/>
          <w:i w:val="false"/>
          <w:color w:val="000000"/>
          <w:sz w:val="24"/>
          <w:lang w:val="pl-PL"/>
        </w:rPr>
        <w:t xml:space="preserve">14) </w:t>
      </w:r>
      <w:r>
        <w:rPr>
          <w:rFonts w:ascii="Times New Roman"/>
          <w:b w:val="false"/>
          <w:i w:val="false"/>
          <w:color w:val="000000"/>
          <w:sz w:val="24"/>
          <w:lang w:val="pl-PL"/>
        </w:rPr>
        <w:t>grupa 14 - województwa, jeżeli występują w zbiegu z użytkownikami wieczystymi;</w:t>
      </w:r>
    </w:p>
    <w:p>
      <w:pPr>
        <w:spacing w:before="26" w:after="0"/>
        <w:ind w:left="373"/>
        <w:jc w:val="left"/>
        <w:textAlignment w:val="auto"/>
      </w:pPr>
      <w:r>
        <w:rPr>
          <w:rFonts w:ascii="Times New Roman"/>
          <w:b w:val="false"/>
          <w:i w:val="false"/>
          <w:color w:val="000000"/>
          <w:sz w:val="24"/>
          <w:lang w:val="pl-PL"/>
        </w:rPr>
        <w:t xml:space="preserve">15) </w:t>
      </w:r>
      <w:r>
        <w:rPr>
          <w:rFonts w:ascii="Times New Roman"/>
          <w:b w:val="false"/>
          <w:i w:val="false"/>
          <w:color w:val="000000"/>
          <w:sz w:val="24"/>
          <w:lang w:val="pl-PL"/>
        </w:rPr>
        <w:t>grupa 15 - spółki prawa handlowego;</w:t>
      </w:r>
    </w:p>
    <w:p>
      <w:pPr>
        <w:spacing w:before="26" w:after="0"/>
        <w:ind w:left="373"/>
        <w:jc w:val="left"/>
        <w:textAlignment w:val="auto"/>
      </w:pPr>
      <w:r>
        <w:rPr>
          <w:rFonts w:ascii="Times New Roman"/>
          <w:b w:val="false"/>
          <w:i w:val="false"/>
          <w:color w:val="000000"/>
          <w:sz w:val="24"/>
          <w:lang w:val="pl-PL"/>
        </w:rPr>
        <w:t xml:space="preserve">16) </w:t>
      </w:r>
      <w:r>
        <w:rPr>
          <w:rFonts w:ascii="Times New Roman"/>
          <w:b w:val="false"/>
          <w:i w:val="false"/>
          <w:color w:val="000000"/>
          <w:sz w:val="24"/>
          <w:lang w:val="pl-PL"/>
        </w:rPr>
        <w:t>grupa 16 - inne podmioty ewidencyjne niewymienione w pkt 1-15.</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Zasady zaliczania działek ewidencyjnych, budynków i lokali do grup rejestrowych określa załącznik nr 2 do rozporządzenia.</w:t>
      </w:r>
    </w:p>
    <w:p>
      <w:pPr>
        <w:spacing w:before="26" w:after="0"/>
        <w:ind w:left="0"/>
        <w:jc w:val="left"/>
        <w:textAlignment w:val="auto"/>
      </w:pPr>
      <w:r>
        <w:rPr>
          <w:rFonts w:ascii="Times New Roman"/>
          <w:b/>
          <w:i w:val="false"/>
          <w:color w:val="000000"/>
          <w:sz w:val="24"/>
          <w:lang w:val="pl-PL"/>
        </w:rPr>
        <w:t>§  15. </w:t>
      </w:r>
      <w:r>
        <w:rPr>
          <w:rFonts w:ascii="Times New Roman"/>
          <w:b/>
          <w:i w:val="false"/>
          <w:color w:val="000000"/>
          <w:sz w:val="24"/>
          <w:lang w:val="pl-PL"/>
        </w:rPr>
        <w:t xml:space="preserve"> [Budynki i lokale niewykazywane w ewidencji]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W ewidencji nie wykazuje się budynków, które nie wymagają geodezyjnej inwentaryzacji powykonawczej, o której mowa w art. 2 pkt 7b ustawy, budynków projektowanych, budynków w budowie oraz lokali, w odniesieniu do których nie zostało wydane zaświadczenie, o którym mowa w </w:t>
      </w:r>
      <w:r>
        <w:rPr>
          <w:rFonts w:ascii="Times New Roman"/>
          <w:b w:val="false"/>
          <w:i w:val="false"/>
          <w:color w:val="1b1b1b"/>
          <w:sz w:val="24"/>
          <w:lang w:val="pl-PL"/>
        </w:rPr>
        <w:t>art. 2 ust. 3</w:t>
      </w:r>
      <w:r>
        <w:rPr>
          <w:rFonts w:ascii="Times New Roman"/>
          <w:b w:val="false"/>
          <w:i w:val="false"/>
          <w:color w:val="000000"/>
          <w:sz w:val="24"/>
          <w:lang w:val="pl-PL"/>
        </w:rPr>
        <w:t xml:space="preserve"> ustawy z dnia 24 czerwca 1994 r. o własności lokali (Dz. U. z 2021 r. poz. 1048 oraz z 2023 r. poz. 1688).</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Budynki, których nie wykazuje się w ewidencji, stanowią treść bazy danych, o której mowa w </w:t>
      </w:r>
      <w:r>
        <w:rPr>
          <w:rFonts w:ascii="Times New Roman"/>
          <w:b w:val="false"/>
          <w:i w:val="false"/>
          <w:color w:val="1b1b1b"/>
          <w:sz w:val="24"/>
          <w:lang w:val="pl-PL"/>
        </w:rPr>
        <w:t>art. 4 ust. 1a pkt 12</w:t>
      </w:r>
      <w:r>
        <w:rPr>
          <w:rFonts w:ascii="Times New Roman"/>
          <w:b w:val="false"/>
          <w:i w:val="false"/>
          <w:color w:val="000000"/>
          <w:sz w:val="24"/>
          <w:lang w:val="pl-PL"/>
        </w:rPr>
        <w:t xml:space="preserve"> ustawy.</w:t>
      </w:r>
    </w:p>
    <w:p>
      <w:pPr>
        <w:spacing w:before="26" w:after="0"/>
        <w:ind w:left="0"/>
        <w:jc w:val="left"/>
        <w:textAlignment w:val="auto"/>
      </w:pPr>
      <w:r>
        <w:rPr>
          <w:rFonts w:ascii="Times New Roman"/>
          <w:b/>
          <w:i w:val="false"/>
          <w:color w:val="000000"/>
          <w:sz w:val="24"/>
          <w:lang w:val="pl-PL"/>
        </w:rPr>
        <w:t>§  16. </w:t>
      </w:r>
      <w:r>
        <w:rPr>
          <w:rFonts w:ascii="Times New Roman"/>
          <w:b/>
          <w:i w:val="false"/>
          <w:color w:val="000000"/>
          <w:sz w:val="24"/>
          <w:lang w:val="pl-PL"/>
        </w:rPr>
        <w:t xml:space="preserve"> [Dane ewidencyjne dotyczące działki ewidencyjnej]</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Danymi ewidencyjnymi dotyczącymi działki ewidencyjnej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identyfikator działki ewidencyjnej;</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numeryczny opis granic wraz z danymi dotyczącymi punktów granicznych;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pole powierzchni ewidencyjnej;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pola powierzchni użytków gruntowych i klas bonitacyjnych w obszarze działki ewidencyjnej;</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oznaczenie dokumentów potwierdzających własność;</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numer księgi wieczystej;</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oznaczenie dokumentów określających inne niż własność uprawnienia do działki ewidencyjnej;</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adres, jeżeli został określony;</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oznaczenie jednostki rejestrowej gruntów, do której należy działka ewidencyjna.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Pole powierzchni, o którym mowa w ust. 1 pkt 3, oblicza się na podstawie współrzędnych punktów granicznych działki ewidencyjnej, uwzględniając wartość poprawki odwzorowawczej, i wykazuje się w hektarach z precyzją zapisu do 0,0001 ha.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Dla działek ewidencyjnych, dla których pole powierzchni od chwili założenia ewidencji nie zostało obliczone z precyzją zapisu do 0,0001 ha, dopuszcza się wykazywanie powierzchni z precyzją zapisu do 0,01 ha.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Sposób obliczenia pola powierzchni działki ewidencyjnej z uwzględnieniem wartości poprawki odwzorowawczej określa załącznik nr 3 do rozporządzenia.</w:t>
      </w:r>
    </w:p>
    <w:p>
      <w:pPr>
        <w:spacing w:before="26" w:after="0"/>
        <w:ind w:left="0"/>
        <w:jc w:val="left"/>
        <w:textAlignment w:val="auto"/>
      </w:pPr>
      <w:r>
        <w:rPr>
          <w:rFonts w:ascii="Times New Roman"/>
          <w:b/>
          <w:i w:val="false"/>
          <w:color w:val="000000"/>
          <w:sz w:val="24"/>
          <w:lang w:val="pl-PL"/>
        </w:rPr>
        <w:t>§  17. </w:t>
      </w:r>
      <w:r>
        <w:rPr>
          <w:rFonts w:ascii="Times New Roman"/>
          <w:b/>
          <w:i w:val="false"/>
          <w:color w:val="000000"/>
          <w:sz w:val="24"/>
          <w:lang w:val="pl-PL"/>
        </w:rPr>
        <w:t xml:space="preserve"> [Dane ewidencyjne dotyczące punktu granicznego]</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Danymi ewidencyjnymi dotyczącymi punktu granicznego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współrzędne określające położenie punktu granicznego;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identyfikator punktu granicznego;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sposób pozyskania danych o punkcie granicznym;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informacja dotycząca spełnienia standardów dokładnościowych;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rodzaj stabilizacji;</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oznaczenie punktu granicznego w materiale źródłowym;</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numer operatu technicznego, w ramach którego informacje o punkcie zostały wprowadzone do ewidencji;</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dodatkowe informacje.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Dopuszczalne wartości atrybutów punktów granicznych, o których mowa w ust. 1 pkt 3-5, określa załącznik nr 4 do rozporządzenia.</w:t>
      </w:r>
    </w:p>
    <w:p>
      <w:pPr>
        <w:spacing w:before="26" w:after="0"/>
        <w:ind w:left="0"/>
        <w:jc w:val="left"/>
        <w:textAlignment w:val="auto"/>
      </w:pPr>
      <w:r>
        <w:rPr>
          <w:rFonts w:ascii="Times New Roman"/>
          <w:b/>
          <w:i w:val="false"/>
          <w:color w:val="000000"/>
          <w:sz w:val="24"/>
          <w:lang w:val="pl-PL"/>
        </w:rPr>
        <w:t>§  18. </w:t>
      </w:r>
      <w:r>
        <w:rPr>
          <w:rFonts w:ascii="Times New Roman"/>
          <w:b/>
          <w:i w:val="false"/>
          <w:color w:val="000000"/>
          <w:sz w:val="24"/>
          <w:lang w:val="pl-PL"/>
        </w:rPr>
        <w:t xml:space="preserve"> [Dane ewidencyjne dotyczące budynku]</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Danymi ewidencyjnymi dotyczącymi budynku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identyfikator budynku;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numeryczny opis konturu budynku określony zgodnie z zasadami przewidzianymi dla wyznaczenia powierzchni zabudowy budynku;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 xml:space="preserve">rodzaj budynku według Klasyfikacji Środków Trwałych (KŚT), o której mowa w przepisach wydanych na podstawie </w:t>
      </w:r>
      <w:r>
        <w:rPr>
          <w:rFonts w:ascii="Times New Roman"/>
          <w:b w:val="false"/>
          <w:i w:val="false"/>
          <w:color w:val="1b1b1b"/>
          <w:sz w:val="24"/>
          <w:lang w:val="pl-PL"/>
        </w:rPr>
        <w:t>art. 40 ust. 2</w:t>
      </w:r>
      <w:r>
        <w:rPr>
          <w:rFonts w:ascii="Times New Roman"/>
          <w:b w:val="false"/>
          <w:i w:val="false"/>
          <w:color w:val="000000"/>
          <w:sz w:val="24"/>
          <w:lang w:val="pl-PL"/>
        </w:rPr>
        <w:t xml:space="preserve"> ustawy z dnia 29 czerwca 1995 r. o statystyce publicznej;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liczba kondygnacji nadziemnych;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liczba kondygnacji podziemnych;</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pole powierzchni zabudowy;</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łączne pole powierzchni użytkowej:</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lokali stanowiących odrębne nieruchomości,</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lokali niewyodrębnionych,</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pomieszczeń przynależnych do lokali;</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identyfikator działki ewidencyjnej, na której budynek jest położony, a w przypadku gdy budynek jest położony na kilku działkach ewidencyjnych - identyfikatory wszystkich działek ewidencyjnych, na których budynek jest położony;</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oznaczenie dokumentów potwierdzających własność, o ile budynek stanowi odrębny od gruntu przedmiot własności;</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numer księgi wieczystej, o ile budynek stanowi odrębny od gruntu przedmiot własności;</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adres budynku, jeżeli został określony;</w:t>
      </w:r>
    </w:p>
    <w:p>
      <w:pPr>
        <w:spacing w:before="26" w:after="0"/>
        <w:ind w:left="373"/>
        <w:jc w:val="left"/>
        <w:textAlignment w:val="auto"/>
      </w:pPr>
      <w:r>
        <w:rPr>
          <w:rFonts w:ascii="Times New Roman"/>
          <w:b w:val="false"/>
          <w:i w:val="false"/>
          <w:color w:val="000000"/>
          <w:sz w:val="24"/>
          <w:lang w:val="pl-PL"/>
        </w:rPr>
        <w:t xml:space="preserve">12) </w:t>
      </w:r>
      <w:r>
        <w:rPr>
          <w:rFonts w:ascii="Times New Roman"/>
          <w:b w:val="false"/>
          <w:i w:val="false"/>
          <w:color w:val="000000"/>
          <w:sz w:val="24"/>
          <w:lang w:val="pl-PL"/>
        </w:rPr>
        <w:t>oznaczenie jednostki rejestrowej budynków, do której należy budynek, o ile stanowi on odrębny od gruntu przedmiot własności.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Pole powierzchni zabudowy oblicza się na podstawie prostokątnego rzutu na płaszczyznę poziomą zewnętrznych płaszczyzn ścian zewnętrznych kondygnacji przyziemnej budynku, a w budynkach posadowionych na filarach na podstawie rzutu zewnętrznych płaszczyzn ścian zewnętrznych kondygnacji opartej na tych filarach.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budynków posiadających tylko kondygnacje podziemne pole powierzchni zabudowy oblicza się na podstawie prostokątnego rzutu na płaszczyznę poziomą zewnętrznych krawędzi tego budynku.</w:t>
      </w:r>
    </w:p>
    <w:p>
      <w:pPr>
        <w:spacing w:before="26" w:after="240"/>
        <w:ind w:left="0"/>
        <w:jc w:val="left"/>
        <w:textAlignment w:val="auto"/>
      </w:pPr>
      <w:r>
        <w:rPr>
          <w:rFonts w:ascii="Times New Roman"/>
          <w:b/>
          <w:i w:val="false"/>
          <w:color w:val="000000"/>
          <w:sz w:val="24"/>
          <w:lang w:val="pl-PL"/>
        </w:rPr>
        <w:t>§  19. </w:t>
      </w:r>
      <w:r>
        <w:rPr>
          <w:rFonts w:ascii="Times New Roman"/>
          <w:b/>
          <w:i w:val="false"/>
          <w:color w:val="000000"/>
          <w:sz w:val="24"/>
          <w:lang w:val="pl-PL"/>
        </w:rPr>
        <w:t xml:space="preserve"> [Bloki budynków i obiekty trwale związane z budynkiem]</w:t>
      </w:r>
      <w:r>
        <w:rPr>
          <w:rFonts w:ascii="Times New Roman"/>
          <w:b w:val="false"/>
          <w:i w:val="false"/>
          <w:color w:val="000000"/>
          <w:sz w:val="24"/>
          <w:lang w:val="pl-PL"/>
        </w:rPr>
        <w:t>W bazie danych ewidencyjnych oprócz konturu budynku ujawnia się bloki budynków oraz obiekty budowlane trwale związane z budynkiem, takie jak: taras, weranda, wiatrołap, schody, podpora, rampa, wjazd do podziemia, podjazd dla osób niepełnosprawnych.</w:t>
      </w:r>
    </w:p>
    <w:p>
      <w:pPr>
        <w:spacing w:before="26" w:after="0"/>
        <w:ind w:left="0"/>
        <w:jc w:val="left"/>
        <w:textAlignment w:val="auto"/>
      </w:pPr>
      <w:r>
        <w:rPr>
          <w:rFonts w:ascii="Times New Roman"/>
          <w:b/>
          <w:i w:val="false"/>
          <w:color w:val="000000"/>
          <w:sz w:val="24"/>
          <w:lang w:val="pl-PL"/>
        </w:rPr>
        <w:t>§  20. </w:t>
      </w:r>
      <w:r>
        <w:rPr>
          <w:rFonts w:ascii="Times New Roman"/>
          <w:b/>
          <w:i w:val="false"/>
          <w:color w:val="000000"/>
          <w:sz w:val="24"/>
          <w:lang w:val="pl-PL"/>
        </w:rPr>
        <w:t xml:space="preserve"> [Dane ewidencyjne dotyczące lokalu]</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Danymi ewidencyjnymi dotyczącymi lokalu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identyfikator lokalu;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numer porządkowy lokalu w budynku;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rodzaj lokalu, z rozróżnieniem na lokale mieszkalne i niemieszkalne;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numer kondygnacji, na której znajduje się główne wejście do lokalu;</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pole powierzchni użytkowej lokalu;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pole powierzchni użytkowej pomieszczeń przynależnych do lokalu wynikające z sumy pól pomieszczeń przynależnych;</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wykaz pomieszczeń przynależnych do lokalu z określeniem ich parametrów:</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rodzaj pomieszczenia,</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identyfikator budynku, jeżeli pomieszczenie przynależne znajduje się w innym budynku niż lokal,</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powierzchnia użytkowa pomieszczenia przynależnego;</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oznaczenie dokumentu potwierdzającego własność, o ile lokal stanowi odrębny przedmiot własności;</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numer księgi wieczystej, o ile lokal stanowi odrębny przedmiot własności;</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adres lokalu, jeżeli został ustalony numer porządkowy budynku, w którym znajduje się lokal;</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oznaczenie jednostki rejestrowej lokalu, o ile lokal stanowi odrębny przedmiot własności.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Pole powierzchni użytkowej, o którym mowa w ust. 1 pkt 5 i 6, wyraża się w metrach kwadratowych z precyzją zapisu do 0,01 m</w:t>
      </w:r>
      <w:r>
        <w:rPr>
          <w:rFonts w:ascii="Times New Roman"/>
          <w:b w:val="false"/>
          <w:i w:val="false"/>
          <w:color w:val="000000"/>
          <w:sz w:val="24"/>
          <w:vertAlign w:val="superscript"/>
          <w:lang w:val="pl-PL"/>
        </w:rPr>
        <w:t>2</w:t>
      </w:r>
      <w:r>
        <w:rPr>
          <w:rFonts w:ascii="Times New Roman"/>
          <w:b w:val="false"/>
          <w:i w:val="false"/>
          <w:color w:val="000000"/>
          <w:sz w:val="24"/>
          <w:lang w:val="pl-PL"/>
        </w:rPr>
        <w:t>.</w:t>
      </w:r>
    </w:p>
    <w:p>
      <w:pPr>
        <w:spacing w:before="26" w:after="0"/>
        <w:ind w:left="0"/>
        <w:jc w:val="left"/>
        <w:textAlignment w:val="auto"/>
      </w:pPr>
      <w:r>
        <w:rPr>
          <w:rFonts w:ascii="Times New Roman"/>
          <w:b/>
          <w:i w:val="false"/>
          <w:color w:val="000000"/>
          <w:sz w:val="24"/>
          <w:lang w:val="pl-PL"/>
        </w:rPr>
        <w:t>§  21. </w:t>
      </w:r>
      <w:r>
        <w:rPr>
          <w:rFonts w:ascii="Times New Roman"/>
          <w:b/>
          <w:i w:val="false"/>
          <w:color w:val="000000"/>
          <w:sz w:val="24"/>
          <w:lang w:val="pl-PL"/>
        </w:rPr>
        <w:t xml:space="preserve"> [Dane ewidencyjne dotyczące podmiotów ewidencyjnych i innych osób]</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Danymi ewidencyjnymi dotyczącymi podmiotów, o których mowa w § 11 pkt 7 i § 12 pkt 1,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dla osób fizycznych:</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nazwisko i imię/imiona,</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imiona rodziców,</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płeć,</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adres zameldowania na pobyt stały oraz adres pobytu stałego inny niż adres zameldowania na pobyt stały, jeżeli jest znany,</w:t>
      </w:r>
    </w:p>
    <w:p>
      <w:pPr>
        <w:spacing w:after="0"/>
        <w:ind w:left="746"/>
        <w:jc w:val="left"/>
        <w:textAlignment w:val="auto"/>
      </w:pPr>
      <w:r>
        <w:rPr>
          <w:rFonts w:ascii="Times New Roman"/>
          <w:b w:val="false"/>
          <w:i w:val="false"/>
          <w:color w:val="000000"/>
          <w:sz w:val="24"/>
          <w:lang w:val="pl-PL"/>
        </w:rPr>
        <w:t xml:space="preserve">e) </w:t>
      </w:r>
      <w:r>
        <w:rPr>
          <w:rFonts w:ascii="Times New Roman"/>
          <w:b w:val="false"/>
          <w:i w:val="false"/>
          <w:color w:val="000000"/>
          <w:sz w:val="24"/>
          <w:lang w:val="pl-PL"/>
        </w:rPr>
        <w:t>numer PESEL, jeżeli jest znany,</w:t>
      </w:r>
    </w:p>
    <w:p>
      <w:pPr>
        <w:spacing w:after="0"/>
        <w:ind w:left="746"/>
        <w:jc w:val="left"/>
        <w:textAlignment w:val="auto"/>
      </w:pPr>
      <w:r>
        <w:rPr>
          <w:rFonts w:ascii="Times New Roman"/>
          <w:b w:val="false"/>
          <w:i w:val="false"/>
          <w:color w:val="000000"/>
          <w:sz w:val="24"/>
          <w:lang w:val="pl-PL"/>
        </w:rPr>
        <w:t xml:space="preserve">f) </w:t>
      </w:r>
      <w:r>
        <w:rPr>
          <w:rFonts w:ascii="Times New Roman"/>
          <w:b w:val="false"/>
          <w:i w:val="false"/>
          <w:color w:val="000000"/>
          <w:sz w:val="24"/>
          <w:lang w:val="pl-PL"/>
        </w:rPr>
        <w:t>status osoby (żyjąca lub zmarła);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dla Skarbu Państwa:</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nazwa "Skarb Państwa",</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numer identyfikacyjny;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dla jednostek samorządu terytorialnego i ich związków:</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nazwa jednostki lub związku,</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adres siedziby ich organów,</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numer identyfikacyjny;</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dla organów administracji publicznej oraz jednostek organizacyjnych:</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nazwa organu lub jednostki organizacyjnej,</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adres siedziby organu lub jednostki organizacyjnej,</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numer identyfikacyjny;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dla osób prawnych niewymienionych w pkt 2 i 3:</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nazwa osoby prawnej,</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adres siedziby,</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numer identyfikacyjny;</w:t>
      </w:r>
    </w:p>
    <w:p>
      <w:pPr>
        <w:spacing w:before="26" w:after="0"/>
        <w:ind w:left="0"/>
        <w:jc w:val="left"/>
        <w:textAlignment w:val="auto"/>
      </w:pPr>
      <w:r>
        <w:rPr>
          <w:rFonts w:ascii="Times New Roman"/>
          <w:b w:val="false"/>
          <w:i w:val="false"/>
          <w:color w:val="000000"/>
          <w:sz w:val="24"/>
          <w:lang w:val="pl-PL"/>
        </w:rPr>
        <w:t>1a. </w:t>
      </w:r>
      <w:r>
        <w:rPr>
          <w:rFonts w:ascii="Times New Roman"/>
          <w:b w:val="false"/>
          <w:i w:val="false"/>
          <w:color w:val="000000"/>
          <w:sz w:val="24"/>
          <w:lang w:val="pl-PL"/>
        </w:rPr>
        <w:t>Adres pobytu stałego, o którym mowa w ust. 1 pkt 1 lit. d, ujawnia się w ewidencji na wniosek podmiotów wymienionych w § 11 pkt 7 i § 12 pkt 1, których dotyczy ten adres.</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 każdego podmiotu ewidencyjnego jest przypisany identyfikator statusu podmiotu.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Numerem identyfikacyjnym dla podmiotów, o których mowa w ust. 1 pkt 3-5, jest numer REGON, a dla Skarbu Państwa numerem identyfikacyjnym jest ciąg dziewięciu znaków "0".</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Informacje o podmiotach, o których mowa w § 11 pkt 7 i § 12 pkt 1, zawarte w ewidencji, są aktualizowane z urzędu w drodze czynności materialno-technicznej na podstawie rejestrów PESEL lub REGON.</w:t>
      </w:r>
    </w:p>
    <w:p>
      <w:pPr>
        <w:spacing w:before="26" w:after="0"/>
        <w:ind w:left="0"/>
        <w:jc w:val="left"/>
        <w:textAlignment w:val="auto"/>
      </w:pPr>
      <w:r>
        <w:rPr>
          <w:rFonts w:ascii="Times New Roman"/>
          <w:b/>
          <w:i w:val="false"/>
          <w:color w:val="000000"/>
          <w:sz w:val="24"/>
          <w:lang w:val="pl-PL"/>
        </w:rPr>
        <w:t>§  22. </w:t>
      </w:r>
      <w:r>
        <w:rPr>
          <w:rFonts w:ascii="Times New Roman"/>
          <w:b/>
          <w:i w:val="false"/>
          <w:color w:val="000000"/>
          <w:sz w:val="24"/>
          <w:lang w:val="pl-PL"/>
        </w:rPr>
        <w:t xml:space="preserve"> [Dane ewidencyjne dotyczące użytków gruntowych i klas bonitacyjnych]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Danymi ewidencyjnymi dotyczącymi użytków gruntowych i klas bonitacyjnych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numeryczne opisy konturów tych użytków i klas bonitacyjnych;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oznaczenia użytków gruntowych i klas bonitacyjnych oraz numery tych konturów.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Przebieg konturów klasyfikacyjnych wykazuje się w ewidencji w granicach konturów gruntów rolnych lub leśnych na podstawie mapy klasyfikacji, o której mowa w przepisach wydanych na podstawie art. </w:t>
      </w:r>
      <w:r>
        <w:rPr>
          <w:rFonts w:ascii="Times New Roman"/>
          <w:b w:val="false"/>
          <w:i w:val="false"/>
          <w:color w:val="1b1b1b"/>
          <w:sz w:val="24"/>
          <w:lang w:val="pl-PL"/>
        </w:rPr>
        <w:t>26 ust. 1</w:t>
      </w:r>
      <w:r>
        <w:rPr>
          <w:rFonts w:ascii="Times New Roman"/>
          <w:b w:val="false"/>
          <w:i w:val="false"/>
          <w:color w:val="000000"/>
          <w:sz w:val="24"/>
          <w:lang w:val="pl-PL"/>
        </w:rPr>
        <w:t xml:space="preserve"> ustawy.</w:t>
      </w:r>
    </w:p>
    <w:p>
      <w:pPr>
        <w:spacing w:before="26" w:after="0"/>
        <w:ind w:left="0"/>
        <w:jc w:val="left"/>
        <w:textAlignment w:val="auto"/>
      </w:pPr>
      <w:r>
        <w:rPr>
          <w:rFonts w:ascii="Times New Roman"/>
          <w:b/>
          <w:i w:val="false"/>
          <w:color w:val="000000"/>
          <w:sz w:val="24"/>
          <w:lang w:val="pl-PL"/>
        </w:rPr>
        <w:t>§  23. </w:t>
      </w:r>
      <w:r>
        <w:rPr>
          <w:rFonts w:ascii="Times New Roman"/>
          <w:b/>
          <w:i w:val="false"/>
          <w:color w:val="000000"/>
          <w:sz w:val="24"/>
          <w:lang w:val="pl-PL"/>
        </w:rPr>
        <w:t xml:space="preserve"> [Identyfikatory obiektów bazy danych ewidencyjnych; identyfikatory infrastruktury informacji przestrzennej]</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Działki ewidencyjne, budynki i lokale oraz osoby i jednostki organizacyjne, a także inne obiekty bazy danych ewidencyjnych oznacza się w ewidencji odpowiednimi identyfikatorami.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Identyfikatory obiektów bazy danych ewidencyjnych oraz statusów podmiotów, o których mowa w § 21 ust. 2, określa załącznik nr 5 do rozporządzenia.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Każdemu obiektowi bazy danych ewidencyjnych, oprócz identyfikatora, o którym mowa w ust. 2, nadaje się identyfikator infrastruktury informacji przestrzennej, zwany dalej "IdIIP", na który składają się:</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przestrzeń nazw, w której skład wchodzi identyfikator zbioru danych przestrzennych, do którego należy dany obiekt przestrzenny, według ewidencji zbiorów oraz usług danych przestrzennych objętych infrastrukturą informacji przestrzennej, o której mowa w przepisach wydanych na podstawie </w:t>
      </w:r>
      <w:r>
        <w:rPr>
          <w:rFonts w:ascii="Times New Roman"/>
          <w:b w:val="false"/>
          <w:i w:val="false"/>
          <w:color w:val="1b1b1b"/>
          <w:sz w:val="24"/>
          <w:lang w:val="pl-PL"/>
        </w:rPr>
        <w:t>art. 13 ust. 5</w:t>
      </w:r>
      <w:r>
        <w:rPr>
          <w:rFonts w:ascii="Times New Roman"/>
          <w:b w:val="false"/>
          <w:i w:val="false"/>
          <w:color w:val="000000"/>
          <w:sz w:val="24"/>
          <w:lang w:val="pl-PL"/>
        </w:rPr>
        <w:t xml:space="preserve"> ustawy z dnia 4 marca 2010 r. o infrastrukturze informacji przestrzennej (Dz. U. z 2021 r. poz. 214), uzupełniona po kropce skrótem "EGiB";</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identyfikator lokalny wyróżniający w sposób jednoznaczny dany obiekt bazy danych spośród innych obiektów zapisanych w tej bazie;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identyfikator wersji obiektu.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Elementy IdIIP, o których mowa w ust. 3 pkt 1 i 2, nie mogą być zmieniane.</w:t>
      </w:r>
    </w:p>
    <w:p>
      <w:pPr>
        <w:spacing w:before="26" w:after="240"/>
        <w:ind w:left="0"/>
        <w:jc w:val="left"/>
        <w:textAlignment w:val="auto"/>
      </w:pPr>
      <w:r>
        <w:rPr>
          <w:rFonts w:ascii="Times New Roman"/>
          <w:b/>
          <w:i w:val="false"/>
          <w:color w:val="000000"/>
          <w:sz w:val="24"/>
          <w:lang w:val="pl-PL"/>
        </w:rPr>
        <w:t>§  24. </w:t>
      </w:r>
      <w:r>
        <w:rPr>
          <w:rFonts w:ascii="Times New Roman"/>
          <w:b/>
          <w:i w:val="false"/>
          <w:color w:val="000000"/>
          <w:sz w:val="24"/>
          <w:lang w:val="pl-PL"/>
        </w:rPr>
        <w:t xml:space="preserve"> [Sposób określenia położenia punktów granicznych i punktów szczegółów terenowych]</w:t>
      </w:r>
      <w:r>
        <w:rPr>
          <w:rFonts w:ascii="Times New Roman"/>
          <w:b w:val="false"/>
          <w:i w:val="false"/>
          <w:color w:val="000000"/>
          <w:sz w:val="24"/>
          <w:lang w:val="pl-PL"/>
        </w:rPr>
        <w:t xml:space="preserve">Położenie punktów granicznych użytych do numerycznego opisu granic działek ewidencyjnych, a także położenie punktów szczegółów terenowych użytych, w szczególności do numerycznego opisu budynków, konturów użytków gruntowych oraz konturów klasyfikacyjnych, określa się w układzie współrzędnych prostokątnych płaskich PL-2000, o którym mowa w przepisach wydanych na podstawie </w:t>
      </w:r>
      <w:r>
        <w:rPr>
          <w:rFonts w:ascii="Times New Roman"/>
          <w:b w:val="false"/>
          <w:i w:val="false"/>
          <w:color w:val="1b1b1b"/>
          <w:sz w:val="24"/>
          <w:lang w:val="pl-PL"/>
        </w:rPr>
        <w:t>art. 3 ust. 5</w:t>
      </w:r>
      <w:r>
        <w:rPr>
          <w:rFonts w:ascii="Times New Roman"/>
          <w:b w:val="false"/>
          <w:i w:val="false"/>
          <w:color w:val="000000"/>
          <w:sz w:val="24"/>
          <w:lang w:val="pl-PL"/>
        </w:rPr>
        <w:t xml:space="preserve"> ustawy.</w:t>
      </w:r>
    </w:p>
    <w:p>
      <w:pPr>
        <w:spacing w:before="26" w:after="240"/>
        <w:ind w:left="0"/>
        <w:jc w:val="left"/>
        <w:textAlignment w:val="auto"/>
      </w:pPr>
      <w:r>
        <w:rPr>
          <w:rFonts w:ascii="Times New Roman"/>
          <w:b/>
          <w:i w:val="false"/>
          <w:color w:val="000000"/>
          <w:sz w:val="24"/>
          <w:lang w:val="pl-PL"/>
        </w:rPr>
        <w:t>§  25. </w:t>
      </w:r>
      <w:r>
        <w:rPr>
          <w:rFonts w:ascii="Times New Roman"/>
          <w:b/>
          <w:i w:val="false"/>
          <w:color w:val="000000"/>
          <w:sz w:val="24"/>
          <w:lang w:val="pl-PL"/>
        </w:rPr>
        <w:t xml:space="preserve"> [Specyfikacja pojęciowego modelu danych ewidencji]</w:t>
      </w:r>
      <w:r>
        <w:rPr>
          <w:rFonts w:ascii="Times New Roman"/>
          <w:b w:val="false"/>
          <w:i w:val="false"/>
          <w:color w:val="000000"/>
          <w:sz w:val="24"/>
          <w:lang w:val="pl-PL"/>
        </w:rPr>
        <w:t>Specyfikację pojęciowego modelu danych ewidencji określa załącznik nr 6 do rozporządzenia.</w:t>
      </w:r>
    </w:p>
    <w:p>
      <w:pPr>
        <w:spacing w:before="26" w:after="0"/>
        <w:ind w:left="0"/>
        <w:jc w:val="left"/>
        <w:textAlignment w:val="auto"/>
      </w:pPr>
      <w:r>
        <w:rPr>
          <w:rFonts w:ascii="Times New Roman"/>
          <w:b/>
          <w:i w:val="false"/>
          <w:color w:val="000000"/>
          <w:sz w:val="24"/>
          <w:lang w:val="pl-PL"/>
        </w:rPr>
        <w:t>§  26. </w:t>
      </w:r>
      <w:r>
        <w:rPr>
          <w:rFonts w:ascii="Times New Roman"/>
          <w:b/>
          <w:i w:val="false"/>
          <w:color w:val="000000"/>
          <w:sz w:val="24"/>
          <w:lang w:val="pl-PL"/>
        </w:rPr>
        <w:t xml:space="preserve"> [Mapa ewidencyjna]</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Dane z bazy danych ewidencji gruntów i budynków wizualizuje się w postaci mapy ewidencyjnej, której treść stanowią: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granice i numery działek ewidencyjnych;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punkty graniczne;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kontury budynków z oznaczeniem rodzaju budynku lub ich bloków, jeżeli istnieją, a także numery najwyższych kondygnacji budynków lub ich bloków, albo najniższych kondygnacji budynków podziemnych lub ich bloków oznaczonych liczbą ujemną;</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kontury użytków gruntowych i ich oznaczenia;</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kontury klasyfikacyjne i ich oznaczenia;</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występujące w obszarze mapy granice jednostek zasadniczego trójstopniowego podziału terytorialnego państwa i obrębów ewidencyjnych, wraz z ich oznaczeniami;</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inne elementy, które nie kolidują z danymi ewidencyjnymi, a pozwalają na uczytelnienie treści mapy;</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nazwy ulic i placów oraz związane z nimi numery porządkowe, a także nazwy cieków, zbiorników wodnych i innych obiektów fizjograficznych;</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znaki graficzne siatki kwadratów, z których przynajmniej dwa widoczne w obszarze mapy powinny być opisane współrzędnymi.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Mapę ewidencyjną generuje się w skali zapewniającej jej czytelność.</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Do generowania mapy ewidencyjnej standardy techniczne tworzenia mapy zasadniczej, określone w przepisach wydanych na podstawie </w:t>
      </w:r>
      <w:r>
        <w:rPr>
          <w:rFonts w:ascii="Times New Roman"/>
          <w:b w:val="false"/>
          <w:i w:val="false"/>
          <w:color w:val="1b1b1b"/>
          <w:sz w:val="24"/>
          <w:lang w:val="pl-PL"/>
        </w:rPr>
        <w:t>art. 19 ust. 1 pkt 7</w:t>
      </w:r>
      <w:r>
        <w:rPr>
          <w:rFonts w:ascii="Times New Roman"/>
          <w:b w:val="false"/>
          <w:i w:val="false"/>
          <w:color w:val="000000"/>
          <w:sz w:val="24"/>
          <w:lang w:val="pl-PL"/>
        </w:rPr>
        <w:t xml:space="preserve"> ustawy, stosuje się odpowiednio.</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Integralną częścią mapy ewidencyjnej jest jej opis, który stanowią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tytuł mapy: "Mapa ewidencyjna";</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informacja o skali mapy;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informacja o lokalizacji obszaru przedstawionego na mapie, w tym identyfikator i nazwa jednostki ewidencyjnej oraz numer i nazwa obrębu ewidencyjnego.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Zakładanie i prowadzenie ewidencji</w:t>
      </w:r>
    </w:p>
    <w:p>
      <w:pPr>
        <w:spacing w:before="26" w:after="0"/>
        <w:ind w:left="0"/>
        <w:jc w:val="left"/>
        <w:textAlignment w:val="auto"/>
      </w:pPr>
      <w:r>
        <w:rPr>
          <w:rFonts w:ascii="Times New Roman"/>
          <w:b/>
          <w:i w:val="false"/>
          <w:color w:val="000000"/>
          <w:sz w:val="24"/>
          <w:lang w:val="pl-PL"/>
        </w:rPr>
        <w:t>§  27. </w:t>
      </w:r>
      <w:r>
        <w:rPr>
          <w:rFonts w:ascii="Times New Roman"/>
          <w:b/>
          <w:i w:val="false"/>
          <w:color w:val="000000"/>
          <w:sz w:val="24"/>
          <w:lang w:val="pl-PL"/>
        </w:rPr>
        <w:t xml:space="preserve"> [Założenie ewidencji; projekt operatu opisowo-kartograficznego]</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Założenie ewidencji polega na utworzeniu zbiorów, o których mowa w </w:t>
      </w:r>
      <w:r>
        <w:rPr>
          <w:rFonts w:ascii="Times New Roman"/>
          <w:b w:val="false"/>
          <w:i w:val="false"/>
          <w:color w:val="1b1b1b"/>
          <w:sz w:val="24"/>
          <w:lang w:val="pl-PL"/>
        </w:rPr>
        <w:t>art. 4 ust. 1a pkt 2</w:t>
      </w:r>
      <w:r>
        <w:rPr>
          <w:rFonts w:ascii="Times New Roman"/>
          <w:b w:val="false"/>
          <w:i w:val="false"/>
          <w:color w:val="000000"/>
          <w:sz w:val="24"/>
          <w:lang w:val="pl-PL"/>
        </w:rPr>
        <w:t xml:space="preserve"> ustawy, w tym na przeprowadzeniu prac geodezyjnych oraz pozyskaniu niezbędnych dokumentów.</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Do zakładania ewidencji stosuje się odpowiednio przepisy </w:t>
      </w:r>
      <w:r>
        <w:rPr>
          <w:rFonts w:ascii="Times New Roman"/>
          <w:b w:val="false"/>
          <w:i w:val="false"/>
          <w:color w:val="1b1b1b"/>
          <w:sz w:val="24"/>
          <w:lang w:val="pl-PL"/>
        </w:rPr>
        <w:t>art. 24a</w:t>
      </w:r>
      <w:r>
        <w:rPr>
          <w:rFonts w:ascii="Times New Roman"/>
          <w:b w:val="false"/>
          <w:i w:val="false"/>
          <w:color w:val="000000"/>
          <w:sz w:val="24"/>
          <w:lang w:val="pl-PL"/>
        </w:rPr>
        <w:t xml:space="preserve"> ustawy dotyczące modernizacji ewidencji.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Wyniki prac geodezyjnych wykonywanych na potrzeby założenia lub modernizacji ewidencji kompletuje się w postaci projektu operatu opisowo-kartograficznego.</w:t>
      </w:r>
    </w:p>
    <w:p>
      <w:pPr>
        <w:spacing w:before="26" w:after="0"/>
        <w:ind w:left="0"/>
        <w:jc w:val="left"/>
        <w:textAlignment w:val="auto"/>
      </w:pPr>
      <w:r>
        <w:rPr>
          <w:rFonts w:ascii="Times New Roman"/>
          <w:b/>
          <w:i w:val="false"/>
          <w:color w:val="000000"/>
          <w:sz w:val="24"/>
          <w:lang w:val="pl-PL"/>
        </w:rPr>
        <w:t>§  28. </w:t>
      </w:r>
      <w:r>
        <w:rPr>
          <w:rFonts w:ascii="Times New Roman"/>
          <w:b/>
          <w:i w:val="false"/>
          <w:color w:val="000000"/>
          <w:sz w:val="24"/>
          <w:lang w:val="pl-PL"/>
        </w:rPr>
        <w:t xml:space="preserve"> [Projekt założenia albo modernizacji ewidencji; uzgodnienie projektu]</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Założenie albo modernizację ewidencji poprzedza opracowanie przez starostę projektu założenia albo projektu modernizacji ewidencji i ich uzgodnienie z właściwym miejscowo wojewódzkim inspektorem nadzoru geodezyjnego i kartograficznego, który zasięga opinii Głównego Geodety Kraju.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Uzgodnienie, o którym mowa w ust. 1, następuje w terminie 30 dni od dnia otrzymania wniosku przez wojewódzkiego inspektora nadzoru geodezyjnego i kartograficznego. W przypadku braku uzgodnienia w tym terminie projekt założenia albo projekt modernizacji ewidencji przedstawiony przez starostę uznaje się za uzgodniony.</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Projekt założenia albo modernizacji ewidencji sporządza się w postaci dokumentu elektronicznego, który określa w szczególności: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charakterystykę obiektu;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szczegółowy zakres prac geodezyjnych przewidzianych do wykonania;</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źródła danych ewidencyjnych i metody ich pozyskania;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przewidywany sposób wyłonienia wykonawcy prac geodezyjnych;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przewidywane terminy wykonania poszczególnych etapów prac;</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przewidywany koszt przedsięwzięcia oraz sposób jego finansowania.</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Uzgodniony projekt założenia albo modernizacji ewidencji stanowi dla starosty podstawę przystąpienia do czynności związanych z wyłonieniem wykonawcy prac geodezyjnych, o którym mowa w </w:t>
      </w:r>
      <w:r>
        <w:rPr>
          <w:rFonts w:ascii="Times New Roman"/>
          <w:b w:val="false"/>
          <w:i w:val="false"/>
          <w:color w:val="1b1b1b"/>
          <w:sz w:val="24"/>
          <w:lang w:val="pl-PL"/>
        </w:rPr>
        <w:t>art. 24a ust. 7</w:t>
      </w:r>
      <w:r>
        <w:rPr>
          <w:rFonts w:ascii="Times New Roman"/>
          <w:b w:val="false"/>
          <w:i w:val="false"/>
          <w:color w:val="000000"/>
          <w:sz w:val="24"/>
          <w:lang w:val="pl-PL"/>
        </w:rPr>
        <w:t xml:space="preserve"> ustawy.</w:t>
      </w:r>
    </w:p>
    <w:p>
      <w:pPr>
        <w:spacing w:before="26" w:after="0"/>
        <w:ind w:left="0"/>
        <w:jc w:val="left"/>
        <w:textAlignment w:val="auto"/>
      </w:pPr>
      <w:r>
        <w:rPr>
          <w:rFonts w:ascii="Times New Roman"/>
          <w:b/>
          <w:i w:val="false"/>
          <w:color w:val="000000"/>
          <w:sz w:val="24"/>
          <w:lang w:val="pl-PL"/>
        </w:rPr>
        <w:t xml:space="preserve">§  29.  </w:t>
      </w:r>
      <w:r>
        <w:rPr>
          <w:rFonts w:ascii="Times New Roman"/>
          <w:b/>
          <w:i w:val="false"/>
          <w:color w:val="000000"/>
          <w:sz w:val="24"/>
          <w:lang w:val="pl-PL"/>
        </w:rPr>
        <w:t xml:space="preserve"> </w:t>
      </w:r>
      <w:r>
        <w:rPr>
          <w:rFonts w:ascii="Times New Roman"/>
          <w:b/>
          <w:i w:val="false"/>
          <w:color w:val="000000"/>
          <w:sz w:val="24"/>
          <w:lang w:val="pl-PL"/>
        </w:rPr>
        <w:t xml:space="preserve"> [Źródła danych wykorzystywanych przy zakładaniu, aktualizacji albo modernizacji ewidencji]</w:t>
      </w:r>
      <w:r>
        <w:rPr>
          <w:rFonts w:ascii="Times New Roman"/>
          <w:b w:val="false"/>
          <w:i w:val="false"/>
          <w:color w:val="000000"/>
          <w:sz w:val="24"/>
          <w:lang w:val="pl-PL"/>
        </w:rPr>
        <w:t> Źródłami danych wykorzystywanych przy zakładaniu, aktualizacji albo modernizacji ewidencji są: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materiały zgromadzone w państwowym zasobie geodezyjnym i kartograficznym;</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wyniki pomiarów geodezyjnych lub oględzin;</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dane zawarte w innych ewidencjach i rejestrach;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dane zawarte w dokumentach udostępnionych przez zainteresowane osoby, organy i jednostki organizacyjne.</w:t>
      </w:r>
    </w:p>
    <w:p>
      <w:pPr>
        <w:spacing w:before="26" w:after="0"/>
        <w:ind w:left="0"/>
        <w:jc w:val="left"/>
        <w:textAlignment w:val="auto"/>
      </w:pPr>
      <w:r>
        <w:rPr>
          <w:rFonts w:ascii="Times New Roman"/>
          <w:b/>
          <w:i w:val="false"/>
          <w:color w:val="000000"/>
          <w:sz w:val="24"/>
          <w:lang w:val="pl-PL"/>
        </w:rPr>
        <w:t xml:space="preserve">§  29a.  </w:t>
      </w:r>
      <w:r>
        <w:rPr>
          <w:rFonts w:ascii="Times New Roman"/>
          <w:b/>
          <w:i w:val="false"/>
          <w:color w:val="000000"/>
          <w:sz w:val="24"/>
          <w:lang w:val="pl-PL"/>
        </w:rPr>
        <w:t xml:space="preserve"> </w:t>
      </w:r>
      <w:r>
        <w:rPr>
          <w:rFonts w:ascii="Times New Roman"/>
          <w:b/>
          <w:i w:val="false"/>
          <w:color w:val="000000"/>
          <w:sz w:val="24"/>
          <w:lang w:val="pl-PL"/>
        </w:rPr>
        <w:t xml:space="preserve"> [Aktualizacja ewidencji]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Aktualizacja ewidencji następuje przez wprowadzanie udokumentowanych zmian do bazy danych ewidencyjnych w celu:</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zastąpienia danych niezgodnych ze stanem faktycznym, stanem prawnym lub z obowiązującymi standardami technicznymi odpowiednimi danymi zgodnymi ze stanem faktycznym lub ze stanem prawnym oraz z obowiązującymi standardami technicznymi;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ujawnienia nowych danych ewidencyjnych;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wyeliminowania danych błędnych.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Przez dane błędne rozumie się takie dane zawarte w ewidencji, które nie mają potwierdzenia w zbiorze dokumentów, o którym mowa w art. 24 ust. 1 pkt 2 ustawy.</w:t>
      </w:r>
    </w:p>
    <w:p>
      <w:pPr>
        <w:spacing w:before="26" w:after="0"/>
        <w:ind w:left="0"/>
        <w:jc w:val="left"/>
        <w:textAlignment w:val="auto"/>
      </w:pPr>
      <w:r>
        <w:rPr>
          <w:rFonts w:ascii="Times New Roman"/>
          <w:b/>
          <w:i w:val="false"/>
          <w:color w:val="000000"/>
          <w:sz w:val="24"/>
          <w:lang w:val="pl-PL"/>
        </w:rPr>
        <w:t>§  30. </w:t>
      </w:r>
      <w:r>
        <w:rPr>
          <w:rFonts w:ascii="Times New Roman"/>
          <w:b/>
          <w:i w:val="false"/>
          <w:color w:val="000000"/>
          <w:sz w:val="24"/>
          <w:lang w:val="pl-PL"/>
        </w:rPr>
        <w:t xml:space="preserve"> [Podstawy wykazania w ewidencji granic działek ewidencyjnych]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Przebieg granic działek ewidencyjnych w procesie zakładania, modernizacji albo bieżącej aktualizacji ewidencji wykazuje się na podstawie: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dokumentacji geodezyjnej przyjętej do państwowego zasobu geodezyjnego i kartograficznego sporządzonej na potrzeby:</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postępowania rozgraniczeniowego,</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postępowania w sprawie scalenia lub wymiany gruntów,</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postępowania w sprawie scalenia i podziału nieruchomości,</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postępowania sądowego lub administracyjnego, a następnie wykorzystanej do wydania prawomocnego orzeczenia sądowego lub ostatecznej decyzji administracyjnej,</w:t>
      </w:r>
    </w:p>
    <w:p>
      <w:pPr>
        <w:spacing w:after="0"/>
        <w:ind w:left="746"/>
        <w:jc w:val="left"/>
        <w:textAlignment w:val="auto"/>
      </w:pPr>
      <w:r>
        <w:rPr>
          <w:rFonts w:ascii="Times New Roman"/>
          <w:b w:val="false"/>
          <w:i w:val="false"/>
          <w:color w:val="000000"/>
          <w:sz w:val="24"/>
          <w:lang w:val="pl-PL"/>
        </w:rPr>
        <w:t xml:space="preserve">e) </w:t>
      </w:r>
      <w:r>
        <w:rPr>
          <w:rFonts w:ascii="Times New Roman"/>
          <w:b w:val="false"/>
          <w:i w:val="false"/>
          <w:color w:val="000000"/>
          <w:sz w:val="24"/>
          <w:lang w:val="pl-PL"/>
        </w:rPr>
        <w:t>podziału nieruchomości,</w:t>
      </w:r>
    </w:p>
    <w:p>
      <w:pPr>
        <w:spacing w:after="0"/>
        <w:ind w:left="746"/>
        <w:jc w:val="left"/>
        <w:textAlignment w:val="auto"/>
      </w:pPr>
      <w:r>
        <w:rPr>
          <w:rFonts w:ascii="Times New Roman"/>
          <w:b w:val="false"/>
          <w:i w:val="false"/>
          <w:color w:val="000000"/>
          <w:sz w:val="24"/>
          <w:lang w:val="pl-PL"/>
        </w:rPr>
        <w:t xml:space="preserve">f) </w:t>
      </w:r>
      <w:r>
        <w:rPr>
          <w:rFonts w:ascii="Times New Roman"/>
          <w:b w:val="false"/>
          <w:i w:val="false"/>
          <w:color w:val="000000"/>
          <w:sz w:val="24"/>
          <w:lang w:val="pl-PL"/>
        </w:rPr>
        <w:t>wznowienia znaków granicznych, wyznaczenia punktów granicznych lub ustalenia przebiegu granic działek ewidencyjnych;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innych materiałów zasobu dotyczących przebiegu granic;</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dokumentacji geodezyjnej sporządzonej przez Straż Graniczną, jeżeli dokumentacja ta określa przebieg granic państwa z dokładnością odpowiednią dla ewidencji.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Nowe działki ewidencyjne i związane z nimi punkty graniczne, jeżeli dla ich zatwierdzenia prowadzone będą postępowania, o których mowa w ust. 1 pkt 1 lit. c-e, są przyjmowane do zasobu jako obiekty projektowane i do chwili zakończenia postępowania nie wywołują zmian w ewidencji.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Podstawę zastąpienia dotychczasowych działek ewidencyjnych nowymi działkami ewidencyjnymi, powstałymi w wyniku scalenia lub wymiany gruntów, stanowi ostateczna decyzja o zatwierdzeniu projektu scalenia lub wymiany gruntów.</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Dotychczasowe działki ewidencyjne są zastępowane w swoim obszarze przez działki projektowane, które stają się działkami ewidencyjnymi na mocy ostatecznej decyzji zatwierdzającej podział nieruchomości wydanej w postępowaniu, o którym mowa w ust. 1 pkt 1 lit. e, lub uchwały rady gminy w postępowaniu, o którym mowa w ust. 1 pkt 1 lit. c, lub prawomocnego orzeczenia sądowego albo decyzji wydanej w postępowaniach, o których mowa w ust. 1 pkt 1 lit. d.</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Wraz z działkami, o których mowa w ust. 4, wykazaniu w ewidencji podlegają projektowane punkty graniczne, a punkty graniczne, które przestały mieć związek z działkami ewidencyjnymi, zostają przeniesione do archiwum.</w:t>
      </w:r>
    </w:p>
    <w:p>
      <w:pPr>
        <w:spacing w:before="26" w:after="240"/>
        <w:ind w:left="0"/>
        <w:jc w:val="left"/>
        <w:textAlignment w:val="auto"/>
      </w:pPr>
      <w:r>
        <w:rPr>
          <w:rFonts w:ascii="Times New Roman"/>
          <w:b/>
          <w:i w:val="false"/>
          <w:color w:val="000000"/>
          <w:sz w:val="24"/>
          <w:lang w:val="pl-PL"/>
        </w:rPr>
        <w:t>§  31. </w:t>
      </w:r>
      <w:r>
        <w:rPr>
          <w:rFonts w:ascii="Times New Roman"/>
          <w:b/>
          <w:i w:val="false"/>
          <w:color w:val="000000"/>
          <w:sz w:val="24"/>
          <w:lang w:val="pl-PL"/>
        </w:rPr>
        <w:t xml:space="preserve"> [Pomiary geodezyjne w celu ustalenia przebiegu granic działek ewidencyjnych]</w:t>
      </w:r>
      <w:r>
        <w:rPr>
          <w:rFonts w:ascii="Times New Roman"/>
          <w:b w:val="false"/>
          <w:i w:val="false"/>
          <w:color w:val="000000"/>
          <w:sz w:val="24"/>
          <w:lang w:val="pl-PL"/>
        </w:rPr>
        <w:t xml:space="preserve">Jeżeli brak jest dokumentacji lub materiałów, o których mowa w § 30, albo zawarte w nich dane nie pozwalają na odtworzenie położenia granic z dokładnością właściwą dla szczegółów I grupy określonej w przepisach wydanych na podstawie </w:t>
      </w:r>
      <w:r>
        <w:rPr>
          <w:rFonts w:ascii="Times New Roman"/>
          <w:b w:val="false"/>
          <w:i w:val="false"/>
          <w:color w:val="1b1b1b"/>
          <w:sz w:val="24"/>
          <w:lang w:val="pl-PL"/>
        </w:rPr>
        <w:t>art. 19 ust. 1 pkt 11</w:t>
      </w:r>
      <w:r>
        <w:rPr>
          <w:rFonts w:ascii="Times New Roman"/>
          <w:b w:val="false"/>
          <w:i w:val="false"/>
          <w:color w:val="000000"/>
          <w:sz w:val="24"/>
          <w:lang w:val="pl-PL"/>
        </w:rPr>
        <w:t xml:space="preserve"> ustawy, dane dotyczące położenia granic działek ewidencyjnych pozyskuje się w wyniku pomiarów geodezyjnych poprzedzonych ustaleniem przebiegu tych granic.</w:t>
      </w:r>
    </w:p>
    <w:p>
      <w:pPr>
        <w:spacing w:before="26" w:after="0"/>
        <w:ind w:left="0"/>
        <w:jc w:val="left"/>
        <w:textAlignment w:val="auto"/>
      </w:pPr>
      <w:r>
        <w:rPr>
          <w:rFonts w:ascii="Times New Roman"/>
          <w:b/>
          <w:i w:val="false"/>
          <w:color w:val="000000"/>
          <w:sz w:val="24"/>
          <w:lang w:val="pl-PL"/>
        </w:rPr>
        <w:t>§  32. </w:t>
      </w:r>
      <w:r>
        <w:rPr>
          <w:rFonts w:ascii="Times New Roman"/>
          <w:b/>
          <w:i w:val="false"/>
          <w:color w:val="000000"/>
          <w:sz w:val="24"/>
          <w:lang w:val="pl-PL"/>
        </w:rPr>
        <w:t xml:space="preserve"> [Zawiadomienie o czynnościach podjętych w celu ustalenia przebiegu granic działek ewidencyjnych]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 czynnościach podjętych w celu ustalenia przebiegu granic działek ewidencyjnych wykonawca prac geodezyjnych zawiadamia podmioty, o których mowa w § 11 pkt 7 i § 12 pkt 1.</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Zawiadomienie o czynnościach podjętych w celu ustalenia przebiegu granic działek ewidencyjnych oprócz danych adresowych podmiotu, do którego jest ono kierowane, zawiera następujące informacje: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dzień, godzinę i miejsce rozpoczęcia tych czynności;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oznaczenia działek ewidencyjnych, których czynności będą dotyczyć;</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pouczenie o konieczności posiadania dokumentu umożliwiającego ustalenie tożsamości osoby biorącej udział w tych czynnościach oraz o tym, że nieusprawiedliwione niewzięcie w nich udziału nie będzie stanowić przeszkody do ich przeprowadzenia.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Zawiadomienie o czynnościach podjętych w celu ustalenia przebiegu granic działek ewidencyjnych wykonawca prac geodezyjnych doręcza podmiotom, o których mowa w § 11 pkt 7 i § 12 pkt 1, za zwrotnym poświadczeniem odbioru albo za pokwitowaniem, nie później niż 7 dni przed wyznaczonym terminem, na adres pobytu stałego albo adres siedziby podmiotów. W przypadku braku ujawnienia w ewidencji adresu pobytu stałego zawiadomienie doręcza się na adres zameldowania na pobyt stały.</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Do doręczeń pism zawierających w swej treści zawiadomienie, o którym mowa w ust. 2, w sposób wskazany w ust. 3, przepisy </w:t>
      </w:r>
      <w:r>
        <w:rPr>
          <w:rFonts w:ascii="Times New Roman"/>
          <w:b w:val="false"/>
          <w:i w:val="false"/>
          <w:color w:val="1b1b1b"/>
          <w:sz w:val="24"/>
          <w:lang w:val="pl-PL"/>
        </w:rPr>
        <w:t>art. 39-49</w:t>
      </w:r>
      <w:r>
        <w:rPr>
          <w:rFonts w:ascii="Times New Roman"/>
          <w:b w:val="false"/>
          <w:i w:val="false"/>
          <w:color w:val="000000"/>
          <w:sz w:val="24"/>
          <w:lang w:val="pl-PL"/>
        </w:rPr>
        <w:t xml:space="preserve"> ustawy z dnia 14 czerwca 1960 r. - Kodeks postępowania administracyjnego (Dz. U. z 2023 r. poz. 775 i 803) stosuje się odpowiednio.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Nieusprawiedliwione niestawiennictwo podmiotów, o których mowa w ust. 1, nie wstrzymuje czynności ustalenia przebiegu granic.</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usprawiedliwionego niestawiennictwa podmiotów, o których mowa w ust. 1, wstrzymuje się czynności do czasu ustania przeszkody lub wyznaczenia pełnomocnika - nie dłużej jednak niż na okres jednego miesiąca.</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 przypadku gdy podmioty, o których mowa w § 11 pkt 7 i § 12 pkt 1, nie są znane lub nie są znane ich adresy zameldowania na pobyt stały lub adres siedziby, na wniosek wykonawcy prac geodezyjnych starosta zamieszcza na stronach internetowych Biuletynu Informacji Publicznej oraz na tablicy ogłoszeń starostwa powiatowego przez okres co najmniej 7 dni informacje, o których mowa w ust. 2, z tym że ostatni dzień tego okresu powinien nastąpić nie później niż 8 dni przed wyznaczonym terminem rozpoczęcia czynności podjętych w celu ustalenia przebiegu granic działek ewidencyjnych.</w:t>
      </w:r>
    </w:p>
    <w:p>
      <w:pPr>
        <w:spacing w:before="26" w:after="0"/>
        <w:ind w:left="0"/>
        <w:jc w:val="left"/>
        <w:textAlignment w:val="auto"/>
      </w:pPr>
      <w:r>
        <w:rPr>
          <w:rFonts w:ascii="Times New Roman"/>
          <w:b/>
          <w:i w:val="false"/>
          <w:color w:val="000000"/>
          <w:sz w:val="24"/>
          <w:lang w:val="pl-PL"/>
        </w:rPr>
        <w:t>§  33. </w:t>
      </w:r>
      <w:r>
        <w:rPr>
          <w:rFonts w:ascii="Times New Roman"/>
          <w:b/>
          <w:i w:val="false"/>
          <w:color w:val="000000"/>
          <w:sz w:val="24"/>
          <w:lang w:val="pl-PL"/>
        </w:rPr>
        <w:t xml:space="preserve"> [Protokół ustalenia przebiegu granic działek ewidencyjnych i położenia punktów granicznych]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Ustalenia przebiegu granic działek ewidencyjnych wraz z danymi dotyczącymi punktów granicznych dokonuje geodeta posiadający uprawnienia zawodowe w zakresie, o którym mowa w </w:t>
      </w:r>
      <w:r>
        <w:rPr>
          <w:rFonts w:ascii="Times New Roman"/>
          <w:b w:val="false"/>
          <w:i w:val="false"/>
          <w:color w:val="1b1b1b"/>
          <w:sz w:val="24"/>
          <w:lang w:val="pl-PL"/>
        </w:rPr>
        <w:t>art. 43 pkt 2</w:t>
      </w:r>
      <w:r>
        <w:rPr>
          <w:rFonts w:ascii="Times New Roman"/>
          <w:b w:val="false"/>
          <w:i w:val="false"/>
          <w:color w:val="000000"/>
          <w:sz w:val="24"/>
          <w:lang w:val="pl-PL"/>
        </w:rPr>
        <w:t xml:space="preserve"> lub </w:t>
      </w:r>
      <w:r>
        <w:rPr>
          <w:rFonts w:ascii="Times New Roman"/>
          <w:b w:val="false"/>
          <w:i w:val="false"/>
          <w:color w:val="1b1b1b"/>
          <w:sz w:val="24"/>
          <w:lang w:val="pl-PL"/>
        </w:rPr>
        <w:t>5</w:t>
      </w:r>
      <w:r>
        <w:rPr>
          <w:rFonts w:ascii="Times New Roman"/>
          <w:b w:val="false"/>
          <w:i w:val="false"/>
          <w:color w:val="000000"/>
          <w:sz w:val="24"/>
          <w:lang w:val="pl-PL"/>
        </w:rPr>
        <w:t xml:space="preserve"> ustawy, zwany dalej "geodetą uprawnionym", na podstawie zgodnych wskazań podmiotów, o których mowa w § 11 pkt 7 i § 12 pkt 1, potwierdzonych ich zgodnym oświadczeniem złożonym do protokołu ustalenia przebiegu granic działek ewidencyjnych, jeżeli wskazywany przebieg nie jest sprzeczny z informacjami zawartymi w dostępnych dokumentach dotyczących przebiegu ustalanych granic.</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przypadku gdy właściwe podmioty nie złożą do protokołu ustalenia przebiegu granic działek ewidencyjnych zgodnego oświadczenia, o którym mowa w ust. 1, przebieg granic działek ewidencyjnych wraz z danymi dotyczącymi punktów granicznych ustala geodeta uprawniony według ostatniego spokojnego stanu posiadania, jeżeli ten stan posiadania nie jest sprzeczny z informacjami zawartymi w dostępnych dokumentach określających stan prawny gruntów w granicach tych działek.</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przypadku gdy spokojnego stanu posiadania, o którym mowa w ust. 2, nie można stwierdzić lub jest on sprzeczny z informacjami zawartymi w dostępnych dokumentach określających stan prawny gruntów, przebieg granic działek ewidencyjnych obejmujących te grunty wraz z danymi dotyczącymi punktów granicznych ustala geodeta uprawniony po zbadaniu położenia znaków i śladów granicznych oraz przeprowadzeniu analizy wszelkich dostępnych dokumentów, zawierających informacje mające znaczenie w tym zakresie, w tym oświadczeń zainteresowanych podmiotów.</w:t>
      </w:r>
    </w:p>
    <w:p>
      <w:pPr>
        <w:spacing w:before="26" w:after="0"/>
        <w:ind w:left="0"/>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 xml:space="preserve"> </w:t>
      </w:r>
      <w:r>
        <w:rPr>
          <w:rFonts w:ascii="Times New Roman"/>
          <w:b w:val="false"/>
          <w:i w:val="false"/>
          <w:color w:val="000000"/>
          <w:sz w:val="24"/>
          <w:lang w:val="pl-PL"/>
        </w:rPr>
        <w:t> Punkty graniczne oznacza się na gruncie w sposób umożliwiający ich pomiar. Trwała stabilizacja punktów granicznych ustalonych bezspornie może nastąpić, po ich uprzednim ujawnieniu w ewidencji gruntów i budynków, z inicjatywy i na koszt zainteresowanych podmiotów, za zgodą osób biorących udział w tych czynnościach.</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Wyniki ustaleń przebiegu granic działek ewidencyjnych utrwala się w protokole, którego wzór zawiera załącznik nr 7 do rozporządzenia.</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Integralną częścią protokołu ustalenia przebiegu granic działek ewidencyjnych są szkice graniczne sporządzone przez geodetę uprawnionego, które zawierają: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informacje o lokalizacji działek ewidencyjnych, których granice są ustalane;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usytuowanie punktów granicznych w stosunku do szczegółów terenowych położonych na ustalanych granicach lub w ich bezpośrednim sąsiedztwie, takich jak budynki, ogrodzenia, słupy oraz miedze, przedstawione w sposób graficzny i doprecyzowane opisem lub danymi określającymi odległości tych punktów do szczegółów terenowych;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numery działek ewidencyjnych;</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informacje o spornych odcinkach granic działek ewidencyjnych;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podpisy osób biorących udział w czynnościach podjętych w celu ustalenia przebiegu granic lub adnotację geodety uprawnionego o odmowie złożenia podpisu;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podpis geodety uprawnionego, który sporządził szkic graniczny.</w:t>
      </w:r>
    </w:p>
    <w:p>
      <w:pPr>
        <w:spacing w:before="26" w:after="240"/>
        <w:ind w:left="0"/>
        <w:jc w:val="left"/>
        <w:textAlignment w:val="auto"/>
      </w:pPr>
      <w:r>
        <w:rPr>
          <w:rFonts w:ascii="Times New Roman"/>
          <w:b/>
          <w:i w:val="false"/>
          <w:color w:val="000000"/>
          <w:sz w:val="24"/>
          <w:lang w:val="pl-PL"/>
        </w:rPr>
        <w:t>§  33a. </w:t>
      </w:r>
      <w:r>
        <w:rPr>
          <w:rFonts w:ascii="Times New Roman"/>
          <w:b/>
          <w:i w:val="false"/>
          <w:color w:val="000000"/>
          <w:sz w:val="24"/>
          <w:lang w:val="pl-PL"/>
        </w:rPr>
        <w:t xml:space="preserve"> [Sposób wykazania w ewidencji przebiegu granic działek ewidencyjnych między gruntami tworzącymi dna i brzegi cieków naturalnych, jezior i zbiorników a gruntami do nich przyległymi do czasu ustalenia linii brzegu]</w:t>
      </w:r>
      <w:r>
        <w:rPr>
          <w:rFonts w:ascii="Times New Roman"/>
          <w:b w:val="false"/>
          <w:i w:val="false"/>
          <w:color w:val="000000"/>
          <w:sz w:val="24"/>
          <w:lang w:val="pl-PL"/>
        </w:rPr>
        <w:t xml:space="preserve">Do czasu ustalenia linii brzegu dla cieków naturalnych, jezior oraz innych naturalnych zbiorników wodnych przebieg granic działek ewidencyjnych między gruntami tworzącymi dna i brzegi tych cieków, jezior i zbiorników a gruntami do nich przyległymi wykazuje się w ewidencji za pomocą danych określonych na podstawie wyników geodezyjnych pomiarów sytuacyjnych wykonanych zgodnie z zasadami określonymi w przepisach </w:t>
      </w:r>
      <w:r>
        <w:rPr>
          <w:rFonts w:ascii="Times New Roman"/>
          <w:b w:val="false"/>
          <w:i w:val="false"/>
          <w:color w:val="1b1b1b"/>
          <w:sz w:val="24"/>
          <w:lang w:val="pl-PL"/>
        </w:rPr>
        <w:t>art. 220 ust. 1-4</w:t>
      </w:r>
      <w:r>
        <w:rPr>
          <w:rFonts w:ascii="Times New Roman"/>
          <w:b w:val="false"/>
          <w:i w:val="false"/>
          <w:color w:val="000000"/>
          <w:sz w:val="24"/>
          <w:lang w:val="pl-PL"/>
        </w:rPr>
        <w:t xml:space="preserve"> ustawy z dnia 20 lipca 2017 r. - Prawo wodne (Dz. U. z 2023 r. poz. 1478, 1688, 1890, 1963 i 2029).</w:t>
      </w:r>
    </w:p>
    <w:p>
      <w:pPr>
        <w:spacing w:before="26" w:after="0"/>
        <w:ind w:left="0"/>
        <w:jc w:val="left"/>
        <w:textAlignment w:val="auto"/>
      </w:pPr>
      <w:r>
        <w:rPr>
          <w:rFonts w:ascii="Times New Roman"/>
          <w:b/>
          <w:i w:val="false"/>
          <w:color w:val="000000"/>
          <w:sz w:val="24"/>
          <w:lang w:val="pl-PL"/>
        </w:rPr>
        <w:t>§  34. </w:t>
      </w:r>
      <w:r>
        <w:rPr>
          <w:rFonts w:ascii="Times New Roman"/>
          <w:b/>
          <w:i w:val="false"/>
          <w:color w:val="000000"/>
          <w:sz w:val="24"/>
          <w:lang w:val="pl-PL"/>
        </w:rPr>
        <w:t xml:space="preserve"> [Wykaz zmian danych ewidencyjnych]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Zmiany opisowych danych ewidencyjnych dotyczące działek lub budynków, ustalone w trakcie wykonywania prac geodezyjnych, utrwala się w wykazie zmian danych ewidencyjnych, który zawiera: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gminy;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nazwę obrębu ewidencyjnego;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identyfikator działki ewidencyjnej lub budynku, dla których sporządzany jest wykaz;</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dane ewidencyjne, które ulegają zmianie w wyniku realizacji prac geodezyjnych (stan dotychczasowy), oraz dane pozyskane w wyniku realizacji tych prac (stan nowy);</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datę sporządzenia wykazu;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imię i nazwisko osoby sporządzającej wykaz;</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imię i nazwisko oraz numer uprawnień zawodowych kierownika prac geodezyjnych.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 xml:space="preserve">Podstawę aktualizacji danych ewidencyjnych dotyczących lokali stanowi zaświadczenie, o którym mowa w </w:t>
      </w:r>
      <w:r>
        <w:rPr>
          <w:rFonts w:ascii="Times New Roman"/>
          <w:b w:val="false"/>
          <w:i w:val="false"/>
          <w:color w:val="1b1b1b"/>
          <w:sz w:val="24"/>
          <w:lang w:val="pl-PL"/>
        </w:rPr>
        <w:t>art. 2 ust. 3</w:t>
      </w:r>
      <w:r>
        <w:rPr>
          <w:rFonts w:ascii="Times New Roman"/>
          <w:b w:val="false"/>
          <w:i w:val="false"/>
          <w:color w:val="000000"/>
          <w:sz w:val="24"/>
          <w:lang w:val="pl-PL"/>
        </w:rPr>
        <w:t xml:space="preserve"> ustawy z dnia 24 czerwca 1994 r. o własności lokali, i dokumenty opracowane zgodnie z zasadami określonymi w </w:t>
      </w:r>
      <w:r>
        <w:rPr>
          <w:rFonts w:ascii="Times New Roman"/>
          <w:b w:val="false"/>
          <w:i w:val="false"/>
          <w:color w:val="1b1b1b"/>
          <w:sz w:val="24"/>
          <w:lang w:val="pl-PL"/>
        </w:rPr>
        <w:t>art. 2 ust. 5</w:t>
      </w:r>
      <w:r>
        <w:rPr>
          <w:rFonts w:ascii="Times New Roman"/>
          <w:b w:val="false"/>
          <w:i w:val="false"/>
          <w:color w:val="000000"/>
          <w:sz w:val="24"/>
          <w:lang w:val="pl-PL"/>
        </w:rPr>
        <w:t xml:space="preserve"> i </w:t>
      </w:r>
      <w:r>
        <w:rPr>
          <w:rFonts w:ascii="Times New Roman"/>
          <w:b w:val="false"/>
          <w:i w:val="false"/>
          <w:color w:val="1b1b1b"/>
          <w:sz w:val="24"/>
          <w:lang w:val="pl-PL"/>
        </w:rPr>
        <w:t>6</w:t>
      </w:r>
      <w:r>
        <w:rPr>
          <w:rFonts w:ascii="Times New Roman"/>
          <w:b w:val="false"/>
          <w:i w:val="false"/>
          <w:color w:val="000000"/>
          <w:sz w:val="24"/>
          <w:lang w:val="pl-PL"/>
        </w:rPr>
        <w:t xml:space="preserve"> tej ustawy.</w:t>
      </w:r>
    </w:p>
    <w:p>
      <w:pPr>
        <w:spacing w:before="26" w:after="0"/>
        <w:ind w:left="0"/>
        <w:jc w:val="left"/>
        <w:textAlignment w:val="auto"/>
      </w:pPr>
      <w:r>
        <w:rPr>
          <w:rFonts w:ascii="Times New Roman"/>
          <w:b/>
          <w:i w:val="false"/>
          <w:color w:val="000000"/>
          <w:sz w:val="24"/>
          <w:lang w:val="pl-PL"/>
        </w:rPr>
        <w:t>§  35. </w:t>
      </w:r>
      <w:r>
        <w:rPr>
          <w:rFonts w:ascii="Times New Roman"/>
          <w:b/>
          <w:i w:val="false"/>
          <w:color w:val="000000"/>
          <w:sz w:val="24"/>
          <w:lang w:val="pl-PL"/>
        </w:rPr>
        <w:t xml:space="preserve"> [Zawiadomienie o dokonanych zmianach w danych ewidencyjnych]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0 dokonanych zmianach w danych ewidencyjnych starosta, w terminie 14 dni od dokonania zmiany w ewidencji, zawiadamia: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organy podatkowe - w przypadku zmian danych mających znaczenie dla wymiaru podatków: od nieruchomości, rolnego i leśnego;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wydział ksiąg wieczystych właściwego miejscowo sądu rejonowego - w przypadku zmian danych objętych działem I ksiąg wieczystych;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 xml:space="preserve">właściwe podmioty ewidencyjne, o których mowa w § 11 pkt 7 oraz § 12 pkt 1 - w przypadku, gdy zmiana została dokonana na podstawie wniosku, o którym mowa w </w:t>
      </w:r>
      <w:r>
        <w:rPr>
          <w:rFonts w:ascii="Times New Roman"/>
          <w:b w:val="false"/>
          <w:i w:val="false"/>
          <w:color w:val="1b1b1b"/>
          <w:sz w:val="24"/>
          <w:lang w:val="pl-PL"/>
        </w:rPr>
        <w:t>art. 24 ust. 2a pkt 2</w:t>
      </w:r>
      <w:r>
        <w:rPr>
          <w:rFonts w:ascii="Times New Roman"/>
          <w:b w:val="false"/>
          <w:i w:val="false"/>
          <w:color w:val="000000"/>
          <w:sz w:val="24"/>
          <w:lang w:val="pl-PL"/>
        </w:rPr>
        <w:t xml:space="preserve"> ustawy, lub w trybie czynności materialno - technicznej wyłącznie na podstawie dokumentacji geodezyjnej przyjętej do państwowego zasobu geodezyjnego i kartograficznego i dotyczyła:</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pola powierzchni działki ewidencyjnej,</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rodzaju lub pola powierzchni użytków gruntowych,</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rodzaju budynku,</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numeru działki ewidencyjnej.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Zawiadomienia, o których mowa w ust. 1, zawierają: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oznaczenie dokumentu, który stanowił podstawę zmiany, oraz datę wprowadzenia zmiany;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oznaczenia jednostek rejestrowych gruntów, budynków i lokali, w których nastąpiły zmiany;</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zestawienie odpowiednich danych ewidencyjnych przed zmianą i po zmianie;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oznaczenie organu oraz imię i nazwisko osoby, która dokonała aktualizacji ewidencji gruntów i budynków.</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Zawiadomienia, o których mowa w ust. 1 pkt 1, sporządza się w postaci dokumentu elektronicznego i doręcza się za pomocą środków komunikacji elektronicznej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18 lipca 2002 r. o świadczeniu usług drogą elektroniczną (Dz. U. z 2020 r. poz. 344).</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Zawiadomienia, o których mowa w ust. 1 pkt 2, sporządza się w postaci dokumentu elektronicznego i doręcza się za pomocą zintegrowanego systemu informacji o nieruchomościach, o którym mowa w </w:t>
      </w:r>
      <w:r>
        <w:rPr>
          <w:rFonts w:ascii="Times New Roman"/>
          <w:b w:val="false"/>
          <w:i w:val="false"/>
          <w:color w:val="1b1b1b"/>
          <w:sz w:val="24"/>
          <w:lang w:val="pl-PL"/>
        </w:rPr>
        <w:t>art. 24b</w:t>
      </w:r>
      <w:r>
        <w:rPr>
          <w:rFonts w:ascii="Times New Roman"/>
          <w:b w:val="false"/>
          <w:i w:val="false"/>
          <w:color w:val="000000"/>
          <w:sz w:val="24"/>
          <w:lang w:val="pl-PL"/>
        </w:rPr>
        <w:t xml:space="preserve"> ustawy, a w przypadku gdy warunki techniczne uniemożliwiają przesłanie do sądów zawiadomienia wraz z dokumentami w postaci elektronicznej, zawiadomienia i dokumenty sporządza się i doręcza się w postaci papierowej.</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 xml:space="preserve">Na wniosek lub za zgodą podmiotów, o których mowa w ust. 1 pkt 3, zawiadomienia o zmianach danych ewidencyjnych doręcza się w postaci dokumentów elektronicznych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17 lutego 2005 r. o informatyzacji działalności podmiotów realizujących zadania publiczne (Dz. U. z 2023 r. poz. 57, 1123, 1234 i 1703) za pomocą środków komunikacji elektronicznej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18 lipca 2002 r. o świadczeniu usług drogą elektroniczną.</w:t>
      </w:r>
    </w:p>
    <w:p>
      <w:pPr>
        <w:spacing w:before="26" w:after="0"/>
        <w:ind w:left="0"/>
        <w:jc w:val="left"/>
        <w:textAlignment w:val="auto"/>
      </w:pPr>
      <w:r>
        <w:rPr>
          <w:rFonts w:ascii="Times New Roman"/>
          <w:b/>
          <w:i w:val="false"/>
          <w:color w:val="000000"/>
          <w:sz w:val="24"/>
          <w:lang w:val="pl-PL"/>
        </w:rPr>
        <w:t>§  36. </w:t>
      </w:r>
      <w:r>
        <w:rPr>
          <w:rFonts w:ascii="Times New Roman"/>
          <w:b/>
          <w:i w:val="false"/>
          <w:color w:val="000000"/>
          <w:sz w:val="24"/>
          <w:lang w:val="pl-PL"/>
        </w:rPr>
        <w:t xml:space="preserve"> [Wypisy i wyrysy udostępniane z ewidencji]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Wypisy i wyrysy, o których mowa w </w:t>
      </w:r>
      <w:r>
        <w:rPr>
          <w:rFonts w:ascii="Times New Roman"/>
          <w:b w:val="false"/>
          <w:i w:val="false"/>
          <w:color w:val="1b1b1b"/>
          <w:sz w:val="24"/>
          <w:lang w:val="pl-PL"/>
        </w:rPr>
        <w:t>art. 24 ust. 3 pkt 1</w:t>
      </w:r>
      <w:r>
        <w:rPr>
          <w:rFonts w:ascii="Times New Roman"/>
          <w:b w:val="false"/>
          <w:i w:val="false"/>
          <w:color w:val="000000"/>
          <w:sz w:val="24"/>
          <w:lang w:val="pl-PL"/>
        </w:rPr>
        <w:t xml:space="preserve"> i </w:t>
      </w:r>
      <w:r>
        <w:rPr>
          <w:rFonts w:ascii="Times New Roman"/>
          <w:b w:val="false"/>
          <w:i w:val="false"/>
          <w:color w:val="1b1b1b"/>
          <w:sz w:val="24"/>
          <w:lang w:val="pl-PL"/>
        </w:rPr>
        <w:t>2</w:t>
      </w:r>
      <w:r>
        <w:rPr>
          <w:rFonts w:ascii="Times New Roman"/>
          <w:b w:val="false"/>
          <w:i w:val="false"/>
          <w:color w:val="000000"/>
          <w:sz w:val="24"/>
          <w:lang w:val="pl-PL"/>
        </w:rPr>
        <w:t xml:space="preserve"> ustawy, udostępnia się w postaci dokumentu elektronicznego lub w postaci papierowej.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Wypis z rejestrów: gruntów, budynków, lokali jest dokumentem, który oprócz informacji zawartych w ewidencji odpowiednio dla: gruntów, budynków, lokali, zawiera: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organu wydającego wypis;</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oznaczenie sprawy według obowiązującego systemu kancelaryjnego;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tytuł dokumentu - odpowiednio: "Wypis z rejestru gruntów", "Wypis z rejestru budynków", "Wypis z rejestru lokali";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nazwę województwa, powiatu, jednostki ewidencyjnej oraz nazwę i numer obrębu ewidencyjnego;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numer jednostki rejestrowej, odpowiednio: gruntów, budynków albo lokali;</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w przypadku wypisu z rejestru gruntów informacje o znajdujących się na poszczególnych działkach ewidencyjnych budynkach niestanowiących odrębnego od gruntu przedmiotu własności i znajdujących się w nich lokalach niestanowiących odrębnego od gruntu przedmiotu własności;</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w przypadku wypisu z rejestru budynków informacje o lokalach niestanowiących odrębnego od budynku przedmiotu własności znajdujących się w poszczególnych budynkach;</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datę sporządzenia dokumentu;</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nazwisko i imię osoby, która sporządziła dokument, albo adnotacje o sporządzeniu dokumentu w sposób automatyczny;</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w przypadku wypisu sporządzonego w postaci elektronicznej - kwalifikowany podpis elektroniczny osoby reprezentującej organ albo kwalifikowany podpis elektroniczny osoby upoważnionej przez ten organ albo kwalifikowaną pieczęć elektroniczną urzędu obsługującego organ;</w:t>
      </w:r>
    </w:p>
    <w:p>
      <w:pPr>
        <w:spacing w:before="26" w:after="0"/>
        <w:ind w:left="373"/>
        <w:jc w:val="left"/>
        <w:textAlignment w:val="auto"/>
      </w:pPr>
      <w:r>
        <w:rPr>
          <w:rFonts w:ascii="Times New Roman"/>
          <w:b w:val="false"/>
          <w:i w:val="false"/>
          <w:color w:val="000000"/>
          <w:sz w:val="24"/>
          <w:lang w:val="pl-PL"/>
        </w:rPr>
        <w:t xml:space="preserve">11) </w:t>
      </w:r>
      <w:r>
        <w:rPr>
          <w:rFonts w:ascii="Times New Roman"/>
          <w:b w:val="false"/>
          <w:i w:val="false"/>
          <w:color w:val="000000"/>
          <w:sz w:val="24"/>
          <w:lang w:val="pl-PL"/>
        </w:rPr>
        <w:t>w przypadku wypisu sporządzonego w postaci papierowej - podpis osoby reprezentującej organ albo osoby upoważnionej przez ten organ oraz datę złożenia podpisu.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Wypisom z rejestrów: gruntów, budynków, lokali, niezawierającym danych podmiotów, o których mowa w art. 20 ust. 2 pkt 1 ustawy, oraz numerów ksiąg wieczystych, nadaje się odpowiednio tytuł: "Wypis z rejestru gruntów bez danych osobowych", "Wypis z rejestru budynków bez danych osobowych", "Wypis z rejestru lokali bez danych osobowych".</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Wyrys z mapy ewidencyjnej jest fragmentem mapy ewidencyjnej zawierającym również:</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organu wydającego wyrys;</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oznaczenie sprawy według obowiązującego systemu kancelaryjnego;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tytuł dokumentu "Wyrys z mapy ewidencyjnej";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nazwę województwa, powiatu, jednostki ewidencyjnej oraz nazwę i numer obrębu ewidencyjnego oraz numery działek;</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informację o skali mapy;</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oznaczenie kierunku północy;</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datę sporządzenia dokumentu;</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nazwisko i imię osoby, która sporządziła dokument, albo adnotacje o sporządzeniu dokumentu w sposób automatyczny;</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w przypadku wyrysu sporządzonego w postaci elektronicznej - kwalifikowany podpis elektroniczny osoby reprezentującej organ albo kwalifikowany podpis elektroniczny osoby upoważnionej przez ten organ albo kwalifikowaną pieczęć elektroniczną urzędu obsługującego organ;</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w przypadku wyrysu sporządzonego w postaci papierowej - podpis osoby reprezentującej organ albo osoby upoważnionej przez ten organ oraz datę złożenia podpisu.</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Wyrys z mapy ewidencyjnej, wypis z rejestru gruntów, budynków lub lokali sporządza się dla wybranych lub wszystkich działek, budynków lub lokali wchodzących w skład jednej jednostki rejestrowej.</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Wypisy, o których mowa w ust. 2, oraz wyrysy z mapy ewidencyjnej, o których mowa w ust. 4, organ opatruje klauzulą o treści: "Dokument niniejszy jest przeznaczony do dokonywania wpisu w księdze wieczystej.</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Wypisowi z rejestru gruntów niezawierającemu klauzuli, o której mowa w ust. 6, nadaje się tytuł: "Uproszczony wypis z rejestru gruntów".</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(uchylony).</w:t>
      </w:r>
    </w:p>
    <w:p>
      <w:pPr>
        <w:spacing w:before="26" w:after="0"/>
        <w:ind w:left="0"/>
        <w:jc w:val="left"/>
        <w:textAlignment w:val="auto"/>
      </w:pPr>
      <w:r>
        <w:rPr>
          <w:rFonts w:ascii="Times New Roman"/>
          <w:b/>
          <w:i w:val="false"/>
          <w:color w:val="000000"/>
          <w:sz w:val="24"/>
          <w:lang w:val="pl-PL"/>
        </w:rPr>
        <w:t xml:space="preserve">§  36a.  </w:t>
      </w:r>
      <w:r>
        <w:rPr>
          <w:rFonts w:ascii="Times New Roman"/>
          <w:b/>
          <w:i w:val="false"/>
          <w:color w:val="000000"/>
          <w:sz w:val="24"/>
          <w:lang w:val="pl-PL"/>
        </w:rPr>
        <w:t xml:space="preserve"> </w:t>
      </w:r>
      <w:r>
        <w:rPr>
          <w:rFonts w:ascii="Times New Roman"/>
          <w:b/>
          <w:i w:val="false"/>
          <w:color w:val="000000"/>
          <w:sz w:val="24"/>
          <w:lang w:val="pl-PL"/>
        </w:rPr>
        <w:t xml:space="preserve"> [Kartoteka budynków; kartoteka lokali]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Kartotekę budynków lub kartotekę lokali udostępnia się w postaci dokumentu elektronicznego lub w postaci papierowej.</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Kartoteka budynków jest dokumentem zawierającym dane ewidencyjne dotyczące budynków wymienione w § 18 ust. 1 pkt 1 i 3-12, w granicach obrębu ewidencyjnego.</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Informacje o budynkach zawarte w kartotece budynków są segregowane w pozycjach kartoteki budynków odpowiadających jednostkom rejestrowym obejmującym grunty, na których są położone te budynki.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Kartoteka lokali jest dokumentem zawierającym dane ewidencyjne dotyczące lokali wymienione w § 20 ust. 1, w granicach obrębu ewidencyjnego.</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Informacje o lokalach zawarte w kartotece lokali są segregowane w pozycjach kartoteki lokali odpowiadających poszczególnym budynkom.</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Wypis z kartoteki budynków oraz wypis z kartoteki lokali oprócz informacji zawartych w tych kartotekach zawiera: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organu wydającego wypis;</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oznaczenie sprawy według obowiązującego systemu kancelaryjnego;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tytuł dokumentu - odpowiednio: "Wypis z kartoteki budynków", "Wypis z kartoteki lokali";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nazwę województwa, powiatu, jednostki ewidencyjnej oraz nazwę i numer obrębu ewidencyjnego;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numer jednostki rejestrowej gruntów, z którą jest związana pozycja kartoteki budynków lub kartoteki lokali;</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numer pozycji kartoteki budynków lub kartoteki lokali;</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datę sporządzenia dokumentu;</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nazwisko i imię osoby, która sporządziła dokument, albo adnotacje o sporządzeniu dokumentu w sposób automatyczny;</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w przypadku wypisu sporządzonego w postaci elektronicznej - kwalifikowany podpis elektroniczny osoby reprezentującej organ albo kwalifikowany podpis elektroniczny osoby upoważnionej przez ten organ albo kwalifikowaną pieczęć elektroniczną urzędu obsługującego organ;</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w przypadku wypisu sporządzonego w postaci papierowej - podpis osoby reprezentującej organ albo osoby upoważnionej przez ten organ oraz datę złożenia podpisu.</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Wypisy, o których mowa w ust. 6, organ opatruje klauzulą o treści: "Dokument niniejszy jest przeznaczony do dokonywania wpisu w księdze wieczystej".</w:t>
      </w:r>
    </w:p>
    <w:p>
      <w:pPr>
        <w:spacing w:before="26" w:after="0"/>
        <w:ind w:left="0"/>
        <w:jc w:val="left"/>
        <w:textAlignment w:val="auto"/>
      </w:pPr>
      <w:r>
        <w:rPr>
          <w:rFonts w:ascii="Times New Roman"/>
          <w:b/>
          <w:i w:val="false"/>
          <w:color w:val="000000"/>
          <w:sz w:val="24"/>
          <w:lang w:val="pl-PL"/>
        </w:rPr>
        <w:t>§  37. </w:t>
      </w:r>
      <w:r>
        <w:rPr>
          <w:rFonts w:ascii="Times New Roman"/>
          <w:b/>
          <w:i w:val="false"/>
          <w:color w:val="000000"/>
          <w:sz w:val="24"/>
          <w:lang w:val="pl-PL"/>
        </w:rPr>
        <w:t xml:space="preserve"> [Wykazy operatu ewidencyjnego]</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Wykazy, o których mowa w </w:t>
      </w:r>
      <w:r>
        <w:rPr>
          <w:rFonts w:ascii="Times New Roman"/>
          <w:b w:val="false"/>
          <w:i w:val="false"/>
          <w:color w:val="1b1b1b"/>
          <w:sz w:val="24"/>
          <w:lang w:val="pl-PL"/>
        </w:rPr>
        <w:t>art. 24 ust. 3 pkt 1</w:t>
      </w:r>
      <w:r>
        <w:rPr>
          <w:rFonts w:ascii="Times New Roman"/>
          <w:b w:val="false"/>
          <w:i w:val="false"/>
          <w:color w:val="000000"/>
          <w:sz w:val="24"/>
          <w:lang w:val="pl-PL"/>
        </w:rPr>
        <w:t xml:space="preserve"> ustawy, dotyczące działek ewidencyjnych lub podmiotów ewidencyjnych, udostępnia się w postaci dokumentów elektronicznych.</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Wykaz działek ewidencyjnych jest spisem działek dla obrębu ewidencyjnego, zawierającym ich numery oraz oznaczenia jednostek rejestrowych.</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Wykaz podmiotów ewidencyjnych jest alfabetycznym spisem podmiotów dla obrębu ewidencyjnego wykazanych w bazie danych ewidencji gruntów i budynków zawierającym, oprócz danych określających te podmioty, oznaczenia jednostek rejestrowych gruntów, jednostek rejestrowych budynków, jednostek rejestrowych lokali związanych z tymi podmiotami.</w:t>
      </w:r>
    </w:p>
    <w:p>
      <w:pPr>
        <w:spacing w:before="26" w:after="0"/>
        <w:ind w:left="0"/>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 xml:space="preserve"> </w:t>
      </w:r>
      <w:r>
        <w:rPr>
          <w:rFonts w:ascii="Times New Roman"/>
          <w:b w:val="false"/>
          <w:i w:val="false"/>
          <w:color w:val="000000"/>
          <w:sz w:val="24"/>
          <w:lang w:val="pl-PL"/>
        </w:rPr>
        <w:t> Wypisy z wykazów, o których mowa w ust. 2 i 3, oprócz informacji zawartych w tych wykazach zawierają:</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nazwę organu wydającego wypis;</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oznaczenie sprawy według obowiązującego systemu kancelaryjnego;</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tytuł dokumentu - odpowiednio: "Wypis z wykazu działek", "Wypis z wykazu podmiotów";</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nazwę województwa, powiatu, jednostki ewidencyjnej oraz nazwę i numer obrębu ewidencyjnego;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nazwisko i imię osoby, która sporządziła dokument, albo adnotacje o sporządzeniu dokumentu w sposób automatyczny;</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kwalifikowany podpis elektroniczny osoby reprezentującej organ albo kwalifikowany podpis elektroniczny osoby upoważnionej przez ten organ albo kwalifikowaną pieczęć elektroniczną urzędu obsługującego organ.</w:t>
      </w:r>
    </w:p>
    <w:p>
      <w:pPr>
        <w:spacing w:before="26" w:after="240"/>
        <w:ind w:left="0"/>
        <w:jc w:val="left"/>
        <w:textAlignment w:val="auto"/>
      </w:pPr>
      <w:r>
        <w:rPr>
          <w:rFonts w:ascii="Times New Roman"/>
          <w:b/>
          <w:i w:val="false"/>
          <w:color w:val="000000"/>
          <w:sz w:val="24"/>
          <w:lang w:val="pl-PL"/>
        </w:rPr>
        <w:t>§  38. </w:t>
      </w:r>
      <w:r>
        <w:rPr>
          <w:rFonts w:ascii="Times New Roman"/>
          <w:b/>
          <w:i w:val="false"/>
          <w:color w:val="000000"/>
          <w:sz w:val="24"/>
          <w:lang w:val="pl-PL"/>
        </w:rPr>
        <w:t xml:space="preserve"> [Archiwizacja danych ewidencyjnych]</w:t>
      </w:r>
      <w:r>
        <w:rPr>
          <w:rFonts w:ascii="Times New Roman"/>
          <w:b w:val="false"/>
          <w:i w:val="false"/>
          <w:color w:val="000000"/>
          <w:sz w:val="24"/>
          <w:lang w:val="pl-PL"/>
        </w:rPr>
        <w:t>Dane ewidencyjne, które utraciły swoją aktualność, podlegają archiwizacji.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Szczegółowe zasady wymiany danych ewidencji gruntów i budynków</w:t>
      </w:r>
    </w:p>
    <w:p>
      <w:pPr>
        <w:spacing w:before="26" w:after="0"/>
        <w:ind w:left="0"/>
        <w:jc w:val="left"/>
        <w:textAlignment w:val="auto"/>
      </w:pPr>
      <w:r>
        <w:rPr>
          <w:rFonts w:ascii="Times New Roman"/>
          <w:b/>
          <w:i w:val="false"/>
          <w:color w:val="000000"/>
          <w:sz w:val="24"/>
          <w:lang w:val="pl-PL"/>
        </w:rPr>
        <w:t>§  39. </w:t>
      </w:r>
      <w:r>
        <w:rPr>
          <w:rFonts w:ascii="Times New Roman"/>
          <w:b/>
          <w:i w:val="false"/>
          <w:color w:val="000000"/>
          <w:sz w:val="24"/>
          <w:lang w:val="pl-PL"/>
        </w:rPr>
        <w:t xml:space="preserve"> [Elektroniczna postać wymiany danych ewidencji]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 xml:space="preserve">Wymiana, w tym udostępnianie danych ewidencji, odbywa się w postaci elektronicznej z wykorzystaniem usług sieciowych i portali internetowych z uwzględnieniem przepisów wydanych na podstawie </w:t>
      </w:r>
      <w:r>
        <w:rPr>
          <w:rFonts w:ascii="Times New Roman"/>
          <w:b w:val="false"/>
          <w:i w:val="false"/>
          <w:color w:val="1b1b1b"/>
          <w:sz w:val="24"/>
          <w:lang w:val="pl-PL"/>
        </w:rPr>
        <w:t>art. 40 ust. 8</w:t>
      </w:r>
      <w:r>
        <w:rPr>
          <w:rFonts w:ascii="Times New Roman"/>
          <w:b w:val="false"/>
          <w:i w:val="false"/>
          <w:color w:val="000000"/>
          <w:sz w:val="24"/>
          <w:lang w:val="pl-PL"/>
        </w:rPr>
        <w:t xml:space="preserve"> ustawy.</w:t>
      </w:r>
    </w:p>
    <w:p>
      <w:pPr>
        <w:spacing w:before="26" w:after="0"/>
        <w:ind w:left="0"/>
        <w:jc w:val="left"/>
        <w:textAlignment w:val="auto"/>
      </w:pPr>
      <w:r>
        <w:rPr>
          <w:rFonts w:ascii="Times New Roman"/>
          <w:b w:val="false"/>
          <w:i w:val="false"/>
          <w:color w:val="000000"/>
          <w:sz w:val="24"/>
          <w:lang w:val="pl-PL"/>
        </w:rPr>
        <w:t>1a. </w:t>
      </w:r>
      <w:r>
        <w:rPr>
          <w:rFonts w:ascii="Times New Roman"/>
          <w:b w:val="false"/>
          <w:i w:val="false"/>
          <w:color w:val="000000"/>
          <w:sz w:val="24"/>
          <w:lang w:val="pl-PL"/>
        </w:rPr>
        <w:t>Przy pomocy usług sieciowych, o których mowa w ust. 1, dane ewidencji udostępnia się codziennie, według stanu na dzień ich udostępnienia albo dzień poprzedzający udostępnienie.</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Specyfikację usług sieciowych, o których mowa w ust. 1, dotyczących udostępniania danych ewidencji określa załącznik nr 8 do rozporządzenia.</w:t>
      </w:r>
    </w:p>
    <w:p>
      <w:pPr>
        <w:spacing w:before="26" w:after="0"/>
        <w:ind w:left="0"/>
        <w:jc w:val="left"/>
        <w:textAlignment w:val="auto"/>
      </w:pPr>
      <w:r>
        <w:rPr>
          <w:rFonts w:ascii="Times New Roman"/>
          <w:b w:val="false"/>
          <w:i w:val="false"/>
          <w:color w:val="000000"/>
          <w:sz w:val="24"/>
          <w:lang w:val="pl-PL"/>
        </w:rPr>
        <w:t>2a. </w:t>
      </w:r>
      <w:r>
        <w:rPr>
          <w:rFonts w:ascii="Times New Roman"/>
          <w:b w:val="false"/>
          <w:i w:val="false"/>
          <w:color w:val="000000"/>
          <w:sz w:val="24"/>
          <w:lang w:val="pl-PL"/>
        </w:rPr>
        <w:t>Specyfikację usług sieciowych, o których mowa w ust. 1, dotyczących udostępniania danych ewidencji na potrzeby zintegrowanego systemu informacji o nieruchomościach, o którym mowa w art. 24b ust. 1 ustawy, określa załącznik nr 8a do rozporządzenia.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 xml:space="preserve">Schemat aplikacyjny GML dotyczący wymiany danych ewidencji, zgodny ze schematem pojęciowym ewidencji zamieszczonym w załączniku nr 6 do rozporządzenia, Główny Geodeta Kraju publikuje w repozytorium interoperacyjności, o którym mowa w przepisach wydanych na podstawie </w:t>
      </w:r>
      <w:r>
        <w:rPr>
          <w:rFonts w:ascii="Times New Roman"/>
          <w:b w:val="false"/>
          <w:i w:val="false"/>
          <w:color w:val="1b1b1b"/>
          <w:sz w:val="24"/>
          <w:lang w:val="pl-PL"/>
        </w:rPr>
        <w:t>art. 18</w:t>
      </w:r>
      <w:r>
        <w:rPr>
          <w:rFonts w:ascii="Times New Roman"/>
          <w:b w:val="false"/>
          <w:i w:val="false"/>
          <w:color w:val="000000"/>
          <w:sz w:val="24"/>
          <w:lang w:val="pl-PL"/>
        </w:rPr>
        <w:t xml:space="preserve"> ustawy z dnia 17 lutego 2005 r. o informatyzacji działalności podmiotów realizujących zadania publiczne.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 xml:space="preserve">Schemat, o którym mowa w ust. 3, stosuje się także przy wymianie danych na potrzeby wykonywania prac geodezyjnych, o których mowa w przepisach wydanych na podstawie </w:t>
      </w:r>
      <w:r>
        <w:rPr>
          <w:rFonts w:ascii="Times New Roman"/>
          <w:b w:val="false"/>
          <w:i w:val="false"/>
          <w:color w:val="1b1b1b"/>
          <w:sz w:val="24"/>
          <w:lang w:val="pl-PL"/>
        </w:rPr>
        <w:t>art. 19 ust. 1 pkt 11</w:t>
      </w:r>
      <w:r>
        <w:rPr>
          <w:rFonts w:ascii="Times New Roman"/>
          <w:b w:val="false"/>
          <w:i w:val="false"/>
          <w:color w:val="000000"/>
          <w:sz w:val="24"/>
          <w:lang w:val="pl-PL"/>
        </w:rPr>
        <w:t xml:space="preserve"> ustawy.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Zakres informacji rejestru cen nieruchomości</w:t>
      </w:r>
    </w:p>
    <w:p>
      <w:pPr>
        <w:spacing w:before="26" w:after="0"/>
        <w:ind w:left="0"/>
        <w:jc w:val="left"/>
        <w:textAlignment w:val="auto"/>
      </w:pPr>
      <w:r>
        <w:rPr>
          <w:rFonts w:ascii="Times New Roman"/>
          <w:b/>
          <w:i w:val="false"/>
          <w:color w:val="000000"/>
          <w:sz w:val="24"/>
          <w:lang w:val="pl-PL"/>
        </w:rPr>
        <w:t>§  40. </w:t>
      </w:r>
      <w:r>
        <w:rPr>
          <w:rFonts w:ascii="Times New Roman"/>
          <w:b/>
          <w:i w:val="false"/>
          <w:color w:val="000000"/>
          <w:sz w:val="24"/>
          <w:lang w:val="pl-PL"/>
        </w:rPr>
        <w:t xml:space="preserve"> [Informacje w rejestrze cen nieruchomości]</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Rejestr cen nieruchomości zawiera informacje dotyczące: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IdRCN - identyfikatora transakcji;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oznaczenia transakcji;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oznaczenia aktu notarialnego z jego datą i dane identyfikujące notariusza;</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rodzaju transakcji;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rodzaju rynku;</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strony sprzedającej;</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strony kupującej;</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ceny transakcji brutto;</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kwoty podatku VAT;</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wykazu nieruchomości będących przedmiotem transakcji wraz z ich rodzajem, opisem i ceną.</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wykazie nieruchomości wyróżniane są następujące rodzaje nieruchomości:</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nieruchomości gruntowe niezabudowane;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nieruchomości gruntowe zabudowane;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nieruchomości budynkowe;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nieruchomości lokalowe.</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informacjach o nieruchomości wykazuje się:</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rodzaj prawa będącego przedmiotem transakcji;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udział w prawie będącym przedmiotem transakcji;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pole powierzchni ewidencyjnej nieruchomości gruntowej;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cenę nieruchomości brutto;</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kwotę podatku VAT;</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wykaz działek, budynków lub lokali wchodzących w skład nieruchomości.</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Dla działek ewidencyjnych wchodzących w skład nieruchomości gruntowych w rejestrze cen nieruchomości przechowuje się, możliwe do ustalenia na podstawie aktu notarialnego, następujące informacje: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identyfikator działki ewidencyjnej;</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adres działki ewidencyjnej;</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pole powierzchni ewidencyjnej;</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przeznaczenie w miejscowym planie zagospodarowania przestrzennego lub w decyzji o warunkach zabudowy i zagospodarowania terenu;</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sposób użytkowania;</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cenę działki ewidencyjnej brutto;</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kwotę podatku VAT;</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dodatkowe informacje.</w:t>
      </w:r>
    </w:p>
    <w:p>
      <w:pPr>
        <w:spacing w:before="26" w:after="0"/>
        <w:ind w:left="0"/>
        <w:jc w:val="left"/>
        <w:textAlignment w:val="auto"/>
      </w:pPr>
      <w:r>
        <w:rPr>
          <w:rFonts w:ascii="Times New Roman"/>
          <w:b w:val="false"/>
          <w:i w:val="false"/>
          <w:color w:val="000000"/>
          <w:sz w:val="24"/>
          <w:lang w:val="pl-PL"/>
        </w:rPr>
        <w:t>5. </w:t>
      </w:r>
      <w:r>
        <w:rPr>
          <w:rFonts w:ascii="Times New Roman"/>
          <w:b w:val="false"/>
          <w:i w:val="false"/>
          <w:color w:val="000000"/>
          <w:sz w:val="24"/>
          <w:lang w:val="pl-PL"/>
        </w:rPr>
        <w:t>Dla budynków wchodzących w skład nieruchomości budynkowych w rejestrze cen nieruchomości przechowuje się, możliwe do ustalenia na podstawie aktu notarialnego, następujące informacje: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identyfikator budynku;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adres budynku;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rodzaj budynku;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pole powierzchni użytkowej;</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cenę budynku brutto;</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kwotę podatku VAT;</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dodatkowe informacje.</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Dla lokali wchodzących w skład nieruchomości lokalowych w rejestrze cen nieruchomości przechowuje się, możliwe do ustalenia na podstawie aktu notarialnego, następujące informacje: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identyfikator lokalu;</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adres lokalu;</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funkcję lokalu;</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liczbę izb;</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numer kondygnacji;</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powierzchnię użytkową lokalu;</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powierzchnię pomieszczeń przynależnych do lokalu;</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cenę lokalu brutto;</w:t>
      </w:r>
    </w:p>
    <w:p>
      <w:pPr>
        <w:spacing w:before="26" w:after="0"/>
        <w:ind w:left="373"/>
        <w:jc w:val="left"/>
        <w:textAlignment w:val="auto"/>
      </w:pPr>
      <w:r>
        <w:rPr>
          <w:rFonts w:ascii="Times New Roman"/>
          <w:b w:val="false"/>
          <w:i w:val="false"/>
          <w:color w:val="000000"/>
          <w:sz w:val="24"/>
          <w:lang w:val="pl-PL"/>
        </w:rPr>
        <w:t xml:space="preserve">9) </w:t>
      </w:r>
      <w:r>
        <w:rPr>
          <w:rFonts w:ascii="Times New Roman"/>
          <w:b w:val="false"/>
          <w:i w:val="false"/>
          <w:color w:val="000000"/>
          <w:sz w:val="24"/>
          <w:lang w:val="pl-PL"/>
        </w:rPr>
        <w:t>kwotę podatku VAT;</w:t>
      </w:r>
    </w:p>
    <w:p>
      <w:pPr>
        <w:spacing w:before="26" w:after="0"/>
        <w:ind w:left="373"/>
        <w:jc w:val="left"/>
        <w:textAlignment w:val="auto"/>
      </w:pPr>
      <w:r>
        <w:rPr>
          <w:rFonts w:ascii="Times New Roman"/>
          <w:b w:val="false"/>
          <w:i w:val="false"/>
          <w:color w:val="000000"/>
          <w:sz w:val="24"/>
          <w:lang w:val="pl-PL"/>
        </w:rPr>
        <w:t xml:space="preserve">10) </w:t>
      </w:r>
      <w:r>
        <w:rPr>
          <w:rFonts w:ascii="Times New Roman"/>
          <w:b w:val="false"/>
          <w:i w:val="false"/>
          <w:color w:val="000000"/>
          <w:sz w:val="24"/>
          <w:lang w:val="pl-PL"/>
        </w:rPr>
        <w:t>dodatkowe informacje.</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Identyfikator transakcji IdRCN, o którym mowa w ust. 1 pkt 1, jest identyfikatorem infrastruktury informacji przestrzennej, na który składają się:</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 xml:space="preserve">przestrzeń nazw, w której skład wchodzi identyfikator zbioru danych przestrzennych, do którego należy dany obiekt przestrzenny, według ewidencji zbiorów oraz usług danych przestrzennych objętych infrastrukturą informacji przestrzennej, o której mowa w przepisach wydanych na podstawie </w:t>
      </w:r>
      <w:r>
        <w:rPr>
          <w:rFonts w:ascii="Times New Roman"/>
          <w:b w:val="false"/>
          <w:i w:val="false"/>
          <w:color w:val="1b1b1b"/>
          <w:sz w:val="24"/>
          <w:lang w:val="pl-PL"/>
        </w:rPr>
        <w:t>art. 13 ust. 5</w:t>
      </w:r>
      <w:r>
        <w:rPr>
          <w:rFonts w:ascii="Times New Roman"/>
          <w:b w:val="false"/>
          <w:i w:val="false"/>
          <w:color w:val="000000"/>
          <w:sz w:val="24"/>
          <w:lang w:val="pl-PL"/>
        </w:rPr>
        <w:t xml:space="preserve"> ustawy z dnia 4 marca 2010 r. o infrastrukturze informacji przestrzennej, uzupełniona po kropce skrótem "RCN";</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identyfikator lokalny wyróżniający w sposób jednoznaczny dany obiekt bazy danych spośród innych obiektów zapisanych w tej bazie;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identyfikator wersji obiektu.</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Elementy identyfikatora transakcji IdRCN, o których mowa w ust. 7 pkt 1 i 2, nie mogą być zmieniane.</w:t>
      </w:r>
    </w:p>
    <w:p>
      <w:pPr>
        <w:spacing w:before="26" w:after="0"/>
        <w:ind w:left="0"/>
        <w:jc w:val="left"/>
        <w:textAlignment w:val="auto"/>
      </w:pPr>
      <w:r>
        <w:rPr>
          <w:rFonts w:ascii="Times New Roman"/>
          <w:b w:val="false"/>
          <w:i w:val="false"/>
          <w:color w:val="000000"/>
          <w:sz w:val="24"/>
          <w:lang w:val="pl-PL"/>
        </w:rPr>
        <w:t>9. </w:t>
      </w:r>
      <w:r>
        <w:rPr>
          <w:rFonts w:ascii="Times New Roman"/>
          <w:b w:val="false"/>
          <w:i w:val="false"/>
          <w:color w:val="000000"/>
          <w:sz w:val="24"/>
          <w:lang w:val="pl-PL"/>
        </w:rPr>
        <w:t>Specyfikację pojęciowego modelu danych rejestru cen nieruchomości określa załącznik nr 9 do rozporządzenia.</w:t>
      </w:r>
    </w:p>
    <w:p>
      <w:pPr>
        <w:spacing w:before="26" w:after="0"/>
        <w:ind w:left="0"/>
        <w:jc w:val="left"/>
        <w:textAlignment w:val="auto"/>
      </w:pPr>
      <w:r>
        <w:rPr>
          <w:rFonts w:ascii="Times New Roman"/>
          <w:b w:val="false"/>
          <w:i w:val="false"/>
          <w:color w:val="000000"/>
          <w:sz w:val="24"/>
          <w:lang w:val="pl-PL"/>
        </w:rPr>
        <w:t>10. </w:t>
      </w:r>
      <w:r>
        <w:rPr>
          <w:rFonts w:ascii="Times New Roman"/>
          <w:b w:val="false"/>
          <w:i w:val="false"/>
          <w:color w:val="000000"/>
          <w:sz w:val="24"/>
          <w:lang w:val="pl-PL"/>
        </w:rPr>
        <w:t xml:space="preserve">Schemat aplikacyjny GML dotyczący udostępniania danych rejestru cen nieruchomości, zgodny ze schematem pojęciowym zamieszczonym w załączniku nr 9 do rozporządzenia, Główny Geodeta Kraju publikuje w repozytorium interoperacyjności, o którym mowa w przepisach wydanych na podstawie </w:t>
      </w:r>
      <w:r>
        <w:rPr>
          <w:rFonts w:ascii="Times New Roman"/>
          <w:b w:val="false"/>
          <w:i w:val="false"/>
          <w:color w:val="1b1b1b"/>
          <w:sz w:val="24"/>
          <w:lang w:val="pl-PL"/>
        </w:rPr>
        <w:t>art. 18</w:t>
      </w:r>
      <w:r>
        <w:rPr>
          <w:rFonts w:ascii="Times New Roman"/>
          <w:b w:val="false"/>
          <w:i w:val="false"/>
          <w:color w:val="000000"/>
          <w:sz w:val="24"/>
          <w:lang w:val="pl-PL"/>
        </w:rPr>
        <w:t xml:space="preserve"> ustawy z dnia 17 lutego 2005 r. o informatyzacji działalności podmiotów realizujących zadania publiczne.</w:t>
      </w:r>
    </w:p>
    <w:p>
      <w:pPr>
        <w:spacing w:before="26" w:after="0"/>
        <w:ind w:left="0"/>
        <w:jc w:val="left"/>
        <w:textAlignment w:val="auto"/>
      </w:pPr>
      <w:r>
        <w:rPr>
          <w:rFonts w:ascii="Times New Roman"/>
          <w:b w:val="false"/>
          <w:i w:val="false"/>
          <w:color w:val="000000"/>
          <w:sz w:val="24"/>
          <w:lang w:val="pl-PL"/>
        </w:rPr>
        <w:t>11. </w:t>
      </w:r>
      <w:r>
        <w:rPr>
          <w:rFonts w:ascii="Times New Roman"/>
          <w:b w:val="false"/>
          <w:i w:val="false"/>
          <w:color w:val="000000"/>
          <w:sz w:val="24"/>
          <w:lang w:val="pl-PL"/>
        </w:rPr>
        <w:t>Udostępnianie informacji z rejestru cen nieruchomości odbywa się z wykorzystaniem usług sieciowych i portali internetowych lub wyciągów w postaci papierowej.</w:t>
      </w:r>
    </w:p>
    <w:p>
      <w:pPr>
        <w:spacing w:before="26" w:after="0"/>
        <w:ind w:left="0"/>
        <w:jc w:val="left"/>
        <w:textAlignment w:val="auto"/>
      </w:pPr>
      <w:r>
        <w:rPr>
          <w:rFonts w:ascii="Times New Roman"/>
          <w:b w:val="false"/>
          <w:i w:val="false"/>
          <w:color w:val="000000"/>
          <w:sz w:val="24"/>
          <w:lang w:val="pl-PL"/>
        </w:rPr>
        <w:t>12. </w:t>
      </w:r>
      <w:r>
        <w:rPr>
          <w:rFonts w:ascii="Times New Roman"/>
          <w:b w:val="false"/>
          <w:i w:val="false"/>
          <w:color w:val="000000"/>
          <w:sz w:val="24"/>
          <w:lang w:val="pl-PL"/>
        </w:rPr>
        <w:t>Specyfikację usług sieciowych, o których mowa w ust. 11, dotyczących udostępniania danych z rejestru cen nieruchomości określa załącznik nr 10 do rozporządzenia.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Sporządzanie zestawień zbiorczych danych ewidencji gruntów i budynków</w:t>
      </w:r>
    </w:p>
    <w:p>
      <w:pPr>
        <w:spacing w:before="26" w:after="0"/>
        <w:ind w:left="0"/>
        <w:jc w:val="left"/>
        <w:textAlignment w:val="auto"/>
      </w:pPr>
      <w:r>
        <w:rPr>
          <w:rFonts w:ascii="Times New Roman"/>
          <w:b/>
          <w:i w:val="false"/>
          <w:color w:val="000000"/>
          <w:sz w:val="24"/>
          <w:lang w:val="pl-PL"/>
        </w:rPr>
        <w:t>§  41. </w:t>
      </w:r>
      <w:r>
        <w:rPr>
          <w:rFonts w:ascii="Times New Roman"/>
          <w:b/>
          <w:i w:val="false"/>
          <w:color w:val="000000"/>
          <w:sz w:val="24"/>
          <w:lang w:val="pl-PL"/>
        </w:rPr>
        <w:t xml:space="preserve"> [Zasady sporządzania zestawień zbiorczych]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Powiatowe, wojewódzkie i krajowe zestawienia zbiorcze danych objętych ewidencją, zwane dalej "zestawieniami zbiorczymi", sporządza się według stanu na dzień 1 stycznia każdego roku, wyodrębniając tereny miejskie i wiejskie, w układzie grup rejestrowych odpowiednio dla: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działek ewidencyjnych - z podziałem na poszczególne rodzaje użytków gruntowych, o których mowa w § 8;</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budynków - z podziałem na rodzaje budynków, o których mowa w § 18 ust. 1 pkt 3;</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lokali - z podziałem na rodzaje lokali.</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W zbiorczych zestawieniach gruntów oprócz pól powierzchni wynikających z ewidencji, zwanych dalej "powierzchniami ewidencyjnymi", wykazuje się również pola powierzchni jednostek podziału terytorialnego państwa według państwowego rejestru granic i powierzchni jednostek podziałów terytorialnych kraju, zwane dalej "powierzchniami geodezyjnymi", oraz różnice między tymi powierzchniami.</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Powierzchnie ewidencyjne użytków gruntowych w zestawieniach zbiorczych gruntów wyrównuje się na zasadach proporcjonalności do powierzchni geodezyjnej odpowiedniej jednostki podziału terytorialnego kraju.</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Pole powierzchni w zestawieniach zbiorczych gruntów określa się z precyzją do 1 ha.</w:t>
      </w:r>
    </w:p>
    <w:p>
      <w:pPr>
        <w:spacing w:before="26" w:after="0"/>
        <w:ind w:left="0"/>
        <w:jc w:val="left"/>
        <w:textAlignment w:val="auto"/>
      </w:pPr>
      <w:r>
        <w:rPr>
          <w:rFonts w:ascii="Times New Roman"/>
          <w:b/>
          <w:i w:val="false"/>
          <w:color w:val="000000"/>
          <w:sz w:val="24"/>
          <w:lang w:val="pl-PL"/>
        </w:rPr>
        <w:t>§  42. </w:t>
      </w:r>
      <w:r>
        <w:rPr>
          <w:rFonts w:ascii="Times New Roman"/>
          <w:b/>
          <w:i w:val="false"/>
          <w:color w:val="000000"/>
          <w:sz w:val="24"/>
          <w:lang w:val="pl-PL"/>
        </w:rPr>
        <w:t xml:space="preserve"> [Terminy sporządzenia zestawień zbiorczych]</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Powiatowe zestawienia zbiorcze, według stanu na dzień 1 stycznia, sporządza starosta i przekazuje Głównemu Geodecie Kraju w terminie do 15 lutego każdego roku.</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Krajowe i wojewódzkie zestawienia zbiorcze sporządza Główny Geodeta Kraju w terminie do 15 kwietnia każdego roku.</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W latach nieparzystych do zbiorczych zestawień gruntów, o których mowa w ust. 1, dołącza się wykazy użytków rolnych oraz lasów zawierające pola powierzchni tych użytków z podziałem na klasy bonitacyjne oraz grupy rejestrowe.</w:t>
      </w:r>
    </w:p>
    <w:p>
      <w:pPr>
        <w:spacing w:before="26" w:after="0"/>
        <w:ind w:left="0"/>
        <w:jc w:val="left"/>
        <w:textAlignment w:val="auto"/>
      </w:pPr>
      <w:r>
        <w:rPr>
          <w:rFonts w:ascii="Times New Roman"/>
          <w:b w:val="false"/>
          <w:i w:val="false"/>
          <w:color w:val="000000"/>
          <w:sz w:val="24"/>
          <w:lang w:val="pl-PL"/>
        </w:rPr>
        <w:t>4. </w:t>
      </w:r>
      <w:r>
        <w:rPr>
          <w:rFonts w:ascii="Times New Roman"/>
          <w:b w:val="false"/>
          <w:i w:val="false"/>
          <w:color w:val="000000"/>
          <w:sz w:val="24"/>
          <w:lang w:val="pl-PL"/>
        </w:rPr>
        <w:t>Do wykazów użytków rolnych oraz lasów przepisy ust. 2 oraz § 41 ust. 4 stosuje się odpowiednio.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7</w:t>
      </w:r>
    </w:p>
    <w:p>
      <w:pPr>
        <w:spacing w:before="25" w:after="0"/>
        <w:ind w:left="0"/>
        <w:jc w:val="center"/>
        <w:textAlignment w:val="auto"/>
      </w:pPr>
      <w:r>
        <w:rPr>
          <w:rFonts w:ascii="Times New Roman"/>
          <w:b/>
          <w:i w:val="false"/>
          <w:color w:val="000000"/>
          <w:sz w:val="24"/>
          <w:lang w:val="pl-PL"/>
        </w:rPr>
        <w:t>Przepisy dostosowujące, przejściowe i końcowe</w:t>
      </w:r>
    </w:p>
    <w:p>
      <w:pPr>
        <w:spacing w:before="26" w:after="0"/>
        <w:ind w:left="0"/>
        <w:jc w:val="left"/>
        <w:textAlignment w:val="auto"/>
      </w:pPr>
      <w:r>
        <w:rPr>
          <w:rFonts w:ascii="Times New Roman"/>
          <w:b/>
          <w:i w:val="false"/>
          <w:color w:val="000000"/>
          <w:sz w:val="24"/>
          <w:lang w:val="pl-PL"/>
        </w:rPr>
        <w:t>§  43. </w:t>
      </w:r>
      <w:r>
        <w:rPr>
          <w:rFonts w:ascii="Times New Roman"/>
          <w:b/>
          <w:i w:val="false"/>
          <w:color w:val="000000"/>
          <w:sz w:val="24"/>
          <w:lang w:val="pl-PL"/>
        </w:rPr>
        <w:t xml:space="preserve"> [Ewidencja gruntów i budynków oraz rejestr cen i wartości nieruchomości prowadzone na podstawie dotychczasowych przepisów]</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Ewidencja gruntów i budynków prowadzona na podstawie dotychczasowych przepisów staje się ewidencją gruntów i budynków w rozumieniu niniejszego rozporządzenia.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Rejestr cen i wartości nieruchomości prowadzony na podstawie dotychczasowych przepisów staje się rejestrem cen nieruchomości w rozumieniu niniejszego rozporządzenia.</w:t>
      </w:r>
    </w:p>
    <w:p>
      <w:pPr>
        <w:spacing w:before="26" w:after="0"/>
        <w:ind w:left="0"/>
        <w:jc w:val="left"/>
        <w:textAlignment w:val="auto"/>
      </w:pPr>
      <w:r>
        <w:rPr>
          <w:rFonts w:ascii="Times New Roman"/>
          <w:b/>
          <w:i w:val="false"/>
          <w:color w:val="000000"/>
          <w:sz w:val="24"/>
          <w:lang w:val="pl-PL"/>
        </w:rPr>
        <w:t>§  44. </w:t>
      </w:r>
      <w:r>
        <w:rPr>
          <w:rFonts w:ascii="Times New Roman"/>
          <w:b/>
          <w:i w:val="false"/>
          <w:color w:val="000000"/>
          <w:sz w:val="24"/>
          <w:lang w:val="pl-PL"/>
        </w:rPr>
        <w:t xml:space="preserve"> [Dostosowanie bazy danych ewidencji gruntów i budynków do przepisów rozporządzenia]</w:t>
      </w:r>
    </w:p>
    <w:p>
      <w:pPr>
        <w:spacing w:before="26" w:after="0"/>
        <w:ind w:left="0"/>
        <w:jc w:val="left"/>
        <w:textAlignment w:val="auto"/>
      </w:pPr>
      <w:r>
        <w:rPr>
          <w:rFonts w:ascii="Times New Roman"/>
          <w:b w:val="false"/>
          <w:i w:val="false"/>
          <w:color w:val="000000"/>
          <w:sz w:val="24"/>
          <w:lang w:val="pl-PL"/>
        </w:rPr>
        <w:t>1. </w:t>
      </w:r>
      <w:r>
        <w:rPr>
          <w:rFonts w:ascii="Times New Roman"/>
          <w:b w:val="false"/>
          <w:i w:val="false"/>
          <w:color w:val="000000"/>
          <w:sz w:val="24"/>
          <w:lang w:val="pl-PL"/>
        </w:rPr>
        <w:t>Organ prowadzący ewidencję gruntów i budynków do dnia 31 grudnia 2023 r. dostosuje obecnie prowadzoną bazę danych ewidencji gruntów i budynków do przepisów niniejszego rozporządzenia.</w:t>
      </w:r>
    </w:p>
    <w:p>
      <w:pPr>
        <w:spacing w:before="26" w:after="0"/>
        <w:ind w:left="0"/>
        <w:jc w:val="left"/>
        <w:textAlignment w:val="auto"/>
      </w:pPr>
      <w:r>
        <w:rPr>
          <w:rFonts w:ascii="Times New Roman"/>
          <w:b w:val="false"/>
          <w:i w:val="false"/>
          <w:color w:val="000000"/>
          <w:sz w:val="24"/>
          <w:lang w:val="pl-PL"/>
        </w:rPr>
        <w:t>2. </w:t>
      </w:r>
      <w:r>
        <w:rPr>
          <w:rFonts w:ascii="Times New Roman"/>
          <w:b w:val="false"/>
          <w:i w:val="false"/>
          <w:color w:val="000000"/>
          <w:sz w:val="24"/>
          <w:lang w:val="pl-PL"/>
        </w:rPr>
        <w:t>Dotychczasowy atrybut określający błąd położenia punktu granicznego (BPP) staje się atrybutem określającym spełnienie przez punkt wymaganych standardów dokładnościowych (ISD), a jego wartość jest wyznaczana zgodnie z ust. 4 załącznika nr 4 do rozporządzenia.</w:t>
      </w:r>
    </w:p>
    <w:p>
      <w:pPr>
        <w:spacing w:before="26" w:after="0"/>
        <w:ind w:left="0"/>
        <w:jc w:val="left"/>
        <w:textAlignment w:val="auto"/>
      </w:pPr>
      <w:r>
        <w:rPr>
          <w:rFonts w:ascii="Times New Roman"/>
          <w:b w:val="false"/>
          <w:i w:val="false"/>
          <w:color w:val="000000"/>
          <w:sz w:val="24"/>
          <w:lang w:val="pl-PL"/>
        </w:rPr>
        <w:t>3. </w:t>
      </w:r>
      <w:r>
        <w:rPr>
          <w:rFonts w:ascii="Times New Roman"/>
          <w:b w:val="false"/>
          <w:i w:val="false"/>
          <w:color w:val="000000"/>
          <w:sz w:val="24"/>
          <w:lang w:val="pl-PL"/>
        </w:rPr>
        <w:t>Dotychczasowy atrybut określający źródło danych o położeniu punktu granicznego (ZRD) staje się atrybutem określającym sposób pozyskania danych o punkcie granicznym (SPD), a jego wartość jest wyznaczana zgodnie z ust. 1 załącznika nr 4 do rozporządzenia.</w:t>
      </w:r>
    </w:p>
    <w:p>
      <w:pPr>
        <w:spacing w:before="26" w:after="0"/>
        <w:ind w:left="0"/>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 xml:space="preserve"> </w:t>
      </w:r>
      <w:r>
        <w:rPr>
          <w:rFonts w:ascii="Times New Roman"/>
          <w:b w:val="false"/>
          <w:i w:val="false"/>
          <w:color w:val="000000"/>
          <w:sz w:val="24"/>
          <w:lang w:val="pl-PL"/>
        </w:rPr>
        <w:t> Dotychczas nadane identyfikatory budynków i lokali niespełniające warunków określonych w niniejszym rozporządzeniu pozostawia się w dotychczasowej postaci do czasu ustalenia nowych identyfikatorów, nie dłużej jednak niż do dnia 31 grudnia 2029 r.</w:t>
      </w:r>
    </w:p>
    <w:p>
      <w:pPr>
        <w:spacing w:before="26" w:after="0"/>
        <w:ind w:left="0"/>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 xml:space="preserve"> </w:t>
      </w:r>
      <w:r>
        <w:rPr>
          <w:rFonts w:ascii="Times New Roman"/>
          <w:b w:val="false"/>
          <w:i w:val="false"/>
          <w:color w:val="000000"/>
          <w:sz w:val="24"/>
          <w:lang w:val="pl-PL"/>
        </w:rPr>
        <w:t> W przypadku gdy w dotychczasowej numeracji działek ewidencyjnych występuje oznaczenie arkusza mapy ewidencyjnej, numer działki ewidencyjnej pozostawia się w dotychczasowej postaci do czasu ustalenia nowych identyfikatorów, nie dłużej jednak niż do dnia 31 grudnia 2029 r.</w:t>
      </w:r>
    </w:p>
    <w:p>
      <w:pPr>
        <w:spacing w:before="26" w:after="0"/>
        <w:ind w:left="0"/>
        <w:jc w:val="left"/>
        <w:textAlignment w:val="auto"/>
      </w:pPr>
      <w:r>
        <w:rPr>
          <w:rFonts w:ascii="Times New Roman"/>
          <w:b w:val="false"/>
          <w:i w:val="false"/>
          <w:color w:val="000000"/>
          <w:sz w:val="24"/>
          <w:lang w:val="pl-PL"/>
        </w:rPr>
        <w:t>6. </w:t>
      </w:r>
      <w:r>
        <w:rPr>
          <w:rFonts w:ascii="Times New Roman"/>
          <w:b w:val="false"/>
          <w:i w:val="false"/>
          <w:color w:val="000000"/>
          <w:sz w:val="24"/>
          <w:lang w:val="pl-PL"/>
        </w:rPr>
        <w:t>W przypadku gdy do czasu wejścia w życie rozporządzenia stosowany był inny niż określony w § 7 ust. 6 sposób oznaczania nowych działek ewidencyjnych, dotychczasowy sposób ich oznaczania może być dalej stosowany do czasu przeprowadzenia modernizacji ewidencji, o której mowa w art. 24a ustawy.</w:t>
      </w:r>
    </w:p>
    <w:p>
      <w:pPr>
        <w:spacing w:before="26" w:after="0"/>
        <w:ind w:left="0"/>
        <w:jc w:val="left"/>
        <w:textAlignment w:val="auto"/>
      </w:pPr>
      <w:r>
        <w:rPr>
          <w:rFonts w:ascii="Times New Roman"/>
          <w:b w:val="false"/>
          <w:i w:val="false"/>
          <w:color w:val="000000"/>
          <w:sz w:val="24"/>
          <w:lang w:val="pl-PL"/>
        </w:rPr>
        <w:t xml:space="preserve">6a.  </w:t>
      </w:r>
      <w:r>
        <w:rPr>
          <w:rFonts w:ascii="Times New Roman"/>
          <w:b w:val="false"/>
          <w:i w:val="false"/>
          <w:color w:val="000000"/>
          <w:sz w:val="24"/>
          <w:lang w:val="pl-PL"/>
        </w:rPr>
        <w:t xml:space="preserve"> </w:t>
      </w:r>
      <w:r>
        <w:rPr>
          <w:rFonts w:ascii="Times New Roman"/>
          <w:b w:val="false"/>
          <w:i w:val="false"/>
          <w:color w:val="000000"/>
          <w:sz w:val="24"/>
          <w:lang w:val="pl-PL"/>
        </w:rPr>
        <w:t> W przypadku podziału nieruchomości, w skład której wchodzą działki ewidencyjne, które były oznaczone przed przeprowadzeniem modernizacji, o której mowa w ust. 6, w sposób inny niż określony w § 7 ust. 6, nowo powstałe działki ewidencyjne oznacza się kolejnymi liczbami naturalnymi po najwyższym wykorzystanym numerze działki ewidencyjnej w obrębie ewidencyjnym.</w:t>
      </w:r>
    </w:p>
    <w:p>
      <w:pPr>
        <w:spacing w:before="26" w:after="0"/>
        <w:ind w:left="0"/>
        <w:jc w:val="left"/>
        <w:textAlignment w:val="auto"/>
      </w:pPr>
      <w:r>
        <w:rPr>
          <w:rFonts w:ascii="Times New Roman"/>
          <w:b w:val="false"/>
          <w:i w:val="false"/>
          <w:color w:val="000000"/>
          <w:sz w:val="24"/>
          <w:lang w:val="pl-PL"/>
        </w:rPr>
        <w:t>7. </w:t>
      </w:r>
      <w:r>
        <w:rPr>
          <w:rFonts w:ascii="Times New Roman"/>
          <w:b w:val="false"/>
          <w:i w:val="false"/>
          <w:color w:val="000000"/>
          <w:sz w:val="24"/>
          <w:lang w:val="pl-PL"/>
        </w:rPr>
        <w:t>Informację o dostosowaniu, o którym mowa w ust. 4-6, starosta zamieszcza na stronach internetowych Biuletynu Informacji Publicznej oraz ogłasza w sposób zwyczajowo przyjęty w danej miejscowości, na okres 14 dni.</w:t>
      </w:r>
    </w:p>
    <w:p>
      <w:pPr>
        <w:spacing w:before="26" w:after="0"/>
        <w:ind w:left="0"/>
        <w:jc w:val="left"/>
        <w:textAlignment w:val="auto"/>
      </w:pPr>
      <w:r>
        <w:rPr>
          <w:rFonts w:ascii="Times New Roman"/>
          <w:b w:val="false"/>
          <w:i w:val="false"/>
          <w:color w:val="000000"/>
          <w:sz w:val="24"/>
          <w:lang w:val="pl-PL"/>
        </w:rPr>
        <w:t>8. </w:t>
      </w:r>
      <w:r>
        <w:rPr>
          <w:rFonts w:ascii="Times New Roman"/>
          <w:b w:val="false"/>
          <w:i w:val="false"/>
          <w:color w:val="000000"/>
          <w:sz w:val="24"/>
          <w:lang w:val="pl-PL"/>
        </w:rPr>
        <w:t>Przepisów § 28 ust. 1 i 2 nie stosuje się, jeżeli do dnia wejścia w życie rozporządzenia zostało wszczęte postępowanie o udzielenie zamówienia publicznego dotyczącego założenia albo modernizacji ewidencji.</w:t>
      </w:r>
    </w:p>
    <w:p>
      <w:pPr>
        <w:spacing w:before="26" w:after="240"/>
        <w:ind w:left="0"/>
        <w:jc w:val="left"/>
        <w:textAlignment w:val="auto"/>
      </w:pPr>
      <w:r>
        <w:rPr>
          <w:rFonts w:ascii="Times New Roman"/>
          <w:b/>
          <w:i w:val="false"/>
          <w:color w:val="000000"/>
          <w:sz w:val="24"/>
          <w:lang w:val="pl-PL"/>
        </w:rPr>
        <w:t>§  45. </w:t>
      </w:r>
      <w:r>
        <w:rPr>
          <w:rFonts w:ascii="Times New Roman"/>
          <w:b/>
          <w:i w:val="false"/>
          <w:color w:val="000000"/>
          <w:sz w:val="24"/>
          <w:lang w:val="pl-PL"/>
        </w:rPr>
        <w:t xml:space="preserve"> [Modyfikacja i dostosowanie danych ewidencyjnych niespełniających obowiązujących standardów technicznych]</w:t>
      </w:r>
      <w:r>
        <w:rPr>
          <w:rFonts w:ascii="Times New Roman"/>
          <w:b w:val="false"/>
          <w:i w:val="false"/>
          <w:color w:val="000000"/>
          <w:sz w:val="24"/>
          <w:lang w:val="pl-PL"/>
        </w:rPr>
        <w:t>Dane ewidencyjne niespełniające obowiązujących standardów technicznych podlegają systematycznej modyfikacji i dostosowywaniu w ramach bieżącej aktualizacji ewidencji.</w:t>
      </w:r>
    </w:p>
    <w:p>
      <w:pPr>
        <w:spacing w:before="26" w:after="240"/>
        <w:ind w:left="0"/>
        <w:jc w:val="left"/>
        <w:textAlignment w:val="auto"/>
      </w:pPr>
      <w:r>
        <w:rPr>
          <w:rFonts w:ascii="Times New Roman"/>
          <w:b/>
          <w:i w:val="false"/>
          <w:color w:val="000000"/>
          <w:sz w:val="24"/>
          <w:lang w:val="pl-PL"/>
        </w:rPr>
        <w:t>§  46. </w:t>
      </w:r>
      <w:r>
        <w:rPr>
          <w:rFonts w:ascii="Times New Roman"/>
          <w:b w:val="false"/>
          <w:i w:val="false"/>
          <w:color w:val="000000"/>
          <w:sz w:val="24"/>
          <w:lang w:val="pl-PL"/>
        </w:rPr>
        <w:t>(uchylony).</w:t>
      </w:r>
    </w:p>
    <w:p>
      <w:pPr>
        <w:spacing w:before="26" w:after="240"/>
        <w:ind w:left="0"/>
        <w:jc w:val="left"/>
        <w:textAlignment w:val="auto"/>
      </w:pPr>
      <w:r>
        <w:rPr>
          <w:rFonts w:ascii="Times New Roman"/>
          <w:b/>
          <w:i w:val="false"/>
          <w:color w:val="000000"/>
          <w:sz w:val="24"/>
          <w:lang w:val="pl-PL"/>
        </w:rPr>
        <w:t>§  47. </w:t>
      </w:r>
      <w:r>
        <w:rPr>
          <w:rFonts w:ascii="Times New Roman"/>
          <w:b/>
          <w:i w:val="false"/>
          <w:color w:val="000000"/>
          <w:sz w:val="24"/>
          <w:lang w:val="pl-PL"/>
        </w:rPr>
        <w:t xml:space="preserve"> [Prace geodezyjne niezakończone przed wejściem w życie rozporządzenia]</w:t>
      </w:r>
      <w:r>
        <w:rPr>
          <w:rFonts w:ascii="Times New Roman"/>
          <w:b w:val="false"/>
          <w:i w:val="false"/>
          <w:color w:val="000000"/>
          <w:sz w:val="24"/>
          <w:lang w:val="pl-PL"/>
        </w:rPr>
        <w:t>Do prac geodezyjnych zgłoszonych i niezakończonych przed dniem wejścia w życie rozporządzenia dopuszcza się stosowanie przepisów dotychczasowych, nie dłużej jednak niż do dnia 31 grudnia 2021 r.</w:t>
      </w:r>
    </w:p>
    <w:p>
      <w:pPr>
        <w:spacing w:before="26" w:after="240"/>
        <w:ind w:left="0"/>
        <w:jc w:val="left"/>
        <w:textAlignment w:val="auto"/>
      </w:pPr>
      <w:r>
        <w:rPr>
          <w:rFonts w:ascii="Times New Roman"/>
          <w:b/>
          <w:i w:val="false"/>
          <w:color w:val="000000"/>
          <w:sz w:val="24"/>
          <w:lang w:val="pl-PL"/>
        </w:rPr>
        <w:t>§  48. </w:t>
      </w:r>
      <w:r>
        <w:rPr>
          <w:rFonts w:ascii="Times New Roman"/>
          <w:b/>
          <w:i w:val="false"/>
          <w:color w:val="000000"/>
          <w:sz w:val="24"/>
          <w:lang w:val="pl-PL"/>
        </w:rPr>
        <w:t xml:space="preserve"> [Wejście w życie]</w:t>
      </w:r>
      <w:r>
        <w:rPr>
          <w:rFonts w:ascii="Times New Roman"/>
          <w:b w:val="false"/>
          <w:i w:val="false"/>
          <w:color w:val="000000"/>
          <w:sz w:val="24"/>
          <w:lang w:val="pl-PL"/>
        </w:rPr>
        <w:t xml:space="preserve">Rozporządzenie wchodzi w życie z dniem 31 lipca 2021 r. </w:t>
      </w:r>
      <w:r>
        <w:rPr>
          <w:rFonts w:ascii="Times New Roman"/>
          <w:b w:val="false"/>
          <w:i w:val="false"/>
          <w:color w:val="000000"/>
          <w:sz w:val="24"/>
          <w:lang w:val="pl-PL"/>
        </w:rPr>
        <w:t xml:space="preserve"> </w:t>
      </w:r>
    </w:p>
    <w:p>
      <w:pPr>
        <w:spacing w:after="0"/>
        <w:ind w:left="0"/>
        <w:jc w:val="left"/>
        <w:textAlignment w:val="auto"/>
      </w:pPr>
    </w:p>
    <w:p>
      <w:pPr>
        <w:spacing w:before="169" w:after="0"/>
        <w:ind w:left="0"/>
        <w:jc w:val="center"/>
        <w:textAlignment w:val="auto"/>
      </w:pPr>
      <w:r>
        <w:rPr>
          <w:rFonts w:ascii="Times New Roman"/>
          <w:b/>
          <w:i w:val="false"/>
          <w:color w:val="000000"/>
          <w:sz w:val="24"/>
          <w:lang w:val="pl-PL"/>
        </w:rPr>
        <w:t>ZAŁĄCZNIKI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 xml:space="preserve">ZAŁĄCZNIK Nr  1  </w:t>
      </w:r>
      <w:r>
        <w:rPr>
          <w:rFonts w:ascii="Times New Roman"/>
          <w:b/>
          <w:i w:val="false"/>
          <w:color w:val="000000"/>
          <w:sz w:val="24"/>
          <w:lang w:val="pl-PL"/>
        </w:rPr>
        <w:t xml:space="preserve"> </w:t>
      </w:r>
    </w:p>
    <w:p>
      <w:pPr>
        <w:spacing w:before="25" w:after="0"/>
        <w:ind w:left="0"/>
        <w:jc w:val="center"/>
        <w:textAlignment w:val="auto"/>
      </w:pPr>
      <w:r>
        <w:rPr>
          <w:rFonts w:ascii="Times New Roman"/>
          <w:b/>
          <w:i w:val="false"/>
          <w:color w:val="000000"/>
          <w:sz w:val="24"/>
          <w:lang w:val="pl-PL"/>
        </w:rPr>
        <w:t>ZALICZANIE GRUNTÓW DO POSZCZEGÓLNYCH UŻYTKÓW GRUNTOWYCH</w:t>
      </w:r>
    </w:p>
    <w:p>
      <w:pPr>
        <w:spacing w:after="0"/>
        <w:ind w:left="0"/>
        <w:jc w:val="left"/>
        <w:textAlignment w:val="auto"/>
      </w:pPr>
      <w:r>
        <w:rPr>
          <w:rFonts w:ascii="Times New Roman"/>
          <w:b w:val="false"/>
          <w:i w:val="false"/>
          <w:color w:val="000000"/>
          <w:sz w:val="24"/>
          <w:lang w:val="pl-PL"/>
        </w:rPr>
        <w:t>1. Zasady zaliczania gruntów do poszczególnych użytków gruntowych zawiera poniższa tabela:</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60"/>
        <w:gridCol w:w="3504"/>
        <w:gridCol w:w="9675"/>
      </w:tblGrid>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Lp.</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Użytek gruntowy</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Cechy opisujące użytki gruntowe</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1</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2</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3</w:t>
            </w:r>
          </w:p>
        </w:tc>
      </w:tr>
      <w:tr>
        <w:trPr>
          <w:trHeight w:val="45" w:hRule="atLeast"/>
        </w:trPr>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Grunty rolne</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orne - R</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gruntów ornych zalicza się grunty:</w:t>
            </w:r>
          </w:p>
          <w:p>
            <w:pPr>
              <w:spacing w:before="25" w:after="0"/>
              <w:ind w:left="0"/>
              <w:jc w:val="left"/>
              <w:textAlignment w:val="auto"/>
            </w:pPr>
            <w:r>
              <w:rPr>
                <w:rFonts w:ascii="Times New Roman"/>
                <w:b w:val="false"/>
                <w:i w:val="false"/>
                <w:color w:val="000000"/>
                <w:sz w:val="24"/>
                <w:lang w:val="pl-PL"/>
              </w:rPr>
              <w:t>1) poddane stałej uprawie mechanicznej mającej na celu produkcję rolniczą lub ogrodniczą;</w:t>
            </w:r>
          </w:p>
          <w:p>
            <w:pPr>
              <w:spacing w:before="25" w:after="0"/>
              <w:ind w:left="0"/>
              <w:jc w:val="left"/>
              <w:textAlignment w:val="auto"/>
            </w:pPr>
            <w:r>
              <w:rPr>
                <w:rFonts w:ascii="Times New Roman"/>
                <w:b w:val="false"/>
                <w:i w:val="false"/>
                <w:color w:val="000000"/>
                <w:sz w:val="24"/>
                <w:lang w:val="pl-PL"/>
              </w:rPr>
              <w:t>2) nadające się do uprawy, o której mowa w pkt 1, ale zajęte pod plantacje chmielu, wikliny lub drzew ozdobnych, w tym choinek, oraz szkółki ozdobnych drzew lub krzewów, lub na których urządzone zostały rodzinne ogrody działkowe;</w:t>
            </w:r>
          </w:p>
          <w:p>
            <w:pPr>
              <w:spacing w:before="25" w:after="0"/>
              <w:ind w:left="0"/>
              <w:jc w:val="left"/>
              <w:textAlignment w:val="auto"/>
            </w:pPr>
            <w:r>
              <w:rPr>
                <w:rFonts w:ascii="Times New Roman"/>
                <w:b w:val="false"/>
                <w:i w:val="false"/>
                <w:color w:val="000000"/>
                <w:sz w:val="24"/>
                <w:lang w:val="pl-PL"/>
              </w:rPr>
              <w:t>3) zajęte pod urządzenia i budowle wspomagające produkcję rolniczą lub ogrodniczą i położone poza działką siedliskową;</w:t>
            </w:r>
          </w:p>
          <w:p>
            <w:pPr>
              <w:spacing w:before="25" w:after="0"/>
              <w:ind w:left="0"/>
              <w:jc w:val="left"/>
              <w:textAlignment w:val="auto"/>
            </w:pPr>
            <w:r>
              <w:rPr>
                <w:rFonts w:ascii="Times New Roman"/>
                <w:b w:val="false"/>
                <w:i w:val="false"/>
                <w:color w:val="000000"/>
                <w:sz w:val="24"/>
                <w:lang w:val="pl-PL"/>
              </w:rPr>
              <w:t>4) utrzymywane w postaci ugoru lub odłogowane.</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Sady - S</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Do sadów zalicza się grunty o powierzchni co najmniej 0,1000 ha, na</w:t>
            </w:r>
          </w:p>
          <w:p>
            <w:pPr>
              <w:spacing w:before="25" w:after="0"/>
              <w:ind w:left="0"/>
              <w:jc w:val="left"/>
              <w:textAlignment w:val="auto"/>
            </w:pPr>
            <w:r>
              <w:rPr>
                <w:rFonts w:ascii="Times New Roman"/>
                <w:b w:val="false"/>
                <w:i w:val="false"/>
                <w:color w:val="000000"/>
                <w:sz w:val="24"/>
                <w:lang w:val="pl-PL"/>
              </w:rPr>
              <w:t>których w zwartym nasadzeniu rosną drzewa owocowe lub krzewy owocowe (minimum 600 drzew lub 2000 krzewów na 1 ha), lub na których założone zostały szkółki owocowych drzew lub krzewów lub winnice.</w:t>
            </w:r>
          </w:p>
          <w:p>
            <w:pPr>
              <w:spacing w:before="25" w:after="0"/>
              <w:ind w:left="0"/>
              <w:jc w:val="left"/>
              <w:textAlignment w:val="auto"/>
            </w:pPr>
            <w:r>
              <w:rPr>
                <w:rFonts w:ascii="Times New Roman"/>
                <w:b w:val="false"/>
                <w:i w:val="false"/>
                <w:color w:val="000000"/>
                <w:sz w:val="24"/>
                <w:lang w:val="pl-PL"/>
              </w:rPr>
              <w:t>2. Grunty o cechach określonych w ust. 1 o powierzchni mniejszej niż 0,1000 ha zalicza się do użytku gruntowego, na którym nasadzono owocowe drzewa lub krzewy.</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Łąki trwałe - Ł</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łąk trwałych zalicza się grunty pokryte zwartą wieloletnią roślinnością, złożoną z licznych gatunków traw, roślin motylkowych i ziół, tworzących ruń łąkową, systematycznie koszoną, a w rejonach górskich - hale i połoniny z zasady koszone, w tym grunty zajęte pod urządzenia i budowle wspomagające hodowlę zwierząt gospodarskich, takie jak wiaty oraz kojce dla tych zwierząt oraz budynki inwentarsko-składowe służące gospodarce rolnej, położone poza zabudową zagrodową.</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Pastwiska trwałe - Ps</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pastwisk trwałych zalicza się grunty pokryte podobną jak na łąkach roślinnością, na których z zasady wypasane są zwierzęta gospodarskie, a w rejonach górskich hale i połoniny, które z zasady nie są koszone, lecz na których wypasane są zwierzęta gospodarskie, w tym grunty zajęte pod urządzenia i budowle wspomagające hodowlę zwierząt gospodarskich, takie jak wiaty oraz kojce dla tych zwierząt, położone poza zabudową zagrodową.</w:t>
            </w:r>
          </w:p>
        </w:tc>
      </w:tr>
      <w:tr>
        <w:trPr>
          <w:trHeight w:val="30" w:hRule="atLeast"/>
        </w:trPr>
        <w:tc>
          <w:tcPr>
            <w:tcW w:w="56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350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rolne zabudowane -Br</w:t>
            </w:r>
          </w:p>
        </w:tc>
        <w:tc>
          <w:tcPr>
            <w:tcW w:w="9675" w:type="dxa"/>
            <w:tcBorders>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Do gruntów rolnych zabudowanych zalicza się grunty zajęte pod:</w:t>
            </w:r>
          </w:p>
          <w:p>
            <w:pPr>
              <w:spacing w:before="25" w:after="0"/>
              <w:ind w:left="0"/>
              <w:jc w:val="left"/>
              <w:textAlignment w:val="auto"/>
            </w:pPr>
            <w:r>
              <w:rPr>
                <w:rFonts w:ascii="Times New Roman"/>
                <w:b w:val="false"/>
                <w:i w:val="false"/>
                <w:color w:val="000000"/>
                <w:sz w:val="24"/>
                <w:lang w:val="pl-PL"/>
              </w:rPr>
              <w:t>1) budynki przeznaczone do produkcji rolniczej, nie wyłączając produkcji rybnej, w szczególności: spichlerze, przechowalnie owoców i warzyw, stodoły, budynki inwentarskie, budynki na sprzęt rolniczy, magazyny i sortownie ryb, wylęgarnie ryb, podchowalnie ryb, wędzarnie, przetwórnie, chłodnie, a także budowle i urządzenia rolnicze, w szczególności: zbiorniki na płynne odchody zwierzęce, płyty do składowania obornika, silosy na kiszonki, silosy na zboże i pasze, komory fermentacyjne i zbiorniki biogazu rolniczego, a także instalacje służące do otrzymywania biogazu rolniczego, place składowe, place postojowe i manewrowe dla maszyn rolniczych;</w:t>
            </w:r>
          </w:p>
          <w:p>
            <w:pPr>
              <w:spacing w:before="25" w:after="0"/>
              <w:ind w:left="0"/>
              <w:jc w:val="left"/>
              <w:textAlignment w:val="auto"/>
            </w:pPr>
            <w:r>
              <w:rPr>
                <w:rFonts w:ascii="Times New Roman"/>
                <w:b w:val="false"/>
                <w:i w:val="false"/>
                <w:color w:val="000000"/>
                <w:sz w:val="24"/>
                <w:lang w:val="pl-PL"/>
              </w:rPr>
              <w:t>2) budynki przeznaczone do przetwórstwa rolno-spożywczego, z wyłączeniem gruntów zajętych pod przemysłowe zakłady przetwórstwa rolniczego bazujących na surowcach pochodzących spoza gospodarstwa rolnego, w skład którego wchodzą te budynki;</w:t>
            </w:r>
          </w:p>
          <w:p>
            <w:pPr>
              <w:spacing w:before="25" w:after="0"/>
              <w:ind w:left="0"/>
              <w:jc w:val="left"/>
              <w:textAlignment w:val="auto"/>
            </w:pPr>
            <w:r>
              <w:rPr>
                <w:rFonts w:ascii="Times New Roman"/>
                <w:b w:val="false"/>
                <w:i w:val="false"/>
                <w:color w:val="000000"/>
                <w:sz w:val="24"/>
                <w:lang w:val="pl-PL"/>
              </w:rPr>
              <w:t>3) budynki mieszkalne oraz inne budynki i urządzenia, takie jak: komórki, garaże, szopy, kotłownie, podwórza, śmietniki, składowiska odpadów, jeżeli z gruntami, budynkami, budowlami lub urządzeniami, o których mowa w pkt 1 i 2, tworzą</w:t>
            </w: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zorganizowaną całość gospodarczą i są położone w tej samej miejscowości lub w bezpośrednim sąsiedztwie w miejscowości sąsiedniej.</w:t>
            </w:r>
          </w:p>
          <w:p>
            <w:pPr>
              <w:spacing w:before="25" w:after="0"/>
              <w:ind w:left="0"/>
              <w:jc w:val="left"/>
              <w:textAlignment w:val="auto"/>
            </w:pPr>
            <w:r>
              <w:rPr>
                <w:rFonts w:ascii="Times New Roman"/>
                <w:b w:val="false"/>
                <w:i w:val="false"/>
                <w:color w:val="000000"/>
                <w:sz w:val="24"/>
                <w:lang w:val="pl-PL"/>
              </w:rPr>
              <w:t>2. Do gruntów rolnych zabudowanych zalicza się także:</w:t>
            </w:r>
          </w:p>
          <w:p>
            <w:pPr>
              <w:spacing w:before="25" w:after="0"/>
              <w:ind w:left="0"/>
              <w:jc w:val="left"/>
              <w:textAlignment w:val="auto"/>
            </w:pPr>
            <w:r>
              <w:rPr>
                <w:rFonts w:ascii="Times New Roman"/>
                <w:b w:val="false"/>
                <w:i w:val="false"/>
                <w:color w:val="000000"/>
                <w:sz w:val="24"/>
                <w:lang w:val="pl-PL"/>
              </w:rPr>
              <w:t>1) grunty położone między budynkami i urządzeniami, o których mowa w ust. 1 pkt 1-3, lub w bezpośrednim sąsiedztwie tych budynków i urządzeń, i niewykorzystywane na inny cel, który uzasadniałby zaliczenie ich do innej grupy użytków gruntowych, w tym zajęte pod rabaty, kwietniki, warzywniki;</w:t>
            </w:r>
          </w:p>
          <w:p>
            <w:pPr>
              <w:spacing w:before="25" w:after="0"/>
              <w:ind w:left="0"/>
              <w:jc w:val="left"/>
              <w:textAlignment w:val="auto"/>
            </w:pPr>
            <w:r>
              <w:rPr>
                <w:rFonts w:ascii="Times New Roman"/>
                <w:b w:val="false"/>
                <w:i w:val="false"/>
                <w:color w:val="000000"/>
                <w:sz w:val="24"/>
                <w:lang w:val="pl-PL"/>
              </w:rPr>
              <w:t xml:space="preserve">2) grunty zajęte pod budynki, budowle i urządzenia, o których mowa w ust. 1, niewykorzystywane obecnie do produkcji rolniczej, jeżeli grunty te nie zostały wyłączone z produkcji rolnej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3 lutego 1995 r. o ochronie gruntów rolnych i leśnych (Dz. U. z 2024 r. poz. 82).</w:t>
            </w:r>
          </w:p>
          <w:p>
            <w:pPr>
              <w:spacing w:before="25" w:after="0"/>
              <w:ind w:left="0"/>
              <w:jc w:val="left"/>
              <w:textAlignment w:val="auto"/>
            </w:pPr>
            <w:r>
              <w:rPr>
                <w:rFonts w:ascii="Times New Roman"/>
                <w:b w:val="false"/>
                <w:i w:val="false"/>
                <w:color w:val="000000"/>
                <w:sz w:val="24"/>
                <w:lang w:val="pl-PL"/>
              </w:rPr>
              <w:t xml:space="preserve">3) grunty pod budynkami, budowlami i urządzeniami wchodzące w skład biogazowni rolniczej spełniającej warunki określone w </w:t>
            </w:r>
            <w:r>
              <w:rPr>
                <w:rFonts w:ascii="Times New Roman"/>
                <w:b w:val="false"/>
                <w:i w:val="false"/>
                <w:color w:val="1b1b1b"/>
                <w:sz w:val="24"/>
                <w:lang w:val="pl-PL"/>
              </w:rPr>
              <w:t>art. 4 ust. 1</w:t>
            </w:r>
            <w:r>
              <w:rPr>
                <w:rFonts w:ascii="Times New Roman"/>
                <w:b w:val="false"/>
                <w:i w:val="false"/>
                <w:color w:val="000000"/>
                <w:sz w:val="24"/>
                <w:lang w:val="pl-PL"/>
              </w:rPr>
              <w:t xml:space="preserve"> ustawy z dnia 13 lipca 2023 r. o ułatwieniach w przygotowaniu i realizacji inwestycji w zakresie biogazowni rolniczych, a także ich funkcjonowaniu (Dz. U. poz. 1597), a także grunty położone między tymi budynkami, budowlami i urządzeniami lub w ich bezpośrednim sąsiedztwie, tworzące zorganizowaną całość gospodarczą, w tym zajęte pod dojazdy, place składowe, postojowe i manewrowe, śmietniki, miejsca magazynowania odpadów i ogrodzenia, o ile ich łączna powierzchnia nie jest większa niż 1,0000 ha i wchodzą one w skład gospodarstwa rolnego.</w:t>
            </w:r>
          </w:p>
          <w:p>
            <w:pPr>
              <w:spacing w:before="25" w:after="0"/>
              <w:ind w:left="0"/>
              <w:jc w:val="left"/>
              <w:textAlignment w:val="auto"/>
            </w:pPr>
            <w:r>
              <w:rPr>
                <w:rFonts w:ascii="Times New Roman"/>
                <w:b w:val="false"/>
                <w:i w:val="false"/>
                <w:color w:val="000000"/>
                <w:sz w:val="24"/>
                <w:lang w:val="pl-PL"/>
              </w:rPr>
              <w:t>3. W przypadku gdy w skład siedliska usytuowanego na gruncie rolnym wchodzi wyłącznie budynek mieszkalny i urządzenia, o których mowa w ust. 1 pkt 3, to grunt w granicach tego siedliska zalicza się do gruntów rolnych zabudowanych, jeżeli z miejscowego planu zagospodarowania przestrzennego albo z decyzji o warunkach zabudowy wydanej w związku z budową tego budynku wynika, że przeznaczony jest tylko pod zabudowę zagrodową, albo też z projektu budowlanego stanowiącego załącznik do ważnego pozwolenia na budowę lub zgłoszenia budowy upoważniającego do rozpoczęcia budowy wynika, że na gruncie tym mogą być budowane budynki i urządzenia, o których mowa w ust. 1 pkt 1 i 2.</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zadrzewione i zakrzewione na użytkach rolnych - Lzr</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gruntów zadrzewionych i zakrzewionych na użytkach rolnych zalicza się grunty, będące enklawami lub półenklawami użytków rolnych, na których znajdują się śródpolne skupiska drzew i krzewów lub tylko drzew, w wieku powyżej 10 lat, niezaliczone do lasów lub sadów.</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7</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pod stawami - Wsr</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gruntów pod stawami zalicza się grunty pod zbiornikami wodnymi (z wyjątkiem jezior i zbiorników zaporowych z urządzeniami do regulacji poziomu wód), wyposażonymi w urządzenia hydrotechniczne nadające się do chowu, hodowli i przetrzymywania ryb, obejmujące powierzchnię ogroblowaną wraz z systemem rowów oraz tereny przyległe do stawów i z nimi związane, a należące do obiektu stawowego.</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8</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pod rowami - W</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Do gruntów rolnych pod rowami zalicza się grunty zajęte pod rowy, o których mowa w </w:t>
            </w:r>
            <w:r>
              <w:rPr>
                <w:rFonts w:ascii="Times New Roman"/>
                <w:b w:val="false"/>
                <w:i w:val="false"/>
                <w:color w:val="1b1b1b"/>
                <w:sz w:val="24"/>
                <w:lang w:val="pl-PL"/>
              </w:rPr>
              <w:t>art. 16 pkt 47</w:t>
            </w:r>
            <w:r>
              <w:rPr>
                <w:rFonts w:ascii="Times New Roman"/>
                <w:b w:val="false"/>
                <w:i w:val="false"/>
                <w:color w:val="000000"/>
                <w:sz w:val="24"/>
                <w:lang w:val="pl-PL"/>
              </w:rPr>
              <w:t xml:space="preserve"> ustawy z dnia 20 lipca 2017 r. - Prawo wodne (Dz. U. z 2023 r. poz. 1478, z późn. zm.), pełniące funkcje urządzeń melioracji wodnych.</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9</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Nieużytki - N</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nieużytków zalicza się grunty rolne nienadające się bez znacznych nakładów do działalności wytwórczej w rolnictwie, w szczególności:</w:t>
            </w:r>
          </w:p>
          <w:p>
            <w:pPr>
              <w:spacing w:before="25" w:after="0"/>
              <w:ind w:left="0"/>
              <w:jc w:val="left"/>
              <w:textAlignment w:val="auto"/>
            </w:pPr>
            <w:r>
              <w:rPr>
                <w:rFonts w:ascii="Times New Roman"/>
                <w:b w:val="false"/>
                <w:i w:val="false"/>
                <w:color w:val="000000"/>
                <w:sz w:val="24"/>
                <w:lang w:val="pl-PL"/>
              </w:rPr>
              <w:t>1) bagna (błota, topieliska, trzęsawiska, moczary, rojsty);</w:t>
            </w:r>
          </w:p>
          <w:p>
            <w:pPr>
              <w:spacing w:before="25" w:after="0"/>
              <w:ind w:left="0"/>
              <w:jc w:val="left"/>
              <w:textAlignment w:val="auto"/>
            </w:pPr>
            <w:r>
              <w:rPr>
                <w:rFonts w:ascii="Times New Roman"/>
                <w:b w:val="false"/>
                <w:i w:val="false"/>
                <w:color w:val="000000"/>
                <w:sz w:val="24"/>
                <w:lang w:val="pl-PL"/>
              </w:rPr>
              <w:t>2) piaski (piaski ruchome, piaski nadbrzeżne, wydmy);</w:t>
            </w:r>
          </w:p>
          <w:p>
            <w:pPr>
              <w:spacing w:before="25" w:after="0"/>
              <w:ind w:left="0"/>
              <w:jc w:val="left"/>
              <w:textAlignment w:val="auto"/>
            </w:pPr>
            <w:r>
              <w:rPr>
                <w:rFonts w:ascii="Times New Roman"/>
                <w:b w:val="false"/>
                <w:i w:val="false"/>
                <w:color w:val="000000"/>
                <w:sz w:val="24"/>
                <w:lang w:val="pl-PL"/>
              </w:rPr>
              <w:t>3) naturalne utwory fizjograficzne, takie jak: urwiska, strome stoki, uskoki, skały, rumowiska, zapadliska, nisze osuwiskowe, piargi;</w:t>
            </w:r>
          </w:p>
          <w:p>
            <w:pPr>
              <w:spacing w:before="25" w:after="0"/>
              <w:ind w:left="0"/>
              <w:jc w:val="left"/>
              <w:textAlignment w:val="auto"/>
            </w:pPr>
            <w:r>
              <w:rPr>
                <w:rFonts w:ascii="Times New Roman"/>
                <w:b w:val="false"/>
                <w:i w:val="false"/>
                <w:color w:val="000000"/>
                <w:sz w:val="24"/>
                <w:lang w:val="pl-PL"/>
              </w:rPr>
              <w:t>4) grunty pokryte wodami, które nie nadają się do produkcji rybnej (sadzawki, wodopoje, doły potorfowe);</w:t>
            </w:r>
          </w:p>
          <w:p>
            <w:pPr>
              <w:spacing w:before="25" w:after="0"/>
              <w:ind w:left="0"/>
              <w:jc w:val="left"/>
              <w:textAlignment w:val="auto"/>
            </w:pPr>
            <w:r>
              <w:rPr>
                <w:rFonts w:ascii="Times New Roman"/>
                <w:b w:val="false"/>
                <w:i w:val="false"/>
                <w:color w:val="000000"/>
                <w:sz w:val="24"/>
                <w:lang w:val="pl-PL"/>
              </w:rPr>
              <w:t>5) (uchylony).</w:t>
            </w:r>
          </w:p>
        </w:tc>
      </w:tr>
      <w:tr>
        <w:trPr>
          <w:trHeight w:val="45" w:hRule="atLeast"/>
        </w:trPr>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Grunty leśne oraz zadrzewione i zakrzewione</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10</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Lasy - Ls</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Do lasów zalicza się grunty określone jako "las" w </w:t>
            </w:r>
            <w:r>
              <w:rPr>
                <w:rFonts w:ascii="Times New Roman"/>
                <w:b w:val="false"/>
                <w:i w:val="false"/>
                <w:color w:val="1b1b1b"/>
                <w:sz w:val="24"/>
                <w:lang w:val="pl-PL"/>
              </w:rPr>
              <w:t>ustawie</w:t>
            </w:r>
            <w:r>
              <w:rPr>
                <w:rFonts w:ascii="Times New Roman"/>
                <w:b w:val="false"/>
                <w:i w:val="false"/>
                <w:color w:val="000000"/>
                <w:sz w:val="24"/>
                <w:lang w:val="pl-PL"/>
              </w:rPr>
              <w:t xml:space="preserve"> z dnia 28 września 1991 r. o lasach (Dz. U. z 2023 r. poz. 1356, z późn. zm.).</w:t>
            </w:r>
          </w:p>
        </w:tc>
      </w:tr>
      <w:tr>
        <w:trPr>
          <w:trHeight w:val="30" w:hRule="atLeast"/>
        </w:trPr>
        <w:tc>
          <w:tcPr>
            <w:tcW w:w="56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11</w:t>
            </w:r>
          </w:p>
        </w:tc>
        <w:tc>
          <w:tcPr>
            <w:tcW w:w="350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zadrzewione i zakrzewione - Lz</w:t>
            </w:r>
          </w:p>
        </w:tc>
        <w:tc>
          <w:tcPr>
            <w:tcW w:w="9675" w:type="dxa"/>
            <w:tcBorders>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Gruntami zadrzewionymi i zakrzewionymi są grunty porośnięte roślinnością leśną, których powierzchnia jest mniejsza niż 0,1000 ha, a także:</w:t>
            </w:r>
          </w:p>
          <w:p>
            <w:pPr>
              <w:spacing w:before="25" w:after="0"/>
              <w:ind w:left="0"/>
              <w:jc w:val="left"/>
              <w:textAlignment w:val="auto"/>
            </w:pPr>
            <w:r>
              <w:rPr>
                <w:rFonts w:ascii="Times New Roman"/>
                <w:b w:val="false"/>
                <w:i w:val="false"/>
                <w:color w:val="000000"/>
                <w:sz w:val="24"/>
                <w:lang w:val="pl-PL"/>
              </w:rPr>
              <w:t>1) tereny torfowisk, pokrytych częściowo kępami krzewów i drzew karłowatych;</w:t>
            </w:r>
          </w:p>
          <w:p>
            <w:pPr>
              <w:spacing w:before="25" w:after="0"/>
              <w:ind w:left="0"/>
              <w:jc w:val="left"/>
              <w:textAlignment w:val="auto"/>
            </w:pPr>
            <w:r>
              <w:rPr>
                <w:rFonts w:ascii="Times New Roman"/>
                <w:b w:val="false"/>
                <w:i w:val="false"/>
                <w:color w:val="000000"/>
                <w:sz w:val="24"/>
                <w:lang w:val="pl-PL"/>
              </w:rPr>
              <w:t>2) grunty porośnięte wikliną w stanie naturalnym oraz krzewiastymi formami wierzb w dolinach rzek i obniżeniach terenu;</w:t>
            </w:r>
          </w:p>
          <w:p>
            <w:pPr>
              <w:spacing w:before="25" w:after="0"/>
              <w:ind w:left="0"/>
              <w:jc w:val="left"/>
              <w:textAlignment w:val="auto"/>
            </w:pPr>
            <w:r>
              <w:rPr>
                <w:rFonts w:ascii="Times New Roman"/>
                <w:b w:val="false"/>
                <w:i w:val="false"/>
                <w:color w:val="000000"/>
                <w:sz w:val="24"/>
                <w:lang w:val="pl-PL"/>
              </w:rPr>
              <w:t>3) przylegające do wód powierzchniowych grunty porośnięte drzewami lub krzewami, stanowiące biologiczną strefę ochronną</w:t>
            </w: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cieków i zbiorników wodnych;</w:t>
            </w:r>
          </w:p>
          <w:p>
            <w:pPr>
              <w:spacing w:before="25" w:after="0"/>
              <w:ind w:left="0"/>
              <w:jc w:val="left"/>
              <w:textAlignment w:val="auto"/>
            </w:pPr>
            <w:r>
              <w:rPr>
                <w:rFonts w:ascii="Times New Roman"/>
                <w:b w:val="false"/>
                <w:i w:val="false"/>
                <w:color w:val="000000"/>
                <w:sz w:val="24"/>
                <w:lang w:val="pl-PL"/>
              </w:rPr>
              <w:t>4) jary i wąwozy pokryte drzewami i krzewami w sposób naturalny lub sztuczny w celu zabezpieczenia przed erozją, niezaliczone do lasów;</w:t>
            </w:r>
          </w:p>
          <w:p>
            <w:pPr>
              <w:spacing w:before="25" w:after="0"/>
              <w:ind w:left="0"/>
              <w:jc w:val="left"/>
              <w:textAlignment w:val="auto"/>
            </w:pPr>
            <w:r>
              <w:rPr>
                <w:rFonts w:ascii="Times New Roman"/>
                <w:b w:val="false"/>
                <w:i w:val="false"/>
                <w:color w:val="000000"/>
                <w:sz w:val="24"/>
                <w:lang w:val="pl-PL"/>
              </w:rPr>
              <w:t>5) wysypiska kamieni i gruzowiska porośnięte drzewami i krzewami;</w:t>
            </w:r>
          </w:p>
          <w:p>
            <w:pPr>
              <w:spacing w:before="25" w:after="0"/>
              <w:ind w:left="0"/>
              <w:jc w:val="left"/>
              <w:textAlignment w:val="auto"/>
            </w:pPr>
            <w:r>
              <w:rPr>
                <w:rFonts w:ascii="Times New Roman"/>
                <w:b w:val="false"/>
                <w:i w:val="false"/>
                <w:color w:val="000000"/>
                <w:sz w:val="24"/>
                <w:lang w:val="pl-PL"/>
              </w:rPr>
              <w:t>6) skupiska drzew i krzewów mające charakter parku, ale niewyposażone w urządzenia i budowle służące rekreacji i wypoczynkowi;</w:t>
            </w:r>
          </w:p>
          <w:p>
            <w:pPr>
              <w:spacing w:before="25" w:after="0"/>
              <w:ind w:left="0"/>
              <w:jc w:val="left"/>
              <w:textAlignment w:val="auto"/>
            </w:pPr>
            <w:r>
              <w:rPr>
                <w:rFonts w:ascii="Times New Roman"/>
                <w:b w:val="false"/>
                <w:i w:val="false"/>
                <w:color w:val="000000"/>
                <w:sz w:val="24"/>
                <w:lang w:val="pl-PL"/>
              </w:rPr>
              <w:t>7) zadrzewione i zakrzewione tereny nieczynnych cmentarzy.</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12</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(uchylona)</w:t>
            </w:r>
          </w:p>
        </w:tc>
        <w:tc>
          <w:tcPr>
            <w:tcW w:w="967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Grunty zabudowane i zurbanizowane</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13</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Tereny mieszkaniowe - B</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terenów mieszkaniowych zalicza się grunty, niewchodzące w skład gruntów rolnych zabudowanych, o których mowa w lp. 5:</w:t>
            </w:r>
          </w:p>
          <w:p>
            <w:pPr>
              <w:spacing w:before="25" w:after="0"/>
              <w:ind w:left="0"/>
              <w:jc w:val="left"/>
              <w:textAlignment w:val="auto"/>
            </w:pPr>
            <w:r>
              <w:rPr>
                <w:rFonts w:ascii="Times New Roman"/>
                <w:b w:val="false"/>
                <w:i w:val="false"/>
                <w:color w:val="000000"/>
                <w:sz w:val="24"/>
                <w:lang w:val="pl-PL"/>
              </w:rPr>
              <w:t>1) zajęte pod budynki mieszkalne;</w:t>
            </w:r>
          </w:p>
          <w:p>
            <w:pPr>
              <w:spacing w:before="25" w:after="0"/>
              <w:ind w:left="0"/>
              <w:jc w:val="left"/>
              <w:textAlignment w:val="auto"/>
            </w:pPr>
            <w:r>
              <w:rPr>
                <w:rFonts w:ascii="Times New Roman"/>
                <w:b w:val="false"/>
                <w:i w:val="false"/>
                <w:color w:val="000000"/>
                <w:sz w:val="24"/>
                <w:lang w:val="pl-PL"/>
              </w:rPr>
              <w:t>2) zajęte pod budynki gospodarcze i techniczne, związane funkcjonalnie z budynkami mieszkalnymi, o których mowa w pkt 1, oraz urządzenia, w szczególności: podwórza, dojazdy, przejścia, przydomowe place gier, zabaw i odpoczynku, studnie, zbiorniki, przewody naziemne, urządzenia do gromadzenia i oczyszczenia ścieków, śmietniki, składowiska odpadów, obiekty małej architektury, ogrodzenia, oczka wodne, ogródki skalne;</w:t>
            </w:r>
          </w:p>
          <w:p>
            <w:pPr>
              <w:spacing w:before="25" w:after="0"/>
              <w:ind w:left="0"/>
              <w:jc w:val="left"/>
              <w:textAlignment w:val="auto"/>
            </w:pPr>
            <w:r>
              <w:rPr>
                <w:rFonts w:ascii="Times New Roman"/>
                <w:b w:val="false"/>
                <w:i w:val="false"/>
                <w:color w:val="000000"/>
                <w:sz w:val="24"/>
                <w:lang w:val="pl-PL"/>
              </w:rPr>
              <w:t>3) położone między budynkami i urządzeniami, o których mowa w pkt 1 i 2, lub w bezpośrednim sąsiedztwie tych budynków i urządzeń i niewykorzystywane do innego celu, który uzasadniałby zaliczenie ich do innej grupy użytków gruntowych, w tym zajęte pod trawniki, rabaty, kwietniki, warzywniki.</w:t>
            </w:r>
          </w:p>
          <w:p>
            <w:pPr>
              <w:spacing w:before="25" w:after="0"/>
              <w:ind w:left="0"/>
              <w:jc w:val="left"/>
              <w:textAlignment w:val="auto"/>
            </w:pPr>
            <w:r>
              <w:rPr>
                <w:rFonts w:ascii="Times New Roman"/>
                <w:b w:val="false"/>
                <w:i w:val="false"/>
                <w:color w:val="000000"/>
                <w:sz w:val="24"/>
                <w:lang w:val="pl-PL"/>
              </w:rPr>
              <w:t xml:space="preserve">Kontur terenów mieszkaniowych nie może wykraczać poza granice działki budowlanej, o której mowa w przepisach wydanych na podstawie </w:t>
            </w:r>
            <w:r>
              <w:rPr>
                <w:rFonts w:ascii="Times New Roman"/>
                <w:b w:val="false"/>
                <w:i w:val="false"/>
                <w:color w:val="1b1b1b"/>
                <w:sz w:val="24"/>
                <w:lang w:val="pl-PL"/>
              </w:rPr>
              <w:t>art. 7 ust. 2 pkt 1</w:t>
            </w:r>
            <w:r>
              <w:rPr>
                <w:rFonts w:ascii="Times New Roman"/>
                <w:b w:val="false"/>
                <w:i w:val="false"/>
                <w:color w:val="000000"/>
                <w:sz w:val="24"/>
                <w:lang w:val="pl-PL"/>
              </w:rPr>
              <w:t xml:space="preserve"> ustawy z dnia 7 lipca 1994 r. - Prawo budowlane (Dz. U. z 2024 r. poz. 725, 834, 1222, 1847 i 1881), określone w projekcie zagospodarowania działki lub terenu stanowiącym załącznik do wniosku o pozwolenie na budowę albo zgłoszenia budowy.</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14</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Tereny przemysłowe - Ba</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terenów przemysłowych zalicza się grunty, niewchodzące w skład gruntów, o których mowa w lp. 5 ust. 2 pkt 3:</w:t>
            </w:r>
          </w:p>
          <w:p>
            <w:pPr>
              <w:spacing w:before="25" w:after="0"/>
              <w:ind w:left="0"/>
              <w:jc w:val="left"/>
              <w:textAlignment w:val="auto"/>
            </w:pPr>
            <w:r>
              <w:rPr>
                <w:rFonts w:ascii="Times New Roman"/>
                <w:b w:val="false"/>
                <w:i w:val="false"/>
                <w:color w:val="000000"/>
                <w:sz w:val="24"/>
                <w:lang w:val="pl-PL"/>
              </w:rPr>
              <w:t>1) zajęte pod budynki przemysłowe lub magazynowe oraz związane z tymi budynkami budowle i urządzenia, w szczególności: wiaty, kotłownie, zbiorniki, przewody naziemne, place składowe, place postojowe i manewrowe, ogrodzenia, śmietniki, składowiska odpadów;</w:t>
            </w:r>
          </w:p>
          <w:p>
            <w:pPr>
              <w:spacing w:before="25" w:after="0"/>
              <w:ind w:left="0"/>
              <w:jc w:val="left"/>
              <w:textAlignment w:val="auto"/>
            </w:pPr>
            <w:r>
              <w:rPr>
                <w:rFonts w:ascii="Times New Roman"/>
                <w:b w:val="false"/>
                <w:i w:val="false"/>
                <w:color w:val="000000"/>
                <w:sz w:val="24"/>
                <w:lang w:val="pl-PL"/>
              </w:rPr>
              <w:t>2) położone między budynkami, budowlami i urządzeniami, o których mowa w pkt 1, lub w bezpośrednim sąsiedztwie tych budynków i urządzeń i niewykorzystywane do innego celu, który uzasadniałby zaliczenie ich do innej grupy użytków gruntowych, w tym zajęte pod rabaty i kwietniki;</w:t>
            </w:r>
          </w:p>
          <w:p>
            <w:pPr>
              <w:spacing w:before="25" w:after="0"/>
              <w:ind w:left="0"/>
              <w:jc w:val="left"/>
              <w:textAlignment w:val="auto"/>
            </w:pPr>
            <w:r>
              <w:rPr>
                <w:rFonts w:ascii="Times New Roman"/>
                <w:b w:val="false"/>
                <w:i w:val="false"/>
                <w:color w:val="000000"/>
                <w:sz w:val="24"/>
                <w:lang w:val="pl-PL"/>
              </w:rPr>
              <w:t>3) zajęte pod bazy transportowe i remontowe, stacje transformatorowe, naziemne rurociągi, kolektory i wodociągi, hałdy i wysypiska śmieci, ujęcia wody i oczyszczalnie ścieków.</w:t>
            </w:r>
          </w:p>
          <w:p>
            <w:pPr>
              <w:spacing w:before="25" w:after="0"/>
              <w:ind w:left="0"/>
              <w:jc w:val="left"/>
              <w:textAlignment w:val="auto"/>
            </w:pPr>
            <w:r>
              <w:rPr>
                <w:rFonts w:ascii="Times New Roman"/>
                <w:b w:val="false"/>
                <w:i w:val="false"/>
                <w:color w:val="000000"/>
                <w:sz w:val="24"/>
                <w:lang w:val="pl-PL"/>
              </w:rPr>
              <w:t xml:space="preserve">Kontur terenów przemysłowych nie może wykraczać poza granice działki budowlanej, o której mowa w przepisach wydanych na podstawie </w:t>
            </w:r>
            <w:r>
              <w:rPr>
                <w:rFonts w:ascii="Times New Roman"/>
                <w:b w:val="false"/>
                <w:i w:val="false"/>
                <w:color w:val="1b1b1b"/>
                <w:sz w:val="24"/>
                <w:lang w:val="pl-PL"/>
              </w:rPr>
              <w:t>art. 7 ust. 2 pkt 1</w:t>
            </w:r>
            <w:r>
              <w:rPr>
                <w:rFonts w:ascii="Times New Roman"/>
                <w:b w:val="false"/>
                <w:i w:val="false"/>
                <w:color w:val="000000"/>
                <w:sz w:val="24"/>
                <w:lang w:val="pl-PL"/>
              </w:rPr>
              <w:t xml:space="preserve"> ustawy z dnia 7 lipca 1994 r. - Prawo budowlane, określone w projekcie zagospodarowania działki lub terenu stanowiącym załącznik do wniosku o pozwolenie na budowę albo zgłoszenia budowy.</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15</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Inne tereny zabudowane - Bi</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innych terenów zabudowanych zalicza się grunty:</w:t>
            </w:r>
          </w:p>
          <w:p>
            <w:pPr>
              <w:spacing w:before="25" w:after="0"/>
              <w:ind w:left="0"/>
              <w:jc w:val="left"/>
              <w:textAlignment w:val="auto"/>
            </w:pPr>
            <w:r>
              <w:rPr>
                <w:rFonts w:ascii="Times New Roman"/>
                <w:b w:val="false"/>
                <w:i w:val="false"/>
                <w:color w:val="000000"/>
                <w:sz w:val="24"/>
                <w:lang w:val="pl-PL"/>
              </w:rPr>
              <w:t>1) zajęte pod budynki inne niż mieszkalne, przemysłowe lub magazynowe oraz budowle lub urządzenia związane z tymi budynkami, w szczególności: kotłownie, zbiorniki, przewody naziemne, place składowe, place postojowe i manewrowe, ogrodzenia, śmietniki, składowiska odpadów;</w:t>
            </w:r>
          </w:p>
          <w:p>
            <w:pPr>
              <w:spacing w:before="25" w:after="0"/>
              <w:ind w:left="0"/>
              <w:jc w:val="left"/>
              <w:textAlignment w:val="auto"/>
            </w:pPr>
            <w:r>
              <w:rPr>
                <w:rFonts w:ascii="Times New Roman"/>
                <w:b w:val="false"/>
                <w:i w:val="false"/>
                <w:color w:val="000000"/>
                <w:sz w:val="24"/>
                <w:lang w:val="pl-PL"/>
              </w:rPr>
              <w:t>2) położone między budynkami, budowlami i urządzeniami, o których mowa w pkt 1, lub w bezpośrednim sąsiedztwie tych budynków i urządzeń i niewykorzystywane w innym celu, który uzasadniałby zaliczenie ich do innej grupy użytków gruntowych, w tym zajęte pod rabaty i kwietniki;</w:t>
            </w:r>
          </w:p>
          <w:p>
            <w:pPr>
              <w:spacing w:before="25" w:after="0"/>
              <w:ind w:left="0"/>
              <w:jc w:val="left"/>
              <w:textAlignment w:val="auto"/>
            </w:pPr>
            <w:r>
              <w:rPr>
                <w:rFonts w:ascii="Times New Roman"/>
                <w:b w:val="false"/>
                <w:i w:val="false"/>
                <w:color w:val="000000"/>
                <w:sz w:val="24"/>
                <w:lang w:val="pl-PL"/>
              </w:rPr>
              <w:t>3) zajęte pod cmentarze czynne oraz cmentarze nieczynne, ale niezaliczone do gruntów zadrzewionych i zakrzewionych, oraz grzebowiska zwierząt.</w:t>
            </w:r>
          </w:p>
          <w:p>
            <w:pPr>
              <w:spacing w:before="25" w:after="0"/>
              <w:ind w:left="0"/>
              <w:jc w:val="left"/>
              <w:textAlignment w:val="auto"/>
            </w:pPr>
            <w:r>
              <w:rPr>
                <w:rFonts w:ascii="Times New Roman"/>
                <w:b w:val="false"/>
                <w:i w:val="false"/>
                <w:color w:val="000000"/>
                <w:sz w:val="24"/>
                <w:lang w:val="pl-PL"/>
              </w:rPr>
              <w:t xml:space="preserve">Kontur innych terenów zabudowanych nie może wykraczać poza granice działki budowlanej, o której mowa w przepisach wydanych na podstawie </w:t>
            </w:r>
            <w:r>
              <w:rPr>
                <w:rFonts w:ascii="Times New Roman"/>
                <w:b w:val="false"/>
                <w:i w:val="false"/>
                <w:color w:val="1b1b1b"/>
                <w:sz w:val="24"/>
                <w:lang w:val="pl-PL"/>
              </w:rPr>
              <w:t>art. 7 ust. 2 pkt 1</w:t>
            </w:r>
            <w:r>
              <w:rPr>
                <w:rFonts w:ascii="Times New Roman"/>
                <w:b w:val="false"/>
                <w:i w:val="false"/>
                <w:color w:val="000000"/>
                <w:sz w:val="24"/>
                <w:lang w:val="pl-PL"/>
              </w:rPr>
              <w:t xml:space="preserve"> ustawy z dnia 7 lipca 1994 r. - Prawo budowlane, określone w projekcie zagospodarowania działki lub terenu stanowiącym załącznik do wniosku o pozwolenie na budowę albo zgłoszenia budowy.</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16</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Zurbanizowane tereny niezabudowane lub w trakcie zabudowy - Bp</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Do zurbanizowanych terenów niezabudowanych lub w trakcie zabudowy zalicza się grunty:</w:t>
            </w:r>
          </w:p>
          <w:p>
            <w:pPr>
              <w:spacing w:before="25" w:after="0"/>
              <w:ind w:left="0"/>
              <w:jc w:val="left"/>
              <w:textAlignment w:val="auto"/>
            </w:pPr>
            <w:r>
              <w:rPr>
                <w:rFonts w:ascii="Times New Roman"/>
                <w:b w:val="false"/>
                <w:i w:val="false"/>
                <w:color w:val="000000"/>
                <w:sz w:val="24"/>
                <w:lang w:val="pl-PL"/>
              </w:rPr>
              <w:t xml:space="preserve">1) na których została rozpoczęta, lecz nie została zakończona budowa, w rozumieniu </w:t>
            </w:r>
            <w:r>
              <w:rPr>
                <w:rFonts w:ascii="Times New Roman"/>
                <w:b w:val="false"/>
                <w:i w:val="false"/>
                <w:color w:val="1b1b1b"/>
                <w:sz w:val="24"/>
                <w:lang w:val="pl-PL"/>
              </w:rPr>
              <w:t>art. 41 ust. 1</w:t>
            </w:r>
            <w:r>
              <w:rPr>
                <w:rFonts w:ascii="Times New Roman"/>
                <w:b w:val="false"/>
                <w:i w:val="false"/>
                <w:color w:val="000000"/>
                <w:sz w:val="24"/>
                <w:lang w:val="pl-PL"/>
              </w:rPr>
              <w:t xml:space="preserve"> ustawy z dnia 7 lipca 1994 r. - Prawo budowlane, powodująca wyłączenie tych gruntów z produkcji rolnej lub leśnej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3 lutego 1995 r. o ochronie gruntów rolnych i leśnych;</w:t>
            </w:r>
          </w:p>
          <w:p>
            <w:pPr>
              <w:spacing w:before="25" w:after="0"/>
              <w:ind w:left="0"/>
              <w:jc w:val="left"/>
              <w:textAlignment w:val="auto"/>
            </w:pPr>
            <w:r>
              <w:rPr>
                <w:rFonts w:ascii="Times New Roman"/>
                <w:b w:val="false"/>
                <w:i w:val="false"/>
                <w:color w:val="000000"/>
                <w:sz w:val="24"/>
                <w:lang w:val="pl-PL"/>
              </w:rPr>
              <w:t xml:space="preserve">2) które w wyniku zabudowy wyłączone zostały z produkcji rolnej lub leśnej,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3 lutego 1995 r. o ochronie gruntów rolnych i leśnych, ale na których istniejące wcześniej budynki zostały rozebrane, a jednocześnie grunty te przeznaczone są pod zabudowę.</w:t>
            </w:r>
          </w:p>
          <w:p>
            <w:pPr>
              <w:spacing w:before="25" w:after="0"/>
              <w:ind w:left="0"/>
              <w:jc w:val="left"/>
              <w:textAlignment w:val="auto"/>
            </w:pPr>
            <w:r>
              <w:rPr>
                <w:rFonts w:ascii="Times New Roman"/>
                <w:b w:val="false"/>
                <w:i w:val="false"/>
                <w:color w:val="000000"/>
                <w:sz w:val="24"/>
                <w:lang w:val="pl-PL"/>
              </w:rPr>
              <w:t xml:space="preserve">2. Przy ustalaniu konturów zurbanizowanych terenów niezabudowanych lub w trakcie zabudowy bierze się pod uwagę postanowienia decyzji wydanych na podstawie </w:t>
            </w:r>
            <w:r>
              <w:rPr>
                <w:rFonts w:ascii="Times New Roman"/>
                <w:b w:val="false"/>
                <w:i w:val="false"/>
                <w:color w:val="1b1b1b"/>
                <w:sz w:val="24"/>
                <w:lang w:val="pl-PL"/>
              </w:rPr>
              <w:t>art. 11</w:t>
            </w:r>
            <w:r>
              <w:rPr>
                <w:rFonts w:ascii="Times New Roman"/>
                <w:b w:val="false"/>
                <w:i w:val="false"/>
                <w:color w:val="000000"/>
                <w:sz w:val="24"/>
                <w:lang w:val="pl-PL"/>
              </w:rPr>
              <w:t xml:space="preserve"> oraz </w:t>
            </w:r>
            <w:r>
              <w:rPr>
                <w:rFonts w:ascii="Times New Roman"/>
                <w:b w:val="false"/>
                <w:i w:val="false"/>
                <w:color w:val="1b1b1b"/>
                <w:sz w:val="24"/>
                <w:lang w:val="pl-PL"/>
              </w:rPr>
              <w:t>art. 28 ust. 2</w:t>
            </w:r>
            <w:r>
              <w:rPr>
                <w:rFonts w:ascii="Times New Roman"/>
                <w:b w:val="false"/>
                <w:i w:val="false"/>
                <w:color w:val="000000"/>
                <w:sz w:val="24"/>
                <w:lang w:val="pl-PL"/>
              </w:rPr>
              <w:t xml:space="preserve"> ustawy z dnia 3 lutego 1995 r. o ochronie gruntów rolnych i leśnych oraz treść projektu zagospodarowania działki lub terenu, o którym mowa w </w:t>
            </w:r>
            <w:r>
              <w:rPr>
                <w:rFonts w:ascii="Times New Roman"/>
                <w:b w:val="false"/>
                <w:i w:val="false"/>
                <w:color w:val="1b1b1b"/>
                <w:sz w:val="24"/>
                <w:lang w:val="pl-PL"/>
              </w:rPr>
              <w:t>art. 34 ust. 3 pkt 1</w:t>
            </w:r>
            <w:r>
              <w:rPr>
                <w:rFonts w:ascii="Times New Roman"/>
                <w:b w:val="false"/>
                <w:i w:val="false"/>
                <w:color w:val="000000"/>
                <w:sz w:val="24"/>
                <w:lang w:val="pl-PL"/>
              </w:rPr>
              <w:t xml:space="preserve"> ustawy z dnia 7 lipca 1994 r. - Prawo budowlane, stosując odpowiednio zasady dotyczące ustalania konturów terenów mieszkaniowych, terenów przemysłowych oraz innych terenów zabudowanych.</w:t>
            </w:r>
          </w:p>
          <w:p>
            <w:pPr>
              <w:spacing w:before="25" w:after="0"/>
              <w:ind w:left="0"/>
              <w:jc w:val="left"/>
              <w:textAlignment w:val="auto"/>
            </w:pPr>
            <w:r>
              <w:rPr>
                <w:rFonts w:ascii="Times New Roman"/>
                <w:b w:val="false"/>
                <w:i w:val="false"/>
                <w:color w:val="000000"/>
                <w:sz w:val="24"/>
                <w:lang w:val="pl-PL"/>
              </w:rPr>
              <w:t>3. Do zurbanizowanych terenów niezabudowanych lub w trakcie zabudowy nie zalicza się gruntów przeznaczonych pod budowę dróg publicznych lub linii kolejowych, o których mowa w lp. 22.</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17</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Tereny rekreacyjno - wypoczynkowe - Bz</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terenów rekreacyjno-wypoczynkowych zalicza się niezajęte pod budynki i związane z nimi urządzenia:</w:t>
            </w:r>
          </w:p>
          <w:p>
            <w:pPr>
              <w:spacing w:before="25" w:after="0"/>
              <w:ind w:left="0"/>
              <w:jc w:val="left"/>
              <w:textAlignment w:val="auto"/>
            </w:pPr>
            <w:r>
              <w:rPr>
                <w:rFonts w:ascii="Times New Roman"/>
                <w:b w:val="false"/>
                <w:i w:val="false"/>
                <w:color w:val="000000"/>
                <w:sz w:val="24"/>
                <w:lang w:val="pl-PL"/>
              </w:rPr>
              <w:t>1) tereny ośrodków wypoczynkowych, tereny zabaw dziecięcych, plaże, urządzone parki, skwery, zieleńce (poza pasami ulic);</w:t>
            </w:r>
          </w:p>
          <w:p>
            <w:pPr>
              <w:spacing w:before="25" w:after="0"/>
              <w:ind w:left="0"/>
              <w:jc w:val="left"/>
              <w:textAlignment w:val="auto"/>
            </w:pPr>
            <w:r>
              <w:rPr>
                <w:rFonts w:ascii="Times New Roman"/>
                <w:b w:val="false"/>
                <w:i w:val="false"/>
                <w:color w:val="000000"/>
                <w:sz w:val="24"/>
                <w:lang w:val="pl-PL"/>
              </w:rPr>
              <w:t>2) tereny o charakterze zabytkowym, takie jak: ruiny zamków, grodziska, kurhany, pomniki przyrody;</w:t>
            </w:r>
          </w:p>
          <w:p>
            <w:pPr>
              <w:spacing w:before="25" w:after="0"/>
              <w:ind w:left="0"/>
              <w:jc w:val="left"/>
              <w:textAlignment w:val="auto"/>
            </w:pPr>
            <w:r>
              <w:rPr>
                <w:rFonts w:ascii="Times New Roman"/>
                <w:b w:val="false"/>
                <w:i w:val="false"/>
                <w:color w:val="000000"/>
                <w:sz w:val="24"/>
                <w:lang w:val="pl-PL"/>
              </w:rPr>
              <w:t>3) tereny sportowe, takie jak: stadiony, boiska sportowe, skocznie narciarskie, tory saneczkowe, strzelnice sportowe, kąpieliska, pola golfowe;</w:t>
            </w:r>
          </w:p>
          <w:p>
            <w:pPr>
              <w:spacing w:before="25" w:after="0"/>
              <w:ind w:left="0"/>
              <w:jc w:val="left"/>
              <w:textAlignment w:val="auto"/>
            </w:pPr>
            <w:r>
              <w:rPr>
                <w:rFonts w:ascii="Times New Roman"/>
                <w:b w:val="false"/>
                <w:i w:val="false"/>
                <w:color w:val="000000"/>
                <w:sz w:val="24"/>
                <w:lang w:val="pl-PL"/>
              </w:rPr>
              <w:t>4) tereny spełniające funkcje rozrywkowe, takie jak: lunaparki, wesołe miasteczka;</w:t>
            </w:r>
          </w:p>
          <w:p>
            <w:pPr>
              <w:spacing w:before="25" w:after="0"/>
              <w:ind w:left="0"/>
              <w:jc w:val="left"/>
              <w:textAlignment w:val="auto"/>
            </w:pPr>
            <w:r>
              <w:rPr>
                <w:rFonts w:ascii="Times New Roman"/>
                <w:b w:val="false"/>
                <w:i w:val="false"/>
                <w:color w:val="000000"/>
                <w:sz w:val="24"/>
                <w:lang w:val="pl-PL"/>
              </w:rPr>
              <w:t>5) ogrody zoologiczne i botaniczne;</w:t>
            </w:r>
          </w:p>
          <w:p>
            <w:pPr>
              <w:spacing w:before="25" w:after="0"/>
              <w:ind w:left="0"/>
              <w:jc w:val="left"/>
              <w:textAlignment w:val="auto"/>
            </w:pPr>
            <w:r>
              <w:rPr>
                <w:rFonts w:ascii="Times New Roman"/>
                <w:b w:val="false"/>
                <w:i w:val="false"/>
                <w:color w:val="000000"/>
                <w:sz w:val="24"/>
                <w:lang w:val="pl-PL"/>
              </w:rPr>
              <w:t>6) tereny zieleni nieurządzonej niezaliczone do lasów oraz gruntów zadrzewionych i zakrzewionych;</w:t>
            </w:r>
          </w:p>
          <w:p>
            <w:pPr>
              <w:spacing w:before="25" w:after="0"/>
              <w:ind w:left="0"/>
              <w:jc w:val="left"/>
              <w:textAlignment w:val="auto"/>
            </w:pPr>
            <w:r>
              <w:rPr>
                <w:rFonts w:ascii="Times New Roman"/>
                <w:b w:val="false"/>
                <w:i w:val="false"/>
                <w:color w:val="000000"/>
                <w:sz w:val="24"/>
                <w:lang w:val="pl-PL"/>
              </w:rPr>
              <w:t>7) tereny rodzinnych ogrodów działkowych urządzonych na gruntach, które nie nadają się do upraw rolniczych, w tym na gruntach leśnych oraz zadrzewionych i zakrzewionych.</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18</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Użytki kopalne - K</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użytków kopalnych zalicza się grunty:</w:t>
            </w:r>
          </w:p>
          <w:p>
            <w:pPr>
              <w:spacing w:before="25" w:after="0"/>
              <w:ind w:left="0"/>
              <w:jc w:val="left"/>
              <w:textAlignment w:val="auto"/>
            </w:pPr>
            <w:r>
              <w:rPr>
                <w:rFonts w:ascii="Times New Roman"/>
                <w:b w:val="false"/>
                <w:i w:val="false"/>
                <w:color w:val="000000"/>
                <w:sz w:val="24"/>
                <w:lang w:val="pl-PL"/>
              </w:rPr>
              <w:t>1) zajęte przez czynne odkrywkowe kopalnie, w których odbywa się wydobycie kopalin;</w:t>
            </w:r>
          </w:p>
          <w:p>
            <w:pPr>
              <w:spacing w:before="25" w:after="0"/>
              <w:ind w:left="0"/>
              <w:jc w:val="left"/>
              <w:textAlignment w:val="auto"/>
            </w:pPr>
            <w:r>
              <w:rPr>
                <w:rFonts w:ascii="Times New Roman"/>
                <w:b w:val="false"/>
                <w:i w:val="false"/>
                <w:color w:val="000000"/>
                <w:sz w:val="24"/>
                <w:lang w:val="pl-PL"/>
              </w:rPr>
              <w:t>2) wyrobiska po wydobywaniu kopalin;</w:t>
            </w:r>
          </w:p>
          <w:p>
            <w:pPr>
              <w:spacing w:before="25" w:after="0"/>
              <w:ind w:left="0"/>
              <w:jc w:val="left"/>
              <w:textAlignment w:val="auto"/>
            </w:pPr>
            <w:r>
              <w:rPr>
                <w:rFonts w:ascii="Times New Roman"/>
                <w:b w:val="false"/>
                <w:i w:val="false"/>
                <w:color w:val="000000"/>
                <w:sz w:val="24"/>
                <w:lang w:val="pl-PL"/>
              </w:rPr>
              <w:t>3) zapadliska i tereny po działalności górniczej.</w:t>
            </w:r>
          </w:p>
        </w:tc>
      </w:tr>
      <w:tr>
        <w:trPr>
          <w:trHeight w:val="30" w:hRule="atLeast"/>
        </w:trPr>
        <w:tc>
          <w:tcPr>
            <w:tcW w:w="56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19</w:t>
            </w:r>
          </w:p>
        </w:tc>
        <w:tc>
          <w:tcPr>
            <w:tcW w:w="350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Drogi - dr</w:t>
            </w:r>
          </w:p>
        </w:tc>
        <w:tc>
          <w:tcPr>
            <w:tcW w:w="9675" w:type="dxa"/>
            <w:tcBorders>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Do użytku gruntowego o nazwie "drogi" zalicza się grunty w granicach pasów drogowych, w których są usytuowane drogi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21 marca 1985 r. o drogach publicznych (Dz. U. z 2024 r. poz. 320 i 1222)</w:t>
            </w:r>
          </w:p>
          <w:p>
            <w:pPr>
              <w:spacing w:before="25" w:after="0"/>
              <w:ind w:left="0"/>
              <w:jc w:val="left"/>
              <w:textAlignment w:val="auto"/>
            </w:pPr>
            <w:r>
              <w:rPr>
                <w:rFonts w:ascii="Times New Roman"/>
                <w:b w:val="false"/>
                <w:i w:val="false"/>
                <w:color w:val="000000"/>
                <w:sz w:val="24"/>
                <w:lang w:val="pl-PL"/>
              </w:rPr>
              <w:t>2. Do użytku gruntowego o nazwie "drogi" nie zalicza się gruntów w granicach pasów drogowych dróg wewnętrznych, jeżeli:</w:t>
            </w:r>
          </w:p>
          <w:p>
            <w:pPr>
              <w:spacing w:before="25" w:after="0"/>
              <w:ind w:left="0"/>
              <w:jc w:val="left"/>
              <w:textAlignment w:val="auto"/>
            </w:pPr>
            <w:r>
              <w:rPr>
                <w:rFonts w:ascii="Times New Roman"/>
                <w:b w:val="false"/>
                <w:i w:val="false"/>
                <w:color w:val="000000"/>
                <w:sz w:val="24"/>
                <w:lang w:val="pl-PL"/>
              </w:rPr>
              <w:t>1) wchodzą w skład gospodarstwa rolnego lub leśnego;</w:t>
            </w:r>
          </w:p>
          <w:p>
            <w:pPr>
              <w:spacing w:before="25" w:after="0"/>
              <w:ind w:left="0"/>
              <w:jc w:val="left"/>
              <w:textAlignment w:val="auto"/>
            </w:pPr>
            <w:r>
              <w:rPr>
                <w:rFonts w:ascii="Times New Roman"/>
                <w:b w:val="false"/>
                <w:i w:val="false"/>
                <w:color w:val="000000"/>
                <w:sz w:val="24"/>
                <w:lang w:val="pl-PL"/>
              </w:rPr>
              <w:t>2) wchodzą w skład działki budowlanej, która nie jest osiedlem mieszkaniowym, dworcem kolejowym lub dworcem komunikacji autobusowej albo też nie jest odrębnym pasem gruntu wydzielonym wyłącznie w celu zapewnienia dostępu tej działki do drogi publicznej.</w:t>
            </w:r>
          </w:p>
          <w:p>
            <w:pPr>
              <w:spacing w:before="25" w:after="0"/>
              <w:ind w:left="0"/>
              <w:jc w:val="left"/>
              <w:textAlignment w:val="auto"/>
            </w:pPr>
            <w:r>
              <w:rPr>
                <w:rFonts w:ascii="Times New Roman"/>
                <w:b w:val="false"/>
                <w:i w:val="false"/>
                <w:color w:val="000000"/>
                <w:sz w:val="24"/>
                <w:lang w:val="pl-PL"/>
              </w:rPr>
              <w:t>3. Grunty w granicach pasów drogowych dróg wewnętrznych niezaliczone do użytku gruntowego "drogi" włącza się do:</w:t>
            </w:r>
          </w:p>
          <w:p>
            <w:pPr>
              <w:spacing w:before="25" w:after="0"/>
              <w:ind w:left="0"/>
              <w:jc w:val="left"/>
              <w:textAlignment w:val="auto"/>
            </w:pPr>
            <w:r>
              <w:rPr>
                <w:rFonts w:ascii="Times New Roman"/>
                <w:b w:val="false"/>
                <w:i w:val="false"/>
                <w:color w:val="000000"/>
                <w:sz w:val="24"/>
                <w:lang w:val="pl-PL"/>
              </w:rPr>
              <w:t>1) przyległego użytku rolnego, jeżeli wchodzą w skład gospodarstwa</w:t>
            </w: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rolnego;</w:t>
            </w:r>
          </w:p>
          <w:p>
            <w:pPr>
              <w:spacing w:before="25" w:after="0"/>
              <w:ind w:left="0"/>
              <w:jc w:val="left"/>
              <w:textAlignment w:val="auto"/>
            </w:pPr>
            <w:r>
              <w:rPr>
                <w:rFonts w:ascii="Times New Roman"/>
                <w:b w:val="false"/>
                <w:i w:val="false"/>
                <w:color w:val="000000"/>
                <w:sz w:val="24"/>
                <w:lang w:val="pl-PL"/>
              </w:rPr>
              <w:t>2) użytku "las", jeżeli wchodzą w skład gospodarstwa leśnego;</w:t>
            </w:r>
          </w:p>
          <w:p>
            <w:pPr>
              <w:spacing w:before="25" w:after="0"/>
              <w:ind w:left="0"/>
              <w:jc w:val="left"/>
              <w:textAlignment w:val="auto"/>
            </w:pPr>
            <w:r>
              <w:rPr>
                <w:rFonts w:ascii="Times New Roman"/>
                <w:b w:val="false"/>
                <w:i w:val="false"/>
                <w:color w:val="000000"/>
                <w:sz w:val="24"/>
                <w:lang w:val="pl-PL"/>
              </w:rPr>
              <w:t>3) odpowiedniego użytku z grupy użytków zurbanizowanych i zabudowanych, jeżeli wchodzą w skład działki budowlanej.</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20</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Tereny kolejowe - Tk</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terenów kolejowych zalicza się grunty zajęte pod budowle i inne urządzenia przeznaczone do prowadzenia i obsługi ruchu kolejowego, obsługi przewozu osób lub rzeczy, lub ich utrzymania: linie kolejowe, bocznice kolejowe wraz z infrastrukturą stanowiącą ich część, stacje, rampy, magazyny, itp.</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21</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Inne tereny komunikacyjne - Ti</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innych terenów komunikacyjnych zalicza się inne niż wymienione w lp. 19 i 20 grunty zajęte w celach komunikacyjnych, a w szczególności pod:</w:t>
            </w:r>
          </w:p>
          <w:p>
            <w:pPr>
              <w:spacing w:before="25" w:after="0"/>
              <w:ind w:left="0"/>
              <w:jc w:val="left"/>
              <w:textAlignment w:val="auto"/>
            </w:pPr>
            <w:r>
              <w:rPr>
                <w:rFonts w:ascii="Times New Roman"/>
                <w:b w:val="false"/>
                <w:i w:val="false"/>
                <w:color w:val="000000"/>
                <w:sz w:val="24"/>
                <w:lang w:val="pl-PL"/>
              </w:rPr>
              <w:t>1) porty lotnicze oraz budowle i urządzenia służące komunikacji lotniczej;</w:t>
            </w:r>
          </w:p>
          <w:p>
            <w:pPr>
              <w:spacing w:before="25" w:after="0"/>
              <w:ind w:left="0"/>
              <w:jc w:val="left"/>
              <w:textAlignment w:val="auto"/>
            </w:pPr>
            <w:r>
              <w:rPr>
                <w:rFonts w:ascii="Times New Roman"/>
                <w:b w:val="false"/>
                <w:i w:val="false"/>
                <w:color w:val="000000"/>
                <w:sz w:val="24"/>
                <w:lang w:val="pl-PL"/>
              </w:rPr>
              <w:t>2) urządzenia portowe, przystanie, budowle i urządzenia służące komunikacji wodnej;</w:t>
            </w:r>
          </w:p>
          <w:p>
            <w:pPr>
              <w:spacing w:before="25" w:after="0"/>
              <w:ind w:left="0"/>
              <w:jc w:val="left"/>
              <w:textAlignment w:val="auto"/>
            </w:pPr>
            <w:r>
              <w:rPr>
                <w:rFonts w:ascii="Times New Roman"/>
                <w:b w:val="false"/>
                <w:i w:val="false"/>
                <w:color w:val="000000"/>
                <w:sz w:val="24"/>
                <w:lang w:val="pl-PL"/>
              </w:rPr>
              <w:t>3) budowle i urządzenia kolei linowych;</w:t>
            </w:r>
          </w:p>
          <w:p>
            <w:pPr>
              <w:spacing w:before="25" w:after="0"/>
              <w:ind w:left="0"/>
              <w:jc w:val="left"/>
              <w:textAlignment w:val="auto"/>
            </w:pPr>
            <w:r>
              <w:rPr>
                <w:rFonts w:ascii="Times New Roman"/>
                <w:b w:val="false"/>
                <w:i w:val="false"/>
                <w:color w:val="000000"/>
                <w:sz w:val="24"/>
                <w:lang w:val="pl-PL"/>
              </w:rPr>
              <w:t>4) torowiska tramwajowe poza pasami ulic i dróg, a także obiekty i urządzenia związane z komunikacją miejską;</w:t>
            </w:r>
          </w:p>
          <w:p>
            <w:pPr>
              <w:spacing w:before="25" w:after="0"/>
              <w:ind w:left="0"/>
              <w:jc w:val="left"/>
              <w:textAlignment w:val="auto"/>
            </w:pPr>
            <w:r>
              <w:rPr>
                <w:rFonts w:ascii="Times New Roman"/>
                <w:b w:val="false"/>
                <w:i w:val="false"/>
                <w:color w:val="000000"/>
                <w:sz w:val="24"/>
                <w:lang w:val="pl-PL"/>
              </w:rPr>
              <w:t>5) urządzone parkingi poza lasami państwowymi, dworce autobusowe;</w:t>
            </w:r>
          </w:p>
          <w:p>
            <w:pPr>
              <w:spacing w:before="25" w:after="0"/>
              <w:ind w:left="0"/>
              <w:jc w:val="left"/>
              <w:textAlignment w:val="auto"/>
            </w:pPr>
            <w:r>
              <w:rPr>
                <w:rFonts w:ascii="Times New Roman"/>
                <w:b w:val="false"/>
                <w:i w:val="false"/>
                <w:color w:val="000000"/>
                <w:sz w:val="24"/>
                <w:lang w:val="pl-PL"/>
              </w:rPr>
              <w:t>6) wały ochronne wód przystosowane do ruchu kołowego.</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22</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przeznaczone pod budowę dróg publicznych lub linii kolejowych - Tp</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gruntów przeznaczonych pod budowę dróg publicznych lub linii kolejowych zalicza się grunty, które są własnością Skarbu Państwa lub jednostek samorządu terytorialnego i zostały wydzielone pod drogi publiczne lub linie kolejowe na podstawie:</w:t>
            </w:r>
          </w:p>
          <w:p>
            <w:pPr>
              <w:spacing w:before="25" w:after="0"/>
              <w:ind w:left="0"/>
              <w:jc w:val="left"/>
              <w:textAlignment w:val="auto"/>
            </w:pPr>
            <w:r>
              <w:rPr>
                <w:rFonts w:ascii="Times New Roman"/>
                <w:b w:val="false"/>
                <w:i w:val="false"/>
                <w:color w:val="000000"/>
                <w:sz w:val="24"/>
                <w:lang w:val="pl-PL"/>
              </w:rPr>
              <w:t xml:space="preserve">1) ostatecznych decyzji zatwierdzających podział nieruchomości lub uchwał o scaleniu i podziale nieruchomości, wydanych na podstawie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21 sierpnia 1997 r. o gospodarce nieruchomościami (Dz. U. z 2023 r. poz. 344, z późn. zm.), a także prawomocnych orzeczeń sądowych orzekających o podziale nieruchomości;</w:t>
            </w:r>
          </w:p>
          <w:p>
            <w:pPr>
              <w:spacing w:before="25" w:after="0"/>
              <w:ind w:left="0"/>
              <w:jc w:val="left"/>
              <w:textAlignment w:val="auto"/>
            </w:pPr>
            <w:r>
              <w:rPr>
                <w:rFonts w:ascii="Times New Roman"/>
                <w:b w:val="false"/>
                <w:i w:val="false"/>
                <w:color w:val="000000"/>
                <w:sz w:val="24"/>
                <w:lang w:val="pl-PL"/>
              </w:rPr>
              <w:t xml:space="preserve">2) ostatecznych decyzji, o których mowa w </w:t>
            </w:r>
            <w:r>
              <w:rPr>
                <w:rFonts w:ascii="Times New Roman"/>
                <w:b w:val="false"/>
                <w:i w:val="false"/>
                <w:color w:val="1b1b1b"/>
                <w:sz w:val="24"/>
                <w:lang w:val="pl-PL"/>
              </w:rPr>
              <w:t>art. 11a ust. 1</w:t>
            </w:r>
            <w:r>
              <w:rPr>
                <w:rFonts w:ascii="Times New Roman"/>
                <w:b w:val="false"/>
                <w:i w:val="false"/>
                <w:color w:val="000000"/>
                <w:sz w:val="24"/>
                <w:lang w:val="pl-PL"/>
              </w:rPr>
              <w:t xml:space="preserve"> ustawy z dnia 10 kwietnia 2003 r. o szczególnych zasadach przygotowania realizacji inwestycji w zakresie dróg publicznych (Dz. U. z 2023 r. poz. 162, z późn. zm.);</w:t>
            </w:r>
          </w:p>
          <w:p>
            <w:pPr>
              <w:spacing w:before="25" w:after="0"/>
              <w:ind w:left="0"/>
              <w:jc w:val="left"/>
              <w:textAlignment w:val="auto"/>
            </w:pPr>
            <w:r>
              <w:rPr>
                <w:rFonts w:ascii="Times New Roman"/>
                <w:b w:val="false"/>
                <w:i w:val="false"/>
                <w:color w:val="000000"/>
                <w:sz w:val="24"/>
                <w:lang w:val="pl-PL"/>
              </w:rPr>
              <w:t xml:space="preserve">3) ostatecznych decyzji, o których mowa w </w:t>
            </w:r>
            <w:r>
              <w:rPr>
                <w:rFonts w:ascii="Times New Roman"/>
                <w:b w:val="false"/>
                <w:i w:val="false"/>
                <w:color w:val="1b1b1b"/>
                <w:sz w:val="24"/>
                <w:lang w:val="pl-PL"/>
              </w:rPr>
              <w:t>art. 9o ust. 1</w:t>
            </w:r>
            <w:r>
              <w:rPr>
                <w:rFonts w:ascii="Times New Roman"/>
                <w:b w:val="false"/>
                <w:i w:val="false"/>
                <w:color w:val="000000"/>
                <w:sz w:val="24"/>
                <w:lang w:val="pl-PL"/>
              </w:rPr>
              <w:t xml:space="preserve"> ustawy z dnia 28 marca 2003 r. o transporcie kolejowym (Dz. U. z 2023 r. poz. 162, z późn. zm.);</w:t>
            </w:r>
          </w:p>
          <w:p>
            <w:pPr>
              <w:spacing w:before="25" w:after="0"/>
              <w:ind w:left="0"/>
              <w:jc w:val="left"/>
              <w:textAlignment w:val="auto"/>
            </w:pPr>
            <w:r>
              <w:rPr>
                <w:rFonts w:ascii="Times New Roman"/>
                <w:b w:val="false"/>
                <w:i w:val="false"/>
                <w:color w:val="000000"/>
                <w:sz w:val="24"/>
                <w:lang w:val="pl-PL"/>
              </w:rPr>
              <w:t xml:space="preserve">4) ostatecznych decyzji o ustaleniu lokalizacji inwestycji celu publicznego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27 marca 2003 r. o planowaniu i zagospodarowaniu przestrzennym (Dz. U. z 2023 r. poz. 977, z późn. zm.), ale na których budowa dróg publicznych lub linii kolejowych nie została zakończona;</w:t>
            </w:r>
          </w:p>
          <w:p>
            <w:pPr>
              <w:spacing w:before="25" w:after="0"/>
              <w:ind w:left="0"/>
              <w:jc w:val="left"/>
              <w:textAlignment w:val="auto"/>
            </w:pPr>
            <w:r>
              <w:rPr>
                <w:rFonts w:ascii="Times New Roman"/>
                <w:b w:val="false"/>
                <w:i w:val="false"/>
                <w:color w:val="000000"/>
                <w:sz w:val="24"/>
                <w:lang w:val="pl-PL"/>
              </w:rPr>
              <w:t xml:space="preserve">5) ostatecznych decyzji o zatwierdzeniu projektu scalenia gruntów wydanych na podstawie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26 marca 1982 r. o scalaniu i wymianie gruntów (Dz. U. z 2023 r. poz. 1197).</w:t>
            </w:r>
          </w:p>
        </w:tc>
      </w:tr>
      <w:tr>
        <w:trPr>
          <w:trHeight w:val="45" w:hRule="atLeast"/>
        </w:trPr>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Grunty pod wodami</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23</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pod morskimi wodami wewnętrznymi - Wm</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Gruntami pod morskimi wodami wewnętrznymi są grunty pokryte morskimi wodami wewnętrznymi, o których mowa w </w:t>
            </w:r>
            <w:r>
              <w:rPr>
                <w:rFonts w:ascii="Times New Roman"/>
                <w:b w:val="false"/>
                <w:i w:val="false"/>
                <w:color w:val="1b1b1b"/>
                <w:sz w:val="24"/>
                <w:lang w:val="pl-PL"/>
              </w:rPr>
              <w:t>art. 4</w:t>
            </w:r>
            <w:r>
              <w:rPr>
                <w:rFonts w:ascii="Times New Roman"/>
                <w:b w:val="false"/>
                <w:i w:val="false"/>
                <w:color w:val="000000"/>
                <w:sz w:val="24"/>
                <w:lang w:val="pl-PL"/>
              </w:rPr>
              <w:t xml:space="preserve"> ustawy z dnia 21 marca 1991 r. o obszarach morskich Rzeczypospolitej Polskiej i administracji morskiej (Dz. U. z 2023 r. poz. 960, z późn. zm.).</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24</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pod wodami powierzchniowymi płynącymi - Wp</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Do gruntów pod wodami powierzchniowymi płynącymi zalicza się grunty pokryte śródlądowymi wodami płynącymi, o których mowa w </w:t>
            </w:r>
            <w:r>
              <w:rPr>
                <w:rFonts w:ascii="Times New Roman"/>
                <w:b w:val="false"/>
                <w:i w:val="false"/>
                <w:color w:val="1b1b1b"/>
                <w:sz w:val="24"/>
                <w:lang w:val="pl-PL"/>
              </w:rPr>
              <w:t>art. 22</w:t>
            </w:r>
            <w:r>
              <w:rPr>
                <w:rFonts w:ascii="Times New Roman"/>
                <w:b w:val="false"/>
                <w:i w:val="false"/>
                <w:color w:val="000000"/>
                <w:sz w:val="24"/>
                <w:lang w:val="pl-PL"/>
              </w:rPr>
              <w:t xml:space="preserve"> ustawy z dnia 20 lipca 2017 r. - Prawo wodne.</w:t>
            </w:r>
          </w:p>
          <w:p>
            <w:pPr>
              <w:spacing w:before="25" w:after="0"/>
              <w:ind w:left="0"/>
              <w:jc w:val="left"/>
              <w:textAlignment w:val="auto"/>
            </w:pPr>
            <w:r>
              <w:rPr>
                <w:rFonts w:ascii="Times New Roman"/>
                <w:b w:val="false"/>
                <w:i w:val="false"/>
                <w:color w:val="000000"/>
                <w:sz w:val="24"/>
                <w:lang w:val="pl-PL"/>
              </w:rPr>
              <w:t>Kontur gruntów pod wodami powierzchniowymi płynącymi wyznaczają linie brzegów cieków naturalnych, jezior oraz innych naturalnych zbiorników wodnych, a w przypadku kanałów lub sztucznych zbiorników wodnych usytuowanych na wodach płynących - zewnętrzne krawędzie tych kanałów lub zbiorników.</w:t>
            </w:r>
          </w:p>
          <w:p>
            <w:pPr>
              <w:spacing w:before="25" w:after="0"/>
              <w:ind w:left="0"/>
              <w:jc w:val="left"/>
              <w:textAlignment w:val="auto"/>
            </w:pPr>
            <w:r>
              <w:rPr>
                <w:rFonts w:ascii="Times New Roman"/>
                <w:b w:val="false"/>
                <w:i w:val="false"/>
                <w:color w:val="000000"/>
                <w:sz w:val="24"/>
                <w:lang w:val="pl-PL"/>
              </w:rPr>
              <w:t>Jeżeli ciek naturalny, jezioro, inny naturalny lub sztuczny zbiornik wodny lub kanał przecina granicę obrębu ewidencyjnego, to granica obrębu ogranicza kontur gruntów pod wodami powierzchniowymi płynącymi.</w:t>
            </w:r>
          </w:p>
        </w:tc>
      </w:tr>
      <w:tr>
        <w:trPr>
          <w:trHeight w:val="30" w:hRule="atLeast"/>
        </w:trPr>
        <w:tc>
          <w:tcPr>
            <w:tcW w:w="56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w:t>
            </w:r>
          </w:p>
        </w:tc>
        <w:tc>
          <w:tcPr>
            <w:tcW w:w="350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Grunty pod wodami powierzchniowymi stojącymi - Ws</w:t>
            </w:r>
          </w:p>
        </w:tc>
        <w:tc>
          <w:tcPr>
            <w:tcW w:w="9675" w:type="dxa"/>
            <w:tcBorders>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Do gruntów pod wodami powierzchniowymi stojącymi zalicza się grunty pokryte śródlądowymi wodami stojącymi, o których mowa w </w:t>
            </w:r>
            <w:r>
              <w:rPr>
                <w:rFonts w:ascii="Times New Roman"/>
                <w:b w:val="false"/>
                <w:i w:val="false"/>
                <w:color w:val="1b1b1b"/>
                <w:sz w:val="24"/>
                <w:lang w:val="pl-PL"/>
              </w:rPr>
              <w:t>art. 23</w:t>
            </w:r>
            <w:r>
              <w:rPr>
                <w:rFonts w:ascii="Times New Roman"/>
                <w:b w:val="false"/>
                <w:i w:val="false"/>
                <w:color w:val="000000"/>
                <w:sz w:val="24"/>
                <w:lang w:val="pl-PL"/>
              </w:rPr>
              <w:t xml:space="preserve"> ustawy z dnia 20 lipca 2017 r. - Prawo wodne, oraz grunty trwale pokryte</w:t>
            </w: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wodami znajdującymi się w zagłębieniach terenu powstałych w wyniku działalności człowieka, niebędące stawami oraz niezaliczone do nieużytków, o których mowa w lp. 9. Kontur gruntów pod wodami powierzchniowymi stojącymi wyznaczają linie brzegów naturalnych zbiorników wodnych, a w przypadku zagłębień terenu powstałych w wyniku działalności człowieka - zewnętrzne krawędzie tych zagłębień. Jeżeli naturalny zbiornik wodny lub zagłębienie terenu powstałe w wyniku działalności człowieka przecina granicę obrębu ewidencyjnego, to krawędź przecięcia ogranicza kontur gruntów pod wodami powierzchniowymi stojącymi.</w:t>
            </w:r>
          </w:p>
        </w:tc>
      </w:tr>
      <w:tr>
        <w:trPr>
          <w:trHeight w:val="45" w:hRule="atLeast"/>
        </w:trPr>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Tereny różne</w:t>
            </w:r>
          </w:p>
        </w:tc>
      </w:tr>
      <w:tr>
        <w:trPr>
          <w:trHeight w:val="45" w:hRule="atLeast"/>
        </w:trPr>
        <w:tc>
          <w:tcPr>
            <w:tcW w:w="56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26</w:t>
            </w:r>
          </w:p>
        </w:tc>
        <w:tc>
          <w:tcPr>
            <w:tcW w:w="35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Tereny różne - Tr</w:t>
            </w:r>
          </w:p>
        </w:tc>
        <w:tc>
          <w:tcPr>
            <w:tcW w:w="967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terenów różnych zalicza się wszystkie pozostałe grunty, niezaliczone do innych użytków gruntowych, w szczególności zajęte pod budowle ziemne, takie jak: wały przeciwpowodziowe niezaliczone do terenów komunikacyjnych, kopce oraz groble niewchodzące w skład stawów, o których mowa w lp. 7.</w:t>
            </w:r>
          </w:p>
        </w:tc>
      </w:tr>
    </w:tbl>
    <w:p>
      <w:pPr>
        <w:spacing w:before="25" w:after="0"/>
        <w:ind w:left="0"/>
        <w:jc w:val="both"/>
        <w:textAlignment w:val="auto"/>
      </w:pPr>
      <w:r>
        <w:rPr>
          <w:rFonts w:ascii="Times New Roman"/>
          <w:b w:val="false"/>
          <w:i w:val="false"/>
          <w:color w:val="000000"/>
          <w:sz w:val="24"/>
          <w:lang w:val="pl-PL"/>
        </w:rPr>
        <w:t xml:space="preserve">2. Kontury użytków gruntowych, o powierzchni mniejszej niż 0,0100 ha niebędące kanałami oraz rowami w rozumieniu przepisów art. 16 pkt 21 і 47 </w:t>
      </w:r>
      <w:r>
        <w:rPr>
          <w:rFonts w:ascii="Times New Roman"/>
          <w:b w:val="false"/>
          <w:i w:val="false"/>
          <w:color w:val="1b1b1b"/>
          <w:sz w:val="24"/>
          <w:lang w:val="pl-PL"/>
        </w:rPr>
        <w:t>ustawy</w:t>
      </w:r>
      <w:r>
        <w:rPr>
          <w:rFonts w:ascii="Times New Roman"/>
          <w:b w:val="false"/>
          <w:i w:val="false"/>
          <w:color w:val="000000"/>
          <w:sz w:val="24"/>
          <w:lang w:val="pl-PL"/>
        </w:rPr>
        <w:t xml:space="preserve"> z dnia 20 lipca 2017 r. - Prawo wodne włącza się do przyległego użytku gruntowego.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2</w:t>
      </w:r>
    </w:p>
    <w:p>
      <w:pPr>
        <w:spacing w:before="25" w:after="0"/>
        <w:ind w:left="0"/>
        <w:jc w:val="center"/>
        <w:textAlignment w:val="auto"/>
      </w:pPr>
      <w:r>
        <w:rPr>
          <w:rFonts w:ascii="Times New Roman"/>
          <w:b/>
          <w:i w:val="false"/>
          <w:color w:val="000000"/>
          <w:sz w:val="24"/>
          <w:lang w:val="pl-PL"/>
        </w:rPr>
        <w:t>ZASADY ZALICZANIA DZIAŁEK EWIDENCYJNYCH, BUDYNKÓW I LOKALI DO GRUP REJESTROWYCH</w:t>
      </w:r>
    </w:p>
    <w:p>
      <w:pPr>
        <w:spacing w:after="0"/>
        <w:ind w:left="0"/>
        <w:jc w:val="left"/>
        <w:textAlignment w:val="auto"/>
      </w:pPr>
      <w:r>
        <w:rPr>
          <w:rFonts w:ascii="Times New Roman"/>
          <w:b w:val="false"/>
          <w:i w:val="false"/>
          <w:color w:val="000000"/>
          <w:sz w:val="24"/>
          <w:lang w:val="pl-PL"/>
        </w:rPr>
        <w:t>1. Do grupy rejestrowej 1 zalicza się działki ewidencyjne, które są własnością lub w samoistnym posiadaniu Skarbu Państwa ze statusem podmiotu, o którym mowa w § 21 ust. 2 rozporządzenia, zwanym dalej "statusem podmiotu", przyjmującym wartość 3 i z rodzajem władania przyjmującym wartość 2, 3, 4, 5, 6, 7, 8 lub 9.</w:t>
      </w:r>
    </w:p>
    <w:p>
      <w:pPr>
        <w:spacing w:before="25" w:after="0"/>
        <w:ind w:left="0"/>
        <w:jc w:val="both"/>
        <w:textAlignment w:val="auto"/>
      </w:pPr>
      <w:r>
        <w:rPr>
          <w:rFonts w:ascii="Times New Roman"/>
          <w:b w:val="false"/>
          <w:i w:val="false"/>
          <w:color w:val="000000"/>
          <w:sz w:val="24"/>
          <w:lang w:val="pl-PL"/>
        </w:rPr>
        <w:t>2. Do grupy rejestrowej 2 zalicza się działki ewidencyjne, które są własnością Skarbu Państwa ze statusem podmiotu przyjmującym wartość 3 i z rodzajem władania przyjmującym wartość 1.</w:t>
      </w:r>
    </w:p>
    <w:p>
      <w:pPr>
        <w:spacing w:before="25" w:after="0"/>
        <w:ind w:left="0"/>
        <w:jc w:val="both"/>
        <w:textAlignment w:val="auto"/>
      </w:pPr>
      <w:r>
        <w:rPr>
          <w:rFonts w:ascii="Times New Roman"/>
          <w:b w:val="false"/>
          <w:i w:val="false"/>
          <w:color w:val="000000"/>
          <w:sz w:val="24"/>
          <w:lang w:val="pl-PL"/>
        </w:rPr>
        <w:t>3. Do grupy rejestrowej 3 zalicza się działki ewidencyjne, które są własnością lub w samoistnym posiadaniu jednoosobowych spółek Skarbu Państwa, przedsiębiorstw państwowych i innych państwowych osób prawnych ze statusem podmiotu przyjmującym wartość 6.</w:t>
      </w:r>
    </w:p>
    <w:p>
      <w:pPr>
        <w:spacing w:before="25" w:after="0"/>
        <w:ind w:left="0"/>
        <w:jc w:val="both"/>
        <w:textAlignment w:val="auto"/>
      </w:pPr>
      <w:r>
        <w:rPr>
          <w:rFonts w:ascii="Times New Roman"/>
          <w:b w:val="false"/>
          <w:i w:val="false"/>
          <w:color w:val="000000"/>
          <w:sz w:val="24"/>
          <w:lang w:val="pl-PL"/>
        </w:rPr>
        <w:t>4. Do grupy rejestrowej 4 zalicza się działki ewidencyjne, które są własnością lub w samoistnym posiadaniu gminy lub związków międzygminnych lub związków metropolitalnych ze statusem podmiotu przyjmującym wartość 4 i z rodzajem władania przyjmującym wartość 2, 3, 4, 5, 7 lub 9.</w:t>
      </w:r>
    </w:p>
    <w:p>
      <w:pPr>
        <w:spacing w:before="25" w:after="0"/>
        <w:ind w:left="0"/>
        <w:jc w:val="both"/>
        <w:textAlignment w:val="auto"/>
      </w:pPr>
      <w:r>
        <w:rPr>
          <w:rFonts w:ascii="Times New Roman"/>
          <w:b w:val="false"/>
          <w:i w:val="false"/>
          <w:color w:val="000000"/>
          <w:sz w:val="24"/>
          <w:lang w:val="pl-PL"/>
        </w:rPr>
        <w:t>5. Do grupy rejestrowej 5 zalicza się działki ewidencyjne, które są własnością gminy lub związków międzygminnych lub związków metropolitalnych ze statusem podmiotu przyjmującym wartość 4 i z rodzajem władania przyjmującym wartość 1.</w:t>
      </w:r>
    </w:p>
    <w:p>
      <w:pPr>
        <w:spacing w:before="25" w:after="0"/>
        <w:ind w:left="0"/>
        <w:jc w:val="both"/>
        <w:textAlignment w:val="auto"/>
      </w:pPr>
      <w:r>
        <w:rPr>
          <w:rFonts w:ascii="Times New Roman"/>
          <w:b w:val="false"/>
          <w:i w:val="false"/>
          <w:color w:val="000000"/>
          <w:sz w:val="24"/>
          <w:lang w:val="pl-PL"/>
        </w:rPr>
        <w:t>6. Do grupy rejestrowej 6 zalicza się działki ewidencyjne, które są własnością jednoosobowych spółek jednostek samorządu terytorialnego i innych osób prawnych, których organami założycielskimi są organy samorządu terytorialnego ze statusem podmiotu przyjmującym wartość 15, 16 lub 17.</w:t>
      </w:r>
    </w:p>
    <w:p>
      <w:pPr>
        <w:spacing w:before="25" w:after="0"/>
        <w:ind w:left="0"/>
        <w:jc w:val="both"/>
        <w:textAlignment w:val="auto"/>
      </w:pPr>
      <w:r>
        <w:rPr>
          <w:rFonts w:ascii="Times New Roman"/>
          <w:b w:val="false"/>
          <w:i w:val="false"/>
          <w:color w:val="000000"/>
          <w:sz w:val="24"/>
          <w:lang w:val="pl-PL"/>
        </w:rPr>
        <w:t>7. Do grupy rejestrowej 7 zalicza się działki ewidencyjne, które są własnością lub w samoistnym posiadaniu osób fizycznych ze statusem podmiotu przyjmującym wartość 1, 32, 33, 34 lub 35.</w:t>
      </w:r>
    </w:p>
    <w:p>
      <w:pPr>
        <w:spacing w:before="25" w:after="0"/>
        <w:ind w:left="0"/>
        <w:jc w:val="both"/>
        <w:textAlignment w:val="auto"/>
      </w:pPr>
      <w:r>
        <w:rPr>
          <w:rFonts w:ascii="Times New Roman"/>
          <w:b w:val="false"/>
          <w:i w:val="false"/>
          <w:color w:val="000000"/>
          <w:sz w:val="24"/>
          <w:lang w:val="pl-PL"/>
        </w:rPr>
        <w:t>8. Do grupy rejestrowej 8 zalicza się działki ewidencyjne, które są własnością lub w samoistnym posiadaniu spółdzielni ze statusem podmiotu przyjmującym wartość 23, 24 lub 38.</w:t>
      </w:r>
    </w:p>
    <w:p>
      <w:pPr>
        <w:spacing w:before="25" w:after="0"/>
        <w:ind w:left="0"/>
        <w:jc w:val="both"/>
        <w:textAlignment w:val="auto"/>
      </w:pPr>
      <w:r>
        <w:rPr>
          <w:rFonts w:ascii="Times New Roman"/>
          <w:b w:val="false"/>
          <w:i w:val="false"/>
          <w:color w:val="000000"/>
          <w:sz w:val="24"/>
          <w:lang w:val="pl-PL"/>
        </w:rPr>
        <w:t>9. Do grupy rejestrowej 9 zalicza się działki ewidencyjne, które są własnością lub w samoistnym posiadaniu kościołów i związków wyznaniowych ze statusem podmiotu przyjmującym wartość 25.</w:t>
      </w:r>
    </w:p>
    <w:p>
      <w:pPr>
        <w:spacing w:before="25" w:after="0"/>
        <w:ind w:left="0"/>
        <w:jc w:val="both"/>
        <w:textAlignment w:val="auto"/>
      </w:pPr>
      <w:r>
        <w:rPr>
          <w:rFonts w:ascii="Times New Roman"/>
          <w:b w:val="false"/>
          <w:i w:val="false"/>
          <w:color w:val="000000"/>
          <w:sz w:val="24"/>
          <w:lang w:val="pl-PL"/>
        </w:rPr>
        <w:t>10. Do grupy rejestrowej 10 zalicza się działki ewidencyjne, które są własnością lub w samoistnym posiadaniu wspólnot gruntowych ze statusem podmiotu przyjmującym wartość 41.</w:t>
      </w:r>
    </w:p>
    <w:p>
      <w:pPr>
        <w:spacing w:before="25" w:after="0"/>
        <w:ind w:left="0"/>
        <w:jc w:val="both"/>
        <w:textAlignment w:val="auto"/>
      </w:pPr>
      <w:r>
        <w:rPr>
          <w:rFonts w:ascii="Times New Roman"/>
          <w:b w:val="false"/>
          <w:i w:val="false"/>
          <w:color w:val="000000"/>
          <w:sz w:val="24"/>
          <w:lang w:val="pl-PL"/>
        </w:rPr>
        <w:t>11. Do grupy rejestrowej 11 zalicza się działki ewidencyjne, które są własnością lub w samoistnym posiadaniu powiatów i związków powiatów ze statusem podmiotu przyjmującym wartość 37 i z rodzajem władania przyjmującym wartość 2, 3, 4, 5, 7 lub 9.</w:t>
      </w:r>
    </w:p>
    <w:p>
      <w:pPr>
        <w:spacing w:before="25" w:after="0"/>
        <w:ind w:left="0"/>
        <w:jc w:val="both"/>
        <w:textAlignment w:val="auto"/>
      </w:pPr>
      <w:r>
        <w:rPr>
          <w:rFonts w:ascii="Times New Roman"/>
          <w:b w:val="false"/>
          <w:i w:val="false"/>
          <w:color w:val="000000"/>
          <w:sz w:val="24"/>
          <w:lang w:val="pl-PL"/>
        </w:rPr>
        <w:t>12. Do grupy rejestrowej 12 zalicza się działki ewidencyjne, które są własnością powiatów i związków powiatów ze statusem podmiotu przyjmującym wartość 37 i z rodzajem władania przyjmującym wartość 1.</w:t>
      </w:r>
    </w:p>
    <w:p>
      <w:pPr>
        <w:spacing w:before="25" w:after="0"/>
        <w:ind w:left="0"/>
        <w:jc w:val="both"/>
        <w:textAlignment w:val="auto"/>
      </w:pPr>
      <w:r>
        <w:rPr>
          <w:rFonts w:ascii="Times New Roman"/>
          <w:b w:val="false"/>
          <w:i w:val="false"/>
          <w:color w:val="000000"/>
          <w:sz w:val="24"/>
          <w:lang w:val="pl-PL"/>
        </w:rPr>
        <w:t>13. Do grupy rejestrowej 13 zalicza się działki ewidencyjne, które są własnością lub w samoistnym posiadaniu województw ze statusem podmiotu przyjmującym wartość 36 i z rodzajem władania przyjmującym wartość 2, 3, 4, 5, 7 lub 9.</w:t>
      </w:r>
    </w:p>
    <w:p>
      <w:pPr>
        <w:spacing w:before="25" w:after="0"/>
        <w:ind w:left="0"/>
        <w:jc w:val="both"/>
        <w:textAlignment w:val="auto"/>
      </w:pPr>
      <w:r>
        <w:rPr>
          <w:rFonts w:ascii="Times New Roman"/>
          <w:b w:val="false"/>
          <w:i w:val="false"/>
          <w:color w:val="000000"/>
          <w:sz w:val="24"/>
          <w:lang w:val="pl-PL"/>
        </w:rPr>
        <w:t>14. Do grupy rejestrowej 14 zalicza się działki ewidencyjne, które są własnością województw ze statusem podmiotu przyjmującym wartość 36 i z rodzajem władania przyjmującym wartość 1.</w:t>
      </w:r>
    </w:p>
    <w:p>
      <w:pPr>
        <w:spacing w:before="25" w:after="0"/>
        <w:ind w:left="0"/>
        <w:jc w:val="both"/>
        <w:textAlignment w:val="auto"/>
      </w:pPr>
      <w:r>
        <w:rPr>
          <w:rFonts w:ascii="Times New Roman"/>
          <w:b w:val="false"/>
          <w:i w:val="false"/>
          <w:color w:val="000000"/>
          <w:sz w:val="24"/>
          <w:lang w:val="pl-PL"/>
        </w:rPr>
        <w:t>15. Do grupy rejestrowej 15 zalicza się działki ewidencyjne, które są własnością lub w samoistnym posiadaniu spółek prawa handlowego ze statusem podmiotu przyjmującym wartość 26 lub 27.</w:t>
      </w:r>
    </w:p>
    <w:p>
      <w:pPr>
        <w:spacing w:before="25" w:after="0"/>
        <w:ind w:left="0"/>
        <w:jc w:val="both"/>
        <w:textAlignment w:val="auto"/>
      </w:pPr>
      <w:r>
        <w:rPr>
          <w:rFonts w:ascii="Times New Roman"/>
          <w:b w:val="false"/>
          <w:i w:val="false"/>
          <w:color w:val="000000"/>
          <w:sz w:val="24"/>
          <w:lang w:val="pl-PL"/>
        </w:rPr>
        <w:t>16. Do grupy rejestrowej 16 zalicza się działki ewidencyjne, które są własnością lub w samoistnym posiadaniu innych podmiotów nie wymienionych w punktach 1-15.</w:t>
      </w:r>
    </w:p>
    <w:p>
      <w:pPr>
        <w:spacing w:before="25" w:after="0"/>
        <w:ind w:left="0"/>
        <w:jc w:val="both"/>
        <w:textAlignment w:val="auto"/>
      </w:pPr>
      <w:r>
        <w:rPr>
          <w:rFonts w:ascii="Times New Roman"/>
          <w:b w:val="false"/>
          <w:i w:val="false"/>
          <w:color w:val="000000"/>
          <w:sz w:val="24"/>
          <w:lang w:val="pl-PL"/>
        </w:rPr>
        <w:t>17. Działki ewidencyjne, które są przedmiotem wspólnych praw należących do różnych grup rejestrowych, zalicza się do grupy rejestrowej o przeważającej sumie wartości udziałów. W przypadku równych udziałów działki ewidencyjne zalicza się do grupy o mniejszym numerze.</w:t>
      </w:r>
    </w:p>
    <w:p>
      <w:pPr>
        <w:spacing w:before="25" w:after="0"/>
        <w:ind w:left="0"/>
        <w:jc w:val="both"/>
        <w:textAlignment w:val="auto"/>
      </w:pPr>
      <w:r>
        <w:rPr>
          <w:rFonts w:ascii="Times New Roman"/>
          <w:b w:val="false"/>
          <w:i w:val="false"/>
          <w:color w:val="000000"/>
          <w:sz w:val="24"/>
          <w:lang w:val="pl-PL"/>
        </w:rPr>
        <w:t>18. Budynki stanowiące części składowe gruntu zalicza się, na zasadach określonych w pkt 1-17, do tych samych grup rejestrowych, do których zaliczone zostały związane z tymi budynkami działki ewidencyjne.</w:t>
      </w:r>
    </w:p>
    <w:p>
      <w:pPr>
        <w:spacing w:before="25" w:after="0"/>
        <w:ind w:left="0"/>
        <w:jc w:val="both"/>
        <w:textAlignment w:val="auto"/>
      </w:pPr>
      <w:r>
        <w:rPr>
          <w:rFonts w:ascii="Times New Roman"/>
          <w:b w:val="false"/>
          <w:i w:val="false"/>
          <w:color w:val="000000"/>
          <w:sz w:val="24"/>
          <w:lang w:val="pl-PL"/>
        </w:rPr>
        <w:t>19. Budynki i lokale, które stanowią odrębne od gruntu przedmioty własności, zalicza się do tej grupy rejestrowej, na którą wskazuje status podmiotu ich właściciela.</w:t>
      </w:r>
    </w:p>
    <w:p>
      <w:pPr>
        <w:spacing w:before="25" w:after="0"/>
        <w:ind w:left="0"/>
        <w:jc w:val="both"/>
        <w:textAlignment w:val="auto"/>
      </w:pPr>
      <w:r>
        <w:rPr>
          <w:rFonts w:ascii="Times New Roman"/>
          <w:b w:val="false"/>
          <w:i w:val="false"/>
          <w:color w:val="000000"/>
          <w:sz w:val="24"/>
          <w:lang w:val="pl-PL"/>
        </w:rPr>
        <w:t>20. Status podmiotu przyjmuje wartości zgodnie z klasą EGB_StatusPodmiotuEwid, o której mowa w diagramie "dane podmiotowe" załącznika nr 6 do rozporządzenia.</w:t>
      </w:r>
    </w:p>
    <w:p>
      <w:pPr>
        <w:spacing w:before="25" w:after="0"/>
        <w:ind w:left="0"/>
        <w:jc w:val="both"/>
        <w:textAlignment w:val="auto"/>
      </w:pPr>
      <w:r>
        <w:rPr>
          <w:rFonts w:ascii="Times New Roman"/>
          <w:b w:val="false"/>
          <w:i w:val="false"/>
          <w:color w:val="000000"/>
          <w:sz w:val="24"/>
          <w:lang w:val="pl-PL"/>
        </w:rPr>
        <w:t>21. Rodzaj władania przyjmuje wartości zgodnie z klasą EGB_RodzajWładania, o której mowa w diagramie "udziały" załącznika nr 6 do rozporządzenia.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3</w:t>
      </w:r>
    </w:p>
    <w:p>
      <w:pPr>
        <w:spacing w:before="25" w:after="0"/>
        <w:ind w:left="0"/>
        <w:jc w:val="center"/>
        <w:textAlignment w:val="auto"/>
      </w:pPr>
      <w:r>
        <w:rPr>
          <w:rFonts w:ascii="Times New Roman"/>
          <w:b/>
          <w:i w:val="false"/>
          <w:color w:val="000000"/>
          <w:sz w:val="24"/>
          <w:lang w:val="pl-PL"/>
        </w:rPr>
        <w:t>SPOSÓB OBLICZENIA POLA POWIERZCHNI DZIAŁKI EWIDENCYJNEJ Z UWZGLĘDNIENIEM WARTOŚCI POPRAWKI ODWZOROWAWCZEJ</w:t>
      </w:r>
    </w:p>
    <w:p>
      <w:pPr>
        <w:spacing w:after="0"/>
        <w:ind w:left="0"/>
        <w:jc w:val="left"/>
        <w:textAlignment w:val="auto"/>
      </w:pPr>
      <w:r>
        <w:rPr>
          <w:rFonts w:ascii="Times New Roman"/>
          <w:b w:val="false"/>
          <w:i w:val="false"/>
          <w:color w:val="000000"/>
          <w:sz w:val="24"/>
          <w:lang w:val="pl-PL"/>
        </w:rPr>
        <w:t xml:space="preserve">1. Pole powierzchni działek ewidencyjnych, obliczone ze współrzędnych prostokątnych płaskich w układzie PL-2000, podlega korekcie według wzoru: </w:t>
      </w:r>
      <w:r>
        <w:rPr>
          <w:rFonts w:ascii="Times New Roman"/>
          <w:b/>
          <w:i w:val="false"/>
          <w:color w:val="000000"/>
          <w:sz w:val="24"/>
          <w:lang w:val="pl-PL"/>
        </w:rPr>
        <w:t xml:space="preserve">P </w:t>
      </w:r>
      <w:r>
        <w:rPr>
          <w:rFonts w:ascii="Times New Roman"/>
          <w:b w:val="false"/>
          <w:i w:val="false"/>
          <w:color w:val="000000"/>
          <w:sz w:val="24"/>
          <w:lang w:val="pl-PL"/>
        </w:rPr>
        <w:t xml:space="preserve">= </w:t>
      </w:r>
      <w:r>
        <w:rPr>
          <w:rFonts w:ascii="Times New Roman"/>
          <w:b/>
          <w:i w:val="false"/>
          <w:color w:val="000000"/>
          <w:sz w:val="24"/>
          <w:lang w:val="pl-PL"/>
        </w:rPr>
        <w:t xml:space="preserve">Po </w:t>
      </w:r>
      <w:r>
        <w:rPr>
          <w:rFonts w:ascii="Times New Roman"/>
          <w:b w:val="false"/>
          <w:i w:val="false"/>
          <w:color w:val="000000"/>
          <w:sz w:val="24"/>
          <w:lang w:val="pl-PL"/>
        </w:rPr>
        <w:t>- ΔPo, przy czym:</w:t>
      </w:r>
    </w:p>
    <w:p>
      <w:pPr>
        <w:spacing w:before="25" w:after="0"/>
        <w:ind w:left="0"/>
        <w:jc w:val="both"/>
        <w:textAlignment w:val="auto"/>
      </w:pPr>
      <w:r>
        <w:rPr>
          <w:rFonts w:ascii="Times New Roman"/>
          <w:b w:val="false"/>
          <w:i w:val="false"/>
          <w:color w:val="000000"/>
          <w:sz w:val="24"/>
          <w:lang w:val="pl-PL"/>
        </w:rPr>
        <w:t>1) P - oznacza pole powierzchni obiektu ewidencyjnego, jako fragmentu powierzchni elipsoidy GRS 80;</w:t>
      </w:r>
    </w:p>
    <w:p>
      <w:pPr>
        <w:spacing w:before="25" w:after="0"/>
        <w:ind w:left="0"/>
        <w:jc w:val="both"/>
        <w:textAlignment w:val="auto"/>
      </w:pPr>
      <w:r>
        <w:rPr>
          <w:rFonts w:ascii="Times New Roman"/>
          <w:b w:val="false"/>
          <w:i w:val="false"/>
          <w:color w:val="000000"/>
          <w:sz w:val="24"/>
          <w:lang w:val="pl-PL"/>
        </w:rPr>
        <w:t>2) Po - oznacza pole powierzchni działki obliczone na podstawie współrzędnych prostokątnych płaskich w układzie PL-2000;</w:t>
      </w:r>
    </w:p>
    <w:p>
      <w:pPr>
        <w:spacing w:before="25" w:after="0"/>
        <w:ind w:left="0"/>
        <w:jc w:val="both"/>
        <w:textAlignment w:val="auto"/>
      </w:pPr>
      <w:r>
        <w:rPr>
          <w:rFonts w:ascii="Times New Roman"/>
          <w:b w:val="false"/>
          <w:i w:val="false"/>
          <w:color w:val="000000"/>
          <w:sz w:val="24"/>
          <w:lang w:val="pl-PL"/>
        </w:rPr>
        <w:t>3) ΔPo - oznacza powierzchniową poprawkę odwzorowawczą.</w:t>
      </w:r>
    </w:p>
    <w:p>
      <w:pPr>
        <w:spacing w:before="25" w:after="0"/>
        <w:ind w:left="0"/>
        <w:jc w:val="both"/>
        <w:textAlignment w:val="auto"/>
      </w:pPr>
      <w:r>
        <w:rPr>
          <w:rFonts w:ascii="Times New Roman"/>
          <w:b w:val="false"/>
          <w:i w:val="false"/>
          <w:color w:val="000000"/>
          <w:sz w:val="24"/>
          <w:lang w:val="pl-PL"/>
        </w:rPr>
        <w:t>2. Powierzchniową poprawkę odwzorowawczą oblicza się według wzoru: ΔPo = Po-(m</w:t>
      </w:r>
      <w:r>
        <w:rPr>
          <w:rFonts w:ascii="Times New Roman"/>
          <w:b w:val="false"/>
          <w:i w:val="false"/>
          <w:color w:val="000000"/>
          <w:sz w:val="24"/>
          <w:vertAlign w:val="superscript"/>
          <w:lang w:val="pl-PL"/>
        </w:rPr>
        <w:t>2</w:t>
      </w:r>
      <w:r>
        <w:rPr>
          <w:rFonts w:ascii="Times New Roman"/>
          <w:b w:val="false"/>
          <w:i w:val="false"/>
          <w:color w:val="000000"/>
          <w:sz w:val="24"/>
          <w:lang w:val="pl-PL"/>
        </w:rPr>
        <w:t>- 1), przy czym m</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 jest skalą zniekształcenia powierzchniowego, równą kwadratowi skali zniekształcenia liniowego (m), ustaloną dla punktu określającego przybliżony środek ciężkości działki ewidencyjnej, obliczonym jako średnia arytmetyczna współrzędnych punktów granicznych działki ewidencyjnej i oznaczanym dalej jako P</w:t>
      </w:r>
      <w:r>
        <w:rPr>
          <w:rFonts w:ascii="Times New Roman"/>
          <w:b w:val="false"/>
          <w:i w:val="false"/>
          <w:color w:val="000000"/>
          <w:sz w:val="24"/>
          <w:vertAlign w:val="subscript"/>
          <w:lang w:val="pl-PL"/>
        </w:rPr>
        <w:t>GK</w:t>
      </w:r>
      <w:r>
        <w:rPr>
          <w:rFonts w:ascii="Times New Roman"/>
          <w:b w:val="false"/>
          <w:i w:val="false"/>
          <w:color w:val="000000"/>
          <w:sz w:val="24"/>
          <w:lang w:val="pl-PL"/>
        </w:rPr>
        <w:t>.</w:t>
      </w:r>
    </w:p>
    <w:p>
      <w:pPr>
        <w:spacing w:before="25" w:after="0"/>
        <w:ind w:left="0"/>
        <w:jc w:val="both"/>
        <w:textAlignment w:val="auto"/>
      </w:pPr>
      <w:r>
        <w:rPr>
          <w:rFonts w:ascii="Times New Roman"/>
          <w:b w:val="false"/>
          <w:i w:val="false"/>
          <w:color w:val="000000"/>
          <w:sz w:val="24"/>
          <w:lang w:val="pl-PL"/>
        </w:rPr>
        <w:t>3. Skalę zniekształcenia liniowego oblicza się według wzoru: m = σ* 10</w:t>
      </w:r>
      <w:r>
        <w:rPr>
          <w:rFonts w:ascii="Times New Roman"/>
          <w:b w:val="false"/>
          <w:i w:val="false"/>
          <w:color w:val="000000"/>
          <w:sz w:val="24"/>
          <w:vertAlign w:val="superscript"/>
          <w:lang w:val="pl-PL"/>
        </w:rPr>
        <w:t>-5</w:t>
      </w:r>
      <w:r>
        <w:rPr>
          <w:rFonts w:ascii="Times New Roman"/>
          <w:b w:val="false"/>
          <w:i w:val="false"/>
          <w:color w:val="000000"/>
          <w:sz w:val="24"/>
          <w:lang w:val="pl-PL"/>
        </w:rPr>
        <w:t xml:space="preserve"> + 1, w którym σ - jest elementarnym zniekształceniem liniowym obliczonym w P</w:t>
      </w:r>
      <w:r>
        <w:rPr>
          <w:rFonts w:ascii="Times New Roman"/>
          <w:b w:val="false"/>
          <w:i w:val="false"/>
          <w:color w:val="000000"/>
          <w:sz w:val="24"/>
          <w:vertAlign w:val="subscript"/>
          <w:lang w:val="pl-PL"/>
        </w:rPr>
        <w:t>GK</w:t>
      </w:r>
      <w:r>
        <w:rPr>
          <w:rFonts w:ascii="Times New Roman"/>
          <w:b w:val="false"/>
          <w:i w:val="false"/>
          <w:color w:val="000000"/>
          <w:sz w:val="24"/>
          <w:lang w:val="pl-PL"/>
        </w:rPr>
        <w:t>, wyrażonym w cm/km.</w:t>
      </w:r>
    </w:p>
    <w:p>
      <w:pPr>
        <w:spacing w:before="25" w:after="0"/>
        <w:ind w:left="0"/>
        <w:jc w:val="both"/>
        <w:textAlignment w:val="auto"/>
      </w:pPr>
      <w:r>
        <w:rPr>
          <w:rFonts w:ascii="Times New Roman"/>
          <w:b w:val="false"/>
          <w:i w:val="false"/>
          <w:color w:val="000000"/>
          <w:sz w:val="24"/>
          <w:lang w:val="pl-PL"/>
        </w:rPr>
        <w:t>4. Wartość σ wyraża wielomian: σ = σ</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m</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v</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 [q</w:t>
      </w:r>
      <w:r>
        <w:rPr>
          <w:rFonts w:ascii="Times New Roman"/>
          <w:b w:val="false"/>
          <w:i w:val="false"/>
          <w:color w:val="000000"/>
          <w:sz w:val="24"/>
          <w:vertAlign w:val="subscript"/>
          <w:lang w:val="pl-PL"/>
        </w:rPr>
        <w:t>1</w:t>
      </w:r>
      <w:r>
        <w:rPr>
          <w:rFonts w:ascii="Times New Roman"/>
          <w:b w:val="false"/>
          <w:i w:val="false"/>
          <w:color w:val="000000"/>
          <w:sz w:val="24"/>
          <w:lang w:val="pl-PL"/>
        </w:rPr>
        <w:t xml:space="preserve"> + q</w:t>
      </w:r>
      <w:r>
        <w:rPr>
          <w:rFonts w:ascii="Times New Roman"/>
          <w:b w:val="false"/>
          <w:i w:val="false"/>
          <w:color w:val="000000"/>
          <w:sz w:val="24"/>
          <w:vertAlign w:val="subscript"/>
          <w:lang w:val="pl-PL"/>
        </w:rPr>
        <w:t>2</w:t>
      </w:r>
      <w:r>
        <w:rPr>
          <w:rFonts w:ascii="Times New Roman"/>
          <w:b w:val="false"/>
          <w:i w:val="false"/>
          <w:color w:val="000000"/>
          <w:sz w:val="24"/>
          <w:lang w:val="pl-PL"/>
        </w:rPr>
        <w:t xml:space="preserve"> * u + q</w:t>
      </w:r>
      <w:r>
        <w:rPr>
          <w:rFonts w:ascii="Times New Roman"/>
          <w:b w:val="false"/>
          <w:i w:val="false"/>
          <w:color w:val="000000"/>
          <w:sz w:val="24"/>
          <w:vertAlign w:val="subscript"/>
          <w:lang w:val="pl-PL"/>
        </w:rPr>
        <w:t>3</w:t>
      </w:r>
      <w:r>
        <w:rPr>
          <w:rFonts w:ascii="Times New Roman"/>
          <w:b w:val="false"/>
          <w:i w:val="false"/>
          <w:color w:val="000000"/>
          <w:sz w:val="24"/>
          <w:lang w:val="pl-PL"/>
        </w:rPr>
        <w:t xml:space="preserve"> * u</w:t>
      </w:r>
      <w:r>
        <w:rPr>
          <w:rFonts w:ascii="Times New Roman"/>
          <w:b w:val="false"/>
          <w:i w:val="false"/>
          <w:color w:val="000000"/>
          <w:sz w:val="24"/>
          <w:vertAlign w:val="superscript"/>
          <w:lang w:val="pl-PL"/>
        </w:rPr>
        <w:t>2</w:t>
      </w:r>
      <w:r>
        <w:rPr>
          <w:rFonts w:ascii="Times New Roman"/>
          <w:b w:val="false"/>
          <w:i w:val="false"/>
          <w:color w:val="000000"/>
          <w:sz w:val="24"/>
          <w:lang w:val="pl-PL"/>
        </w:rPr>
        <w:t xml:space="preserve"> + q</w:t>
      </w:r>
      <w:r>
        <w:rPr>
          <w:rFonts w:ascii="Times New Roman"/>
          <w:b w:val="false"/>
          <w:i w:val="false"/>
          <w:color w:val="000000"/>
          <w:sz w:val="24"/>
          <w:vertAlign w:val="subscript"/>
          <w:lang w:val="pl-PL"/>
        </w:rPr>
        <w:t>4</w:t>
      </w:r>
      <w:r>
        <w:rPr>
          <w:rFonts w:ascii="Times New Roman"/>
          <w:b w:val="false"/>
          <w:i w:val="false"/>
          <w:color w:val="000000"/>
          <w:sz w:val="24"/>
          <w:lang w:val="pl-PL"/>
        </w:rPr>
        <w:t xml:space="preserve"> * v</w:t>
      </w:r>
      <w:r>
        <w:rPr>
          <w:rFonts w:ascii="Times New Roman"/>
          <w:b w:val="false"/>
          <w:i w:val="false"/>
          <w:color w:val="000000"/>
          <w:sz w:val="24"/>
          <w:vertAlign w:val="superscript"/>
          <w:lang w:val="pl-PL"/>
        </w:rPr>
        <w:t>2</w:t>
      </w:r>
      <w:r>
        <w:rPr>
          <w:rFonts w:ascii="Times New Roman"/>
          <w:b w:val="false"/>
          <w:i w:val="false"/>
          <w:color w:val="000000"/>
          <w:sz w:val="24"/>
          <w:lang w:val="pl-PL"/>
        </w:rPr>
        <w:t>], w którym:</w:t>
      </w:r>
    </w:p>
    <w:p>
      <w:pPr>
        <w:spacing w:before="25" w:after="0"/>
        <w:ind w:left="0"/>
        <w:jc w:val="both"/>
        <w:textAlignment w:val="auto"/>
      </w:pPr>
      <w:r>
        <w:rPr>
          <w:rFonts w:ascii="Times New Roman"/>
          <w:b w:val="false"/>
          <w:i w:val="false"/>
          <w:color w:val="000000"/>
          <w:sz w:val="24"/>
          <w:lang w:val="pl-PL"/>
        </w:rPr>
        <w:t>1) współczynniki q</w:t>
      </w:r>
      <w:r>
        <w:rPr>
          <w:rFonts w:ascii="Times New Roman"/>
          <w:b w:val="false"/>
          <w:i w:val="false"/>
          <w:color w:val="000000"/>
          <w:sz w:val="24"/>
          <w:vertAlign w:val="subscript"/>
          <w:lang w:val="pl-PL"/>
        </w:rPr>
        <w:t>b</w:t>
      </w:r>
      <w:r>
        <w:rPr>
          <w:rFonts w:ascii="Times New Roman"/>
          <w:b w:val="false"/>
          <w:i w:val="false"/>
          <w:color w:val="000000"/>
          <w:sz w:val="24"/>
          <w:lang w:val="pl-PL"/>
        </w:rPr>
        <w:t xml:space="preserve"> q</w:t>
      </w:r>
      <w:r>
        <w:rPr>
          <w:rFonts w:ascii="Times New Roman"/>
          <w:b w:val="false"/>
          <w:i w:val="false"/>
          <w:color w:val="000000"/>
          <w:sz w:val="24"/>
          <w:vertAlign w:val="subscript"/>
          <w:lang w:val="pl-PL"/>
        </w:rPr>
        <w:t>2</w:t>
      </w:r>
      <w:r>
        <w:rPr>
          <w:rFonts w:ascii="Times New Roman"/>
          <w:b w:val="false"/>
          <w:i w:val="false"/>
          <w:color w:val="000000"/>
          <w:sz w:val="24"/>
          <w:lang w:val="pl-PL"/>
        </w:rPr>
        <w:t>, q</w:t>
      </w:r>
      <w:r>
        <w:rPr>
          <w:rFonts w:ascii="Times New Roman"/>
          <w:b w:val="false"/>
          <w:i w:val="false"/>
          <w:color w:val="000000"/>
          <w:sz w:val="24"/>
          <w:vertAlign w:val="subscript"/>
          <w:lang w:val="pl-PL"/>
        </w:rPr>
        <w:t>3</w:t>
      </w:r>
      <w:r>
        <w:rPr>
          <w:rFonts w:ascii="Times New Roman"/>
          <w:b w:val="false"/>
          <w:i w:val="false"/>
          <w:color w:val="000000"/>
          <w:sz w:val="24"/>
          <w:lang w:val="pl-PL"/>
        </w:rPr>
        <w:t>, q</w:t>
      </w:r>
      <w:r>
        <w:rPr>
          <w:rFonts w:ascii="Times New Roman"/>
          <w:b w:val="false"/>
          <w:i w:val="false"/>
          <w:color w:val="000000"/>
          <w:sz w:val="24"/>
          <w:vertAlign w:val="subscript"/>
          <w:lang w:val="pl-PL"/>
        </w:rPr>
        <w:t>4</w:t>
      </w:r>
      <w:r>
        <w:rPr>
          <w:rFonts w:ascii="Times New Roman"/>
          <w:b w:val="false"/>
          <w:i w:val="false"/>
          <w:color w:val="000000"/>
          <w:sz w:val="24"/>
          <w:lang w:val="pl-PL"/>
        </w:rPr>
        <w:t xml:space="preserve"> mają wartości stałe:</w:t>
      </w:r>
    </w:p>
    <w:p>
      <w:pPr>
        <w:spacing w:before="25" w:after="0"/>
        <w:ind w:left="0"/>
        <w:jc w:val="both"/>
        <w:textAlignment w:val="auto"/>
      </w:pPr>
      <w:r>
        <w:rPr>
          <w:rFonts w:ascii="Times New Roman"/>
          <w:b w:val="false"/>
          <w:i w:val="false"/>
          <w:color w:val="000000"/>
          <w:sz w:val="24"/>
          <w:lang w:val="pl-PL"/>
        </w:rPr>
        <w:t>qj = 306,752873, q</w:t>
      </w:r>
      <w:r>
        <w:rPr>
          <w:rFonts w:ascii="Times New Roman"/>
          <w:b w:val="false"/>
          <w:i w:val="false"/>
          <w:color w:val="000000"/>
          <w:sz w:val="24"/>
          <w:vertAlign w:val="subscript"/>
          <w:lang w:val="pl-PL"/>
        </w:rPr>
        <w:t>2</w:t>
      </w:r>
      <w:r>
        <w:rPr>
          <w:rFonts w:ascii="Times New Roman"/>
          <w:b w:val="false"/>
          <w:i w:val="false"/>
          <w:color w:val="000000"/>
          <w:sz w:val="24"/>
          <w:lang w:val="pl-PL"/>
        </w:rPr>
        <w:t xml:space="preserve"> = - 0,312616, q</w:t>
      </w:r>
      <w:r>
        <w:rPr>
          <w:rFonts w:ascii="Times New Roman"/>
          <w:b w:val="false"/>
          <w:i w:val="false"/>
          <w:color w:val="000000"/>
          <w:sz w:val="24"/>
          <w:vertAlign w:val="subscript"/>
          <w:lang w:val="pl-PL"/>
        </w:rPr>
        <w:t>3</w:t>
      </w:r>
      <w:r>
        <w:rPr>
          <w:rFonts w:ascii="Times New Roman"/>
          <w:b w:val="false"/>
          <w:i w:val="false"/>
          <w:color w:val="000000"/>
          <w:sz w:val="24"/>
          <w:lang w:val="pl-PL"/>
        </w:rPr>
        <w:t xml:space="preserve"> = 0,006382, q</w:t>
      </w:r>
      <w:r>
        <w:rPr>
          <w:rFonts w:ascii="Times New Roman"/>
          <w:b w:val="false"/>
          <w:i w:val="false"/>
          <w:color w:val="000000"/>
          <w:sz w:val="24"/>
          <w:vertAlign w:val="subscript"/>
          <w:lang w:val="pl-PL"/>
        </w:rPr>
        <w:t>4</w:t>
      </w:r>
      <w:r>
        <w:rPr>
          <w:rFonts w:ascii="Times New Roman"/>
          <w:b w:val="false"/>
          <w:i w:val="false"/>
          <w:color w:val="000000"/>
          <w:sz w:val="24"/>
          <w:lang w:val="pl-PL"/>
        </w:rPr>
        <w:t xml:space="preserve"> = 0,158591;</w:t>
      </w:r>
    </w:p>
    <w:p>
      <w:pPr>
        <w:spacing w:before="25" w:after="0"/>
        <w:ind w:left="0"/>
        <w:jc w:val="both"/>
        <w:textAlignment w:val="auto"/>
      </w:pPr>
      <w:r>
        <w:rPr>
          <w:rFonts w:ascii="Times New Roman"/>
          <w:b w:val="false"/>
          <w:i w:val="false"/>
          <w:color w:val="000000"/>
          <w:sz w:val="24"/>
          <w:lang w:val="pl-PL"/>
        </w:rPr>
        <w:t>2) σ</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jest elementarnym zniekształceniem liniowym na południku osiowym odwzorowania i dla układów strefowych PL-2000 wynosi σ</w:t>
      </w:r>
      <w:r>
        <w:rPr>
          <w:rFonts w:ascii="Times New Roman"/>
          <w:b w:val="false"/>
          <w:i w:val="false"/>
          <w:color w:val="000000"/>
          <w:sz w:val="24"/>
          <w:vertAlign w:val="subscript"/>
          <w:lang w:val="pl-PL"/>
        </w:rPr>
        <w:t>0</w:t>
      </w:r>
      <w:r>
        <w:rPr>
          <w:rFonts w:ascii="Times New Roman"/>
          <w:b w:val="false"/>
          <w:i w:val="false"/>
          <w:color w:val="000000"/>
          <w:sz w:val="24"/>
          <w:lang w:val="pl-PL"/>
        </w:rPr>
        <w:t>= - 7,7 cm/km;</w:t>
      </w:r>
    </w:p>
    <w:p>
      <w:pPr>
        <w:spacing w:before="25" w:after="0"/>
        <w:ind w:left="0"/>
        <w:jc w:val="both"/>
        <w:textAlignment w:val="auto"/>
      </w:pPr>
      <w:r>
        <w:rPr>
          <w:rFonts w:ascii="Times New Roman"/>
          <w:b w:val="false"/>
          <w:i w:val="false"/>
          <w:color w:val="000000"/>
          <w:sz w:val="24"/>
          <w:lang w:val="pl-PL"/>
        </w:rPr>
        <w:t>3) m</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0,999923 - jest współczynnikiem skali zniekształcenia liniowego na południku osiowym każdej strefy układu PL-2000;</w:t>
      </w:r>
    </w:p>
    <w:p>
      <w:pPr>
        <w:spacing w:before="25" w:after="0"/>
        <w:ind w:left="0"/>
        <w:jc w:val="both"/>
        <w:textAlignment w:val="auto"/>
      </w:pPr>
      <w:r>
        <w:rPr>
          <w:rFonts w:ascii="Times New Roman"/>
          <w:b w:val="false"/>
          <w:i w:val="false"/>
          <w:color w:val="000000"/>
          <w:sz w:val="24"/>
          <w:lang w:val="pl-PL"/>
        </w:rPr>
        <w:t>4) u = (X</w:t>
      </w:r>
      <w:r>
        <w:rPr>
          <w:rFonts w:ascii="Times New Roman"/>
          <w:b w:val="false"/>
          <w:i w:val="false"/>
          <w:color w:val="000000"/>
          <w:sz w:val="24"/>
          <w:vertAlign w:val="subscript"/>
          <w:lang w:val="pl-PL"/>
        </w:rPr>
        <w:t>GK</w:t>
      </w:r>
      <w:r>
        <w:rPr>
          <w:rFonts w:ascii="Times New Roman"/>
          <w:b w:val="false"/>
          <w:i w:val="false"/>
          <w:color w:val="000000"/>
          <w:sz w:val="24"/>
          <w:lang w:val="pl-PL"/>
        </w:rPr>
        <w:t xml:space="preserve"> - 5800000,0) * 2,0 * 10</w:t>
      </w:r>
      <w:r>
        <w:rPr>
          <w:rFonts w:ascii="Times New Roman"/>
          <w:b w:val="false"/>
          <w:i w:val="false"/>
          <w:color w:val="000000"/>
          <w:sz w:val="24"/>
          <w:vertAlign w:val="superscript"/>
          <w:lang w:val="pl-PL"/>
        </w:rPr>
        <w:t>-6</w:t>
      </w:r>
      <w:r>
        <w:rPr>
          <w:rFonts w:ascii="Times New Roman"/>
          <w:b w:val="false"/>
          <w:i w:val="false"/>
          <w:color w:val="000000"/>
          <w:sz w:val="24"/>
          <w:lang w:val="pl-PL"/>
        </w:rPr>
        <w:t>;</w:t>
      </w:r>
    </w:p>
    <w:p>
      <w:pPr>
        <w:spacing w:before="25" w:after="0"/>
        <w:ind w:left="0"/>
        <w:jc w:val="both"/>
        <w:textAlignment w:val="auto"/>
      </w:pPr>
      <w:r>
        <w:rPr>
          <w:rFonts w:ascii="Times New Roman"/>
          <w:b w:val="false"/>
          <w:i w:val="false"/>
          <w:color w:val="000000"/>
          <w:sz w:val="24"/>
          <w:lang w:val="pl-PL"/>
        </w:rPr>
        <w:t>5) v = Y</w:t>
      </w:r>
      <w:r>
        <w:rPr>
          <w:rFonts w:ascii="Times New Roman"/>
          <w:b w:val="false"/>
          <w:i w:val="false"/>
          <w:color w:val="000000"/>
          <w:sz w:val="24"/>
          <w:vertAlign w:val="subscript"/>
          <w:lang w:val="pl-PL"/>
        </w:rPr>
        <w:t>GK</w:t>
      </w:r>
      <w:r>
        <w:rPr>
          <w:rFonts w:ascii="Times New Roman"/>
          <w:b w:val="false"/>
          <w:i w:val="false"/>
          <w:color w:val="000000"/>
          <w:sz w:val="24"/>
          <w:lang w:val="pl-PL"/>
        </w:rPr>
        <w:t xml:space="preserve"> * 2,0 * 10</w:t>
      </w:r>
      <w:r>
        <w:rPr>
          <w:rFonts w:ascii="Times New Roman"/>
          <w:b w:val="false"/>
          <w:i w:val="false"/>
          <w:color w:val="000000"/>
          <w:sz w:val="24"/>
          <w:vertAlign w:val="superscript"/>
          <w:lang w:val="pl-PL"/>
        </w:rPr>
        <w:t>-6</w:t>
      </w:r>
      <w:r>
        <w:rPr>
          <w:rFonts w:ascii="Times New Roman"/>
          <w:b w:val="false"/>
          <w:i w:val="false"/>
          <w:color w:val="000000"/>
          <w:sz w:val="24"/>
          <w:lang w:val="pl-PL"/>
        </w:rPr>
        <w:t>;</w:t>
      </w:r>
    </w:p>
    <w:p>
      <w:pPr>
        <w:spacing w:before="25" w:after="0"/>
        <w:ind w:left="0"/>
        <w:jc w:val="both"/>
        <w:textAlignment w:val="auto"/>
      </w:pPr>
      <w:r>
        <w:rPr>
          <w:rFonts w:ascii="Times New Roman"/>
          <w:b w:val="false"/>
          <w:i w:val="false"/>
          <w:color w:val="000000"/>
          <w:sz w:val="24"/>
          <w:lang w:val="pl-PL"/>
        </w:rPr>
        <w:t>6) X</w:t>
      </w:r>
      <w:r>
        <w:rPr>
          <w:rFonts w:ascii="Times New Roman"/>
          <w:b w:val="false"/>
          <w:i w:val="false"/>
          <w:color w:val="000000"/>
          <w:sz w:val="24"/>
          <w:vertAlign w:val="subscript"/>
          <w:lang w:val="pl-PL"/>
        </w:rPr>
        <w:t>GK</w:t>
      </w:r>
      <w:r>
        <w:rPr>
          <w:rFonts w:ascii="Times New Roman"/>
          <w:b w:val="false"/>
          <w:i w:val="false"/>
          <w:color w:val="000000"/>
          <w:sz w:val="24"/>
          <w:lang w:val="pl-PL"/>
        </w:rPr>
        <w:t>, Y</w:t>
      </w:r>
      <w:r>
        <w:rPr>
          <w:rFonts w:ascii="Times New Roman"/>
          <w:b w:val="false"/>
          <w:i w:val="false"/>
          <w:color w:val="000000"/>
          <w:sz w:val="24"/>
          <w:vertAlign w:val="subscript"/>
          <w:lang w:val="pl-PL"/>
        </w:rPr>
        <w:t>GK</w:t>
      </w:r>
      <w:r>
        <w:rPr>
          <w:rFonts w:ascii="Times New Roman"/>
          <w:b w:val="false"/>
          <w:i w:val="false"/>
          <w:color w:val="000000"/>
          <w:sz w:val="24"/>
          <w:lang w:val="pl-PL"/>
        </w:rPr>
        <w:t xml:space="preserve"> - są niemodyfikowanymi współrzędnymi P</w:t>
      </w:r>
      <w:r>
        <w:rPr>
          <w:rFonts w:ascii="Times New Roman"/>
          <w:b w:val="false"/>
          <w:i w:val="false"/>
          <w:color w:val="000000"/>
          <w:sz w:val="24"/>
          <w:vertAlign w:val="subscript"/>
          <w:lang w:val="pl-PL"/>
        </w:rPr>
        <w:t>GK</w:t>
      </w:r>
      <w:r>
        <w:rPr>
          <w:rFonts w:ascii="Times New Roman"/>
          <w:b w:val="false"/>
          <w:i w:val="false"/>
          <w:color w:val="000000"/>
          <w:sz w:val="24"/>
          <w:lang w:val="pl-PL"/>
        </w:rPr>
        <w:t xml:space="preserve"> w odwzorowaniu Gaussa-Krugera. Jeżeli współrzędne P</w:t>
      </w:r>
      <w:r>
        <w:rPr>
          <w:rFonts w:ascii="Times New Roman"/>
          <w:b w:val="false"/>
          <w:i w:val="false"/>
          <w:color w:val="000000"/>
          <w:sz w:val="24"/>
          <w:vertAlign w:val="subscript"/>
          <w:lang w:val="pl-PL"/>
        </w:rPr>
        <w:t>GK</w:t>
      </w:r>
      <w:r>
        <w:rPr>
          <w:rFonts w:ascii="Times New Roman"/>
          <w:b w:val="false"/>
          <w:i w:val="false"/>
          <w:color w:val="000000"/>
          <w:sz w:val="24"/>
          <w:lang w:val="pl-PL"/>
        </w:rPr>
        <w:t xml:space="preserve"> w układzie PL-2000 mają wartość X</w:t>
      </w:r>
      <w:r>
        <w:rPr>
          <w:rFonts w:ascii="Times New Roman"/>
          <w:b w:val="false"/>
          <w:i w:val="false"/>
          <w:color w:val="000000"/>
          <w:sz w:val="24"/>
          <w:vertAlign w:val="subscript"/>
          <w:lang w:val="pl-PL"/>
        </w:rPr>
        <w:t>2000</w:t>
      </w:r>
      <w:r>
        <w:rPr>
          <w:rFonts w:ascii="Times New Roman"/>
          <w:b w:val="false"/>
          <w:i w:val="false"/>
          <w:color w:val="000000"/>
          <w:sz w:val="24"/>
          <w:lang w:val="pl-PL"/>
        </w:rPr>
        <w:t>, Y</w:t>
      </w:r>
      <w:r>
        <w:rPr>
          <w:rFonts w:ascii="Times New Roman"/>
          <w:b w:val="false"/>
          <w:i w:val="false"/>
          <w:color w:val="000000"/>
          <w:sz w:val="24"/>
          <w:vertAlign w:val="subscript"/>
          <w:lang w:val="pl-PL"/>
        </w:rPr>
        <w:t>2000</w:t>
      </w:r>
      <w:r>
        <w:rPr>
          <w:rFonts w:ascii="Times New Roman"/>
          <w:b w:val="false"/>
          <w:i w:val="false"/>
          <w:color w:val="000000"/>
          <w:sz w:val="24"/>
          <w:lang w:val="pl-PL"/>
        </w:rPr>
        <w:t>, to:</w:t>
      </w:r>
    </w:p>
    <w:p>
      <w:pPr>
        <w:spacing w:before="25" w:after="0"/>
        <w:ind w:left="0"/>
        <w:jc w:val="both"/>
        <w:textAlignment w:val="auto"/>
      </w:pPr>
      <w:r>
        <w:rPr>
          <w:rFonts w:ascii="Times New Roman"/>
          <w:b w:val="false"/>
          <w:i w:val="false"/>
          <w:color w:val="000000"/>
          <w:sz w:val="24"/>
          <w:lang w:val="pl-PL"/>
        </w:rPr>
        <w:t>X</w:t>
      </w:r>
      <w:r>
        <w:rPr>
          <w:rFonts w:ascii="Times New Roman"/>
          <w:b w:val="false"/>
          <w:i w:val="false"/>
          <w:color w:val="000000"/>
          <w:sz w:val="24"/>
          <w:vertAlign w:val="subscript"/>
          <w:lang w:val="pl-PL"/>
        </w:rPr>
        <w:t>GK</w:t>
      </w:r>
      <w:r>
        <w:rPr>
          <w:rFonts w:ascii="Times New Roman"/>
          <w:b w:val="false"/>
          <w:i w:val="false"/>
          <w:color w:val="000000"/>
          <w:sz w:val="24"/>
          <w:lang w:val="pl-PL"/>
        </w:rPr>
        <w:t xml:space="preserve"> </w:t>
      </w:r>
      <w:r>
        <w:rPr>
          <w:rFonts w:ascii="Times New Roman"/>
          <w:b w:val="false"/>
          <w:i w:val="false"/>
          <w:color w:val="000000"/>
          <w:sz w:val="24"/>
          <w:vertAlign w:val="superscript"/>
          <w:lang w:val="pl-PL"/>
        </w:rPr>
        <w:t>=</w:t>
      </w:r>
      <w:r>
        <w:rPr>
          <w:rFonts w:ascii="Times New Roman"/>
          <w:b w:val="false"/>
          <w:i w:val="false"/>
          <w:color w:val="000000"/>
          <w:sz w:val="24"/>
          <w:lang w:val="pl-PL"/>
        </w:rPr>
        <w:t xml:space="preserve"> X</w:t>
      </w:r>
      <w:r>
        <w:rPr>
          <w:rFonts w:ascii="Times New Roman"/>
          <w:b w:val="false"/>
          <w:i w:val="false"/>
          <w:color w:val="000000"/>
          <w:sz w:val="24"/>
          <w:vertAlign w:val="subscript"/>
          <w:lang w:val="pl-PL"/>
        </w:rPr>
        <w:t>2000</w:t>
      </w:r>
      <w:r>
        <w:rPr>
          <w:rFonts w:ascii="Times New Roman"/>
          <w:b w:val="false"/>
          <w:i w:val="false"/>
          <w:color w:val="000000"/>
          <w:sz w:val="24"/>
          <w:lang w:val="pl-PL"/>
        </w:rPr>
        <w:t xml:space="preserve"> / m</w:t>
      </w:r>
      <w:r>
        <w:rPr>
          <w:rFonts w:ascii="Times New Roman"/>
          <w:b w:val="false"/>
          <w:i w:val="false"/>
          <w:color w:val="000000"/>
          <w:sz w:val="24"/>
          <w:vertAlign w:val="subscript"/>
          <w:lang w:val="pl-PL"/>
        </w:rPr>
        <w:t>0</w:t>
      </w:r>
      <w:r>
        <w:rPr>
          <w:rFonts w:ascii="Times New Roman"/>
          <w:b w:val="false"/>
          <w:i w:val="false"/>
          <w:color w:val="000000"/>
          <w:sz w:val="24"/>
          <w:lang w:val="pl-PL"/>
        </w:rPr>
        <w:t>, Y</w:t>
      </w:r>
      <w:r>
        <w:rPr>
          <w:rFonts w:ascii="Times New Roman"/>
          <w:b w:val="false"/>
          <w:i w:val="false"/>
          <w:color w:val="000000"/>
          <w:sz w:val="24"/>
          <w:vertAlign w:val="subscript"/>
          <w:lang w:val="pl-PL"/>
        </w:rPr>
        <w:t>G</w:t>
      </w:r>
      <w:r>
        <w:rPr>
          <w:rFonts w:ascii="Times New Roman"/>
          <w:b w:val="false"/>
          <w:i w:val="false"/>
          <w:color w:val="000000"/>
          <w:sz w:val="24"/>
          <w:lang w:val="pl-PL"/>
        </w:rPr>
        <w:t xml:space="preserve">k </w:t>
      </w:r>
      <w:r>
        <w:rPr>
          <w:rFonts w:ascii="Times New Roman"/>
          <w:b w:val="false"/>
          <w:i w:val="false"/>
          <w:color w:val="000000"/>
          <w:sz w:val="24"/>
          <w:vertAlign w:val="superscript"/>
          <w:lang w:val="pl-PL"/>
        </w:rPr>
        <w:t>=</w:t>
      </w:r>
      <w:r>
        <w:rPr>
          <w:rFonts w:ascii="Times New Roman"/>
          <w:b w:val="false"/>
          <w:i w:val="false"/>
          <w:color w:val="000000"/>
          <w:sz w:val="24"/>
          <w:lang w:val="pl-PL"/>
        </w:rPr>
        <w:t xml:space="preserve"> [Y</w:t>
      </w:r>
      <w:r>
        <w:rPr>
          <w:rFonts w:ascii="Times New Roman"/>
          <w:b w:val="false"/>
          <w:i w:val="false"/>
          <w:color w:val="000000"/>
          <w:sz w:val="24"/>
          <w:vertAlign w:val="subscript"/>
          <w:lang w:val="pl-PL"/>
        </w:rPr>
        <w:t>2000</w:t>
      </w:r>
      <w:r>
        <w:rPr>
          <w:rFonts w:ascii="Times New Roman"/>
          <w:b w:val="false"/>
          <w:i w:val="false"/>
          <w:color w:val="000000"/>
          <w:sz w:val="24"/>
          <w:lang w:val="pl-PL"/>
        </w:rPr>
        <w:t xml:space="preserve"> - (Ν * 1000000 + 500000)] / m</w:t>
      </w:r>
      <w:r>
        <w:rPr>
          <w:rFonts w:ascii="Times New Roman"/>
          <w:b w:val="false"/>
          <w:i w:val="false"/>
          <w:color w:val="000000"/>
          <w:sz w:val="24"/>
          <w:vertAlign w:val="subscript"/>
          <w:lang w:val="pl-PL"/>
        </w:rPr>
        <w:t>0</w:t>
      </w:r>
      <w:r>
        <w:rPr>
          <w:rFonts w:ascii="Times New Roman"/>
          <w:b w:val="false"/>
          <w:i w:val="false"/>
          <w:color w:val="000000"/>
          <w:sz w:val="24"/>
          <w:lang w:val="pl-PL"/>
        </w:rPr>
        <w:t>,</w:t>
      </w:r>
    </w:p>
    <w:p>
      <w:pPr>
        <w:spacing w:before="25" w:after="0"/>
        <w:ind w:left="0"/>
        <w:jc w:val="both"/>
        <w:textAlignment w:val="auto"/>
      </w:pPr>
      <w:r>
        <w:rPr>
          <w:rFonts w:ascii="Times New Roman"/>
          <w:b w:val="false"/>
          <w:i w:val="false"/>
          <w:color w:val="000000"/>
          <w:sz w:val="24"/>
          <w:lang w:val="pl-PL"/>
        </w:rPr>
        <w:t>przy czym N przyjmuje wartość:</w:t>
      </w:r>
    </w:p>
    <w:p>
      <w:pPr>
        <w:spacing w:before="25" w:after="0"/>
        <w:ind w:left="0"/>
        <w:jc w:val="both"/>
        <w:textAlignment w:val="auto"/>
      </w:pPr>
      <w:r>
        <w:rPr>
          <w:rFonts w:ascii="Times New Roman"/>
          <w:b w:val="false"/>
          <w:i w:val="false"/>
          <w:color w:val="000000"/>
          <w:sz w:val="24"/>
          <w:lang w:val="pl-PL"/>
        </w:rPr>
        <w:t>5 - dla pasa odwzorowania z południkiem osiowym L</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15°E,</w:t>
      </w:r>
    </w:p>
    <w:p>
      <w:pPr>
        <w:spacing w:before="25" w:after="0"/>
        <w:ind w:left="0"/>
        <w:jc w:val="both"/>
        <w:textAlignment w:val="auto"/>
      </w:pPr>
      <w:r>
        <w:rPr>
          <w:rFonts w:ascii="Times New Roman"/>
          <w:b w:val="false"/>
          <w:i w:val="false"/>
          <w:color w:val="000000"/>
          <w:sz w:val="24"/>
          <w:lang w:val="pl-PL"/>
        </w:rPr>
        <w:t>6 - dla pasa odwzorowania z południkiem osiowym L</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18°E,</w:t>
      </w:r>
    </w:p>
    <w:p>
      <w:pPr>
        <w:spacing w:before="25" w:after="0"/>
        <w:ind w:left="0"/>
        <w:jc w:val="both"/>
        <w:textAlignment w:val="auto"/>
      </w:pPr>
      <w:r>
        <w:rPr>
          <w:rFonts w:ascii="Times New Roman"/>
          <w:b w:val="false"/>
          <w:i w:val="false"/>
          <w:color w:val="000000"/>
          <w:sz w:val="24"/>
          <w:lang w:val="pl-PL"/>
        </w:rPr>
        <w:t>7 - dla pasa odwzorowania z południkiem osiowym L</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21°Έ,</w:t>
      </w:r>
    </w:p>
    <w:p>
      <w:pPr>
        <w:spacing w:before="25" w:after="0"/>
        <w:ind w:left="0"/>
        <w:jc w:val="both"/>
        <w:textAlignment w:val="auto"/>
      </w:pPr>
      <w:r>
        <w:rPr>
          <w:rFonts w:ascii="Times New Roman"/>
          <w:b w:val="false"/>
          <w:i w:val="false"/>
          <w:color w:val="000000"/>
          <w:sz w:val="24"/>
          <w:lang w:val="pl-PL"/>
        </w:rPr>
        <w:t>8 - dla pasa odwzorowania z południkiem osiowym L</w:t>
      </w:r>
      <w:r>
        <w:rPr>
          <w:rFonts w:ascii="Times New Roman"/>
          <w:b w:val="false"/>
          <w:i w:val="false"/>
          <w:color w:val="000000"/>
          <w:sz w:val="24"/>
          <w:vertAlign w:val="subscript"/>
          <w:lang w:val="pl-PL"/>
        </w:rPr>
        <w:t>0</w:t>
      </w:r>
      <w:r>
        <w:rPr>
          <w:rFonts w:ascii="Times New Roman"/>
          <w:b w:val="false"/>
          <w:i w:val="false"/>
          <w:color w:val="000000"/>
          <w:sz w:val="24"/>
          <w:lang w:val="pl-PL"/>
        </w:rPr>
        <w:t xml:space="preserve"> = 24°E.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4</w:t>
      </w:r>
    </w:p>
    <w:p>
      <w:pPr>
        <w:spacing w:before="25" w:after="0"/>
        <w:ind w:left="0"/>
        <w:jc w:val="center"/>
        <w:textAlignment w:val="auto"/>
      </w:pPr>
      <w:r>
        <w:rPr>
          <w:rFonts w:ascii="Times New Roman"/>
          <w:b/>
          <w:i w:val="false"/>
          <w:color w:val="000000"/>
          <w:sz w:val="24"/>
          <w:lang w:val="pl-PL"/>
        </w:rPr>
        <w:t>DOPUSZCZALNE WARTOŚCI ATRYBUTÓW PUNKTÓW GRANICZNYCH</w:t>
      </w:r>
    </w:p>
    <w:p>
      <w:pPr>
        <w:spacing w:after="0"/>
        <w:ind w:left="0"/>
        <w:jc w:val="left"/>
        <w:textAlignment w:val="auto"/>
      </w:pPr>
      <w:r>
        <w:rPr>
          <w:rFonts w:ascii="Times New Roman"/>
          <w:b w:val="false"/>
          <w:i w:val="false"/>
          <w:color w:val="000000"/>
          <w:sz w:val="24"/>
          <w:lang w:val="pl-PL"/>
        </w:rPr>
        <w:t>1. Sposób pozyskania danych o punkcie granicznym (SPD):</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36"/>
        <w:gridCol w:w="10814"/>
        <w:gridCol w:w="2667"/>
      </w:tblGrid>
      <w:tr>
        <w:trPr>
          <w:trHeight w:val="45" w:hRule="atLeast"/>
        </w:trPr>
        <w:tc>
          <w:tcPr>
            <w:tcW w:w="103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Lp.</w:t>
            </w:r>
          </w:p>
        </w:tc>
        <w:tc>
          <w:tcPr>
            <w:tcW w:w="1081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Sposób pozyskania danych o punkcie granicznym (SPD)</w:t>
            </w:r>
          </w:p>
        </w:tc>
        <w:tc>
          <w:tcPr>
            <w:tcW w:w="26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Dotychczasowy atrybut ZRD</w:t>
            </w:r>
          </w:p>
        </w:tc>
      </w:tr>
      <w:tr>
        <w:trPr>
          <w:trHeight w:val="45" w:hRule="atLeast"/>
        </w:trPr>
        <w:tc>
          <w:tcPr>
            <w:tcW w:w="103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w:t>
            </w:r>
          </w:p>
        </w:tc>
        <w:tc>
          <w:tcPr>
            <w:tcW w:w="1081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ustalony</w:t>
            </w:r>
          </w:p>
        </w:tc>
        <w:tc>
          <w:tcPr>
            <w:tcW w:w="26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1,3,5, 6, 9</w:t>
            </w:r>
          </w:p>
        </w:tc>
      </w:tr>
      <w:tr>
        <w:trPr>
          <w:trHeight w:val="45" w:hRule="atLeast"/>
        </w:trPr>
        <w:tc>
          <w:tcPr>
            <w:tcW w:w="103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w:t>
            </w:r>
          </w:p>
        </w:tc>
        <w:tc>
          <w:tcPr>
            <w:tcW w:w="1081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nieustalony</w:t>
            </w:r>
          </w:p>
        </w:tc>
        <w:tc>
          <w:tcPr>
            <w:tcW w:w="26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2, 4, 7, 8</w:t>
            </w:r>
          </w:p>
        </w:tc>
      </w:tr>
    </w:tbl>
    <w:p>
      <w:pPr>
        <w:spacing w:before="25" w:after="0"/>
        <w:ind w:left="0"/>
        <w:jc w:val="both"/>
        <w:textAlignment w:val="auto"/>
      </w:pPr>
      <w:r>
        <w:rPr>
          <w:rFonts w:ascii="Times New Roman"/>
          <w:b w:val="false"/>
          <w:i w:val="false"/>
          <w:color w:val="000000"/>
          <w:sz w:val="24"/>
          <w:lang w:val="pl-PL"/>
        </w:rPr>
        <w:t>2. Punkt graniczny przyjmuje wartość atrybutu SPD jako "ustalony" w przypadku:</w:t>
      </w:r>
    </w:p>
    <w:p>
      <w:pPr>
        <w:spacing w:before="25" w:after="0"/>
        <w:ind w:left="0"/>
        <w:jc w:val="both"/>
        <w:textAlignment w:val="auto"/>
      </w:pPr>
      <w:r>
        <w:rPr>
          <w:rFonts w:ascii="Times New Roman"/>
          <w:b w:val="false"/>
          <w:i w:val="false"/>
          <w:color w:val="000000"/>
          <w:sz w:val="24"/>
          <w:lang w:val="pl-PL"/>
        </w:rPr>
        <w:t>1) geodezyjnych pomiarów terenowych poprzedzonych:</w:t>
      </w:r>
    </w:p>
    <w:p>
      <w:pPr>
        <w:spacing w:before="25" w:after="0"/>
        <w:ind w:left="0"/>
        <w:jc w:val="both"/>
        <w:textAlignment w:val="auto"/>
      </w:pPr>
      <w:r>
        <w:rPr>
          <w:rFonts w:ascii="Times New Roman"/>
          <w:b w:val="false"/>
          <w:i w:val="false"/>
          <w:color w:val="000000"/>
          <w:sz w:val="24"/>
          <w:lang w:val="pl-PL"/>
        </w:rPr>
        <w:t>a) rozgraniczeniem nieruchomości,</w:t>
      </w:r>
    </w:p>
    <w:p>
      <w:pPr>
        <w:spacing w:before="25" w:after="0"/>
        <w:ind w:left="0"/>
        <w:jc w:val="both"/>
        <w:textAlignment w:val="auto"/>
      </w:pPr>
      <w:r>
        <w:rPr>
          <w:rFonts w:ascii="Times New Roman"/>
          <w:b w:val="false"/>
          <w:i w:val="false"/>
          <w:color w:val="000000"/>
          <w:sz w:val="24"/>
          <w:lang w:val="pl-PL"/>
        </w:rPr>
        <w:t>b) wznowieniem znaków granicznych, wyznaczeniem punktów granicznych lub</w:t>
      </w:r>
    </w:p>
    <w:p>
      <w:pPr>
        <w:spacing w:before="25" w:after="0"/>
        <w:ind w:left="0"/>
        <w:jc w:val="both"/>
        <w:textAlignment w:val="auto"/>
      </w:pPr>
      <w:r>
        <w:rPr>
          <w:rFonts w:ascii="Times New Roman"/>
          <w:b w:val="false"/>
          <w:i w:val="false"/>
          <w:color w:val="000000"/>
          <w:sz w:val="24"/>
          <w:lang w:val="pl-PL"/>
        </w:rPr>
        <w:t>c) ustaleniem ich położenia w innym trybie, w tym w trybie określonym w § 33 ust. 1-3 rozporządzenia;</w:t>
      </w:r>
    </w:p>
    <w:p>
      <w:pPr>
        <w:spacing w:before="25" w:after="0"/>
        <w:ind w:left="0"/>
        <w:jc w:val="both"/>
        <w:textAlignment w:val="auto"/>
      </w:pPr>
      <w:r>
        <w:rPr>
          <w:rFonts w:ascii="Times New Roman"/>
          <w:b w:val="false"/>
          <w:i w:val="false"/>
          <w:color w:val="000000"/>
          <w:sz w:val="24"/>
          <w:lang w:val="pl-PL"/>
        </w:rPr>
        <w:t>2) geodezyjnych pomiarów fotogrametrycznych punktów granicznych, których położenie zostało uprzednio ustalone, a także pomiary fotogrametryczne znaków granicznych uwidocznionych na zdjęciach lotniczych lub na ortofotomapie w wyniku ich sygnalizacji przed wykonaniem zdjęć;</w:t>
      </w:r>
    </w:p>
    <w:p>
      <w:pPr>
        <w:spacing w:before="25" w:after="0"/>
        <w:ind w:left="0"/>
        <w:jc w:val="both"/>
        <w:textAlignment w:val="auto"/>
      </w:pPr>
      <w:r>
        <w:rPr>
          <w:rFonts w:ascii="Times New Roman"/>
          <w:b w:val="false"/>
          <w:i w:val="false"/>
          <w:color w:val="000000"/>
          <w:sz w:val="24"/>
          <w:lang w:val="pl-PL"/>
        </w:rPr>
        <w:t>3) podziału nieruchomości lub scalenia i podziału nieruchomości, dla punktów nowych;</w:t>
      </w:r>
    </w:p>
    <w:p>
      <w:pPr>
        <w:spacing w:before="25" w:after="0"/>
        <w:ind w:left="0"/>
        <w:jc w:val="both"/>
        <w:textAlignment w:val="auto"/>
      </w:pPr>
      <w:r>
        <w:rPr>
          <w:rFonts w:ascii="Times New Roman"/>
          <w:b w:val="false"/>
          <w:i w:val="false"/>
          <w:color w:val="000000"/>
          <w:sz w:val="24"/>
          <w:lang w:val="pl-PL"/>
        </w:rPr>
        <w:t>4) zatwierdzonych projektów scalenia lub wymiany gruntów.</w:t>
      </w:r>
    </w:p>
    <w:p>
      <w:pPr>
        <w:spacing w:before="25" w:after="0"/>
        <w:ind w:left="0"/>
        <w:jc w:val="both"/>
        <w:textAlignment w:val="auto"/>
      </w:pPr>
      <w:r>
        <w:rPr>
          <w:rFonts w:ascii="Times New Roman"/>
          <w:b w:val="false"/>
          <w:i w:val="false"/>
          <w:color w:val="000000"/>
          <w:sz w:val="24"/>
          <w:lang w:val="pl-PL"/>
        </w:rPr>
        <w:t>3. Punkt graniczny przyjmuje wartość atrybutu SPD jako "nieustalony" w pozostałych przypadkach.</w:t>
      </w:r>
    </w:p>
    <w:p>
      <w:pPr>
        <w:spacing w:before="25" w:after="0"/>
        <w:ind w:left="0"/>
        <w:jc w:val="both"/>
        <w:textAlignment w:val="auto"/>
      </w:pPr>
      <w:r>
        <w:rPr>
          <w:rFonts w:ascii="Times New Roman"/>
          <w:b w:val="false"/>
          <w:i w:val="false"/>
          <w:color w:val="000000"/>
          <w:sz w:val="24"/>
          <w:lang w:val="pl-PL"/>
        </w:rPr>
        <w:t>4. Informacja dotycząca spełnienia standardów dokładno ścio wy eh (ISD):</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36"/>
        <w:gridCol w:w="10814"/>
        <w:gridCol w:w="2667"/>
      </w:tblGrid>
      <w:tr>
        <w:trPr>
          <w:trHeight w:val="45" w:hRule="atLeast"/>
        </w:trPr>
        <w:tc>
          <w:tcPr>
            <w:tcW w:w="103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Lp.</w:t>
            </w:r>
          </w:p>
        </w:tc>
        <w:tc>
          <w:tcPr>
            <w:tcW w:w="1081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Informacja dotycząca spełnienia standardów dokładnościowych przez punkt graniczny (ISD)</w:t>
            </w:r>
          </w:p>
        </w:tc>
        <w:tc>
          <w:tcPr>
            <w:tcW w:w="26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i w:val="false"/>
                <w:color w:val="000000"/>
                <w:sz w:val="24"/>
                <w:lang w:val="pl-PL"/>
              </w:rPr>
              <w:t>Dotychczasowy atrybut BPP</w:t>
            </w:r>
          </w:p>
        </w:tc>
      </w:tr>
      <w:tr>
        <w:trPr>
          <w:trHeight w:val="45" w:hRule="atLeast"/>
        </w:trPr>
        <w:tc>
          <w:tcPr>
            <w:tcW w:w="103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w:t>
            </w:r>
          </w:p>
        </w:tc>
        <w:tc>
          <w:tcPr>
            <w:tcW w:w="1081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Spełnia</w:t>
            </w:r>
          </w:p>
        </w:tc>
        <w:tc>
          <w:tcPr>
            <w:tcW w:w="26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1,2</w:t>
            </w:r>
          </w:p>
        </w:tc>
      </w:tr>
      <w:tr>
        <w:trPr>
          <w:trHeight w:val="45" w:hRule="atLeast"/>
        </w:trPr>
        <w:tc>
          <w:tcPr>
            <w:tcW w:w="103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w:t>
            </w:r>
          </w:p>
        </w:tc>
        <w:tc>
          <w:tcPr>
            <w:tcW w:w="1081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Nie spełnia</w:t>
            </w:r>
          </w:p>
        </w:tc>
        <w:tc>
          <w:tcPr>
            <w:tcW w:w="26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3,4, 5, 6</w:t>
            </w:r>
          </w:p>
        </w:tc>
      </w:tr>
    </w:tbl>
    <w:p>
      <w:pPr>
        <w:spacing w:before="25" w:after="0"/>
        <w:ind w:left="0"/>
        <w:jc w:val="both"/>
        <w:textAlignment w:val="auto"/>
      </w:pPr>
      <w:r>
        <w:rPr>
          <w:rFonts w:ascii="Times New Roman"/>
          <w:b w:val="false"/>
          <w:i w:val="false"/>
          <w:color w:val="000000"/>
          <w:sz w:val="24"/>
          <w:lang w:val="pl-PL"/>
        </w:rPr>
        <w:t>5. Punkt graniczny przyjmuje wartość atrybutu ISD jako "spełnia" w przypadku określenia położenia punktu względem punktów poziomej osnowy geodezyjnej lub pomiarowej, z dokładnością nie mniejszą niż 0,10 m.</w:t>
      </w:r>
    </w:p>
    <w:p>
      <w:pPr>
        <w:spacing w:before="25" w:after="0"/>
        <w:ind w:left="0"/>
        <w:jc w:val="both"/>
        <w:textAlignment w:val="auto"/>
      </w:pPr>
      <w:r>
        <w:rPr>
          <w:rFonts w:ascii="Times New Roman"/>
          <w:b w:val="false"/>
          <w:i w:val="false"/>
          <w:color w:val="000000"/>
          <w:sz w:val="24"/>
          <w:lang w:val="pl-PL"/>
        </w:rPr>
        <w:t>6. Punkt graniczny przyjmuje wartość atrybutu ISD jako "nie spełnia" w pozostałych przypadkach.</w:t>
      </w:r>
    </w:p>
    <w:p>
      <w:pPr>
        <w:spacing w:before="25" w:after="0"/>
        <w:ind w:left="0"/>
        <w:jc w:val="both"/>
        <w:textAlignment w:val="auto"/>
      </w:pPr>
      <w:r>
        <w:rPr>
          <w:rFonts w:ascii="Times New Roman"/>
          <w:b w:val="false"/>
          <w:i w:val="false"/>
          <w:color w:val="000000"/>
          <w:sz w:val="24"/>
          <w:lang w:val="pl-PL"/>
        </w:rPr>
        <w:t>7. Rodzaj stabilizacji punktu granicznego:</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11"/>
        <w:gridCol w:w="13296"/>
      </w:tblGrid>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Lp.</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Rodzaj stabilizacji punktu granicznego (STB)</w:t>
            </w:r>
          </w:p>
        </w:tc>
      </w:tr>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brak informacji</w:t>
            </w:r>
          </w:p>
        </w:tc>
      </w:tr>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niestabilizowany</w:t>
            </w:r>
          </w:p>
        </w:tc>
      </w:tr>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3</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znak naziemny</w:t>
            </w:r>
          </w:p>
        </w:tc>
      </w:tr>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znak naziemny i podziemny</w:t>
            </w:r>
          </w:p>
        </w:tc>
      </w:tr>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znak podziemny</w:t>
            </w:r>
          </w:p>
        </w:tc>
      </w:tr>
      <w:tr>
        <w:trPr>
          <w:trHeight w:val="45" w:hRule="atLeast"/>
        </w:trPr>
        <w:tc>
          <w:tcPr>
            <w:tcW w:w="101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6</w:t>
            </w:r>
          </w:p>
        </w:tc>
        <w:tc>
          <w:tcPr>
            <w:tcW w:w="1329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szczegół terenowy I grupy dokładnościowej</w:t>
            </w:r>
          </w:p>
        </w:tc>
      </w:tr>
    </w:tbl>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5</w:t>
      </w:r>
    </w:p>
    <w:p>
      <w:pPr>
        <w:spacing w:before="25" w:after="0"/>
        <w:ind w:left="0"/>
        <w:jc w:val="center"/>
        <w:textAlignment w:val="auto"/>
      </w:pPr>
      <w:r>
        <w:rPr>
          <w:rFonts w:ascii="Times New Roman"/>
          <w:b/>
          <w:i w:val="false"/>
          <w:color w:val="000000"/>
          <w:sz w:val="24"/>
          <w:lang w:val="pl-PL"/>
        </w:rPr>
        <w:t>IDENTYFIKATORY OBIEKTÓW BAZY DANYCH EWIDENCYJNYCH ORAZ STATUSÓW PODMIOTÓW</w:t>
      </w:r>
    </w:p>
    <w:p>
      <w:pPr>
        <w:spacing w:after="0"/>
        <w:ind w:left="0"/>
        <w:jc w:val="left"/>
        <w:textAlignment w:val="auto"/>
      </w:pPr>
      <w:r>
        <w:rPr>
          <w:rFonts w:ascii="Times New Roman"/>
          <w:b w:val="false"/>
          <w:i w:val="false"/>
          <w:color w:val="000000"/>
          <w:sz w:val="24"/>
          <w:lang w:val="pl-PL"/>
        </w:rPr>
        <w:t xml:space="preserve">1. Identyfikator jednostki ewidencyjnej przyjmuje postać </w:t>
      </w:r>
      <w:r>
        <w:rPr>
          <w:rFonts w:ascii="Times New Roman"/>
          <w:b/>
          <w:i w:val="false"/>
          <w:color w:val="000000"/>
          <w:sz w:val="24"/>
          <w:lang w:val="pl-PL"/>
        </w:rPr>
        <w:t xml:space="preserve">WWPPGG_R, </w:t>
      </w:r>
      <w:r>
        <w:rPr>
          <w:rFonts w:ascii="Times New Roman"/>
          <w:b w:val="false"/>
          <w:i w:val="false"/>
          <w:color w:val="000000"/>
          <w:sz w:val="24"/>
          <w:lang w:val="pl-PL"/>
        </w:rPr>
        <w:t xml:space="preserve">wynikającą z podziału administracyjnego kraju, o którym mowa w przepisach wydanych na podstawie </w:t>
      </w:r>
      <w:r>
        <w:rPr>
          <w:rFonts w:ascii="Times New Roman"/>
          <w:b w:val="false"/>
          <w:i w:val="false"/>
          <w:color w:val="1b1b1b"/>
          <w:sz w:val="24"/>
          <w:lang w:val="pl-PL"/>
        </w:rPr>
        <w:t>art. 49</w:t>
      </w:r>
      <w:r>
        <w:rPr>
          <w:rFonts w:ascii="Times New Roman"/>
          <w:b w:val="false"/>
          <w:i w:val="false"/>
          <w:color w:val="000000"/>
          <w:sz w:val="24"/>
          <w:lang w:val="pl-PL"/>
        </w:rPr>
        <w:t xml:space="preserve"> ustawy z dnia 29 czerwca 1995 r. o statystyce publicznej (Dz. U. z 2023 r. poz. 773).</w:t>
      </w:r>
    </w:p>
    <w:p>
      <w:pPr>
        <w:spacing w:before="25" w:after="0"/>
        <w:ind w:left="0"/>
        <w:jc w:val="both"/>
        <w:textAlignment w:val="auto"/>
      </w:pPr>
      <w:r>
        <w:rPr>
          <w:rFonts w:ascii="Times New Roman"/>
          <w:b w:val="false"/>
          <w:i w:val="false"/>
          <w:color w:val="000000"/>
          <w:sz w:val="24"/>
          <w:lang w:val="pl-PL"/>
        </w:rPr>
        <w:t>2. Poszczególne sekwencje liter we wzorze identyfikatora określonego w ust. 1 oznaczają:</w:t>
      </w:r>
    </w:p>
    <w:p>
      <w:pPr>
        <w:spacing w:before="25" w:after="0"/>
        <w:ind w:left="0"/>
        <w:jc w:val="both"/>
        <w:textAlignment w:val="auto"/>
      </w:pPr>
      <w:r>
        <w:rPr>
          <w:rFonts w:ascii="Times New Roman"/>
          <w:b w:val="false"/>
          <w:i w:val="false"/>
          <w:color w:val="000000"/>
          <w:sz w:val="24"/>
          <w:lang w:val="pl-PL"/>
        </w:rPr>
        <w:t xml:space="preserve">1) </w:t>
      </w:r>
      <w:r>
        <w:rPr>
          <w:rFonts w:ascii="Times New Roman"/>
          <w:b/>
          <w:i w:val="false"/>
          <w:color w:val="000000"/>
          <w:sz w:val="24"/>
          <w:lang w:val="pl-PL"/>
        </w:rPr>
        <w:t xml:space="preserve">"WW" </w:t>
      </w:r>
      <w:r>
        <w:rPr>
          <w:rFonts w:ascii="Times New Roman"/>
          <w:b w:val="false"/>
          <w:i w:val="false"/>
          <w:color w:val="000000"/>
          <w:sz w:val="24"/>
          <w:lang w:val="pl-PL"/>
        </w:rPr>
        <w:t>- kod województwa;</w:t>
      </w:r>
    </w:p>
    <w:p>
      <w:pPr>
        <w:spacing w:before="25" w:after="0"/>
        <w:ind w:left="0"/>
        <w:jc w:val="both"/>
        <w:textAlignment w:val="auto"/>
      </w:pPr>
      <w:r>
        <w:rPr>
          <w:rFonts w:ascii="Times New Roman"/>
          <w:b w:val="false"/>
          <w:i w:val="false"/>
          <w:color w:val="000000"/>
          <w:sz w:val="24"/>
          <w:lang w:val="pl-PL"/>
        </w:rPr>
        <w:t xml:space="preserve">2) </w:t>
      </w:r>
      <w:r>
        <w:rPr>
          <w:rFonts w:ascii="Times New Roman"/>
          <w:b/>
          <w:i w:val="false"/>
          <w:color w:val="000000"/>
          <w:sz w:val="24"/>
          <w:lang w:val="pl-PL"/>
        </w:rPr>
        <w:t xml:space="preserve">"PP" </w:t>
      </w:r>
      <w:r>
        <w:rPr>
          <w:rFonts w:ascii="Times New Roman"/>
          <w:b w:val="false"/>
          <w:i w:val="false"/>
          <w:color w:val="000000"/>
          <w:sz w:val="24"/>
          <w:lang w:val="pl-PL"/>
        </w:rPr>
        <w:t>- kod powiatu w województwie;</w:t>
      </w:r>
    </w:p>
    <w:p>
      <w:pPr>
        <w:spacing w:before="25" w:after="0"/>
        <w:ind w:left="0"/>
        <w:jc w:val="both"/>
        <w:textAlignment w:val="auto"/>
      </w:pPr>
      <w:r>
        <w:rPr>
          <w:rFonts w:ascii="Times New Roman"/>
          <w:b w:val="false"/>
          <w:i w:val="false"/>
          <w:color w:val="000000"/>
          <w:sz w:val="24"/>
          <w:lang w:val="pl-PL"/>
        </w:rPr>
        <w:t>3), °CG" - kod gminy;</w:t>
      </w:r>
    </w:p>
    <w:p>
      <w:pPr>
        <w:spacing w:before="25" w:after="0"/>
        <w:ind w:left="0"/>
        <w:jc w:val="both"/>
        <w:textAlignment w:val="auto"/>
      </w:pPr>
      <w:r>
        <w:rPr>
          <w:rFonts w:ascii="Times New Roman"/>
          <w:b w:val="false"/>
          <w:i w:val="false"/>
          <w:color w:val="000000"/>
          <w:sz w:val="24"/>
          <w:lang w:val="pl-PL"/>
        </w:rPr>
        <w:t xml:space="preserve">4) </w:t>
      </w:r>
      <w:r>
        <w:rPr>
          <w:rFonts w:ascii="Times New Roman"/>
          <w:b/>
          <w:i w:val="false"/>
          <w:color w:val="000000"/>
          <w:sz w:val="24"/>
          <w:lang w:val="pl-PL"/>
        </w:rPr>
        <w:t xml:space="preserve">"R" </w:t>
      </w:r>
      <w:r>
        <w:rPr>
          <w:rFonts w:ascii="Times New Roman"/>
          <w:b w:val="false"/>
          <w:i w:val="false"/>
          <w:color w:val="000000"/>
          <w:sz w:val="24"/>
          <w:lang w:val="pl-PL"/>
        </w:rPr>
        <w:t>- rodzaj jednostki.</w:t>
      </w:r>
    </w:p>
    <w:p>
      <w:pPr>
        <w:spacing w:before="25" w:after="0"/>
        <w:ind w:left="0"/>
        <w:jc w:val="both"/>
        <w:textAlignment w:val="auto"/>
      </w:pPr>
      <w:r>
        <w:rPr>
          <w:rFonts w:ascii="Times New Roman"/>
          <w:b w:val="false"/>
          <w:i w:val="false"/>
          <w:color w:val="000000"/>
          <w:sz w:val="24"/>
          <w:lang w:val="pl-PL"/>
        </w:rPr>
        <w:t xml:space="preserve">3. Identyfikator obrębu ewidencyjnego przyjmuje postać: </w:t>
      </w:r>
      <w:r>
        <w:rPr>
          <w:rFonts w:ascii="Times New Roman"/>
          <w:b/>
          <w:i w:val="false"/>
          <w:color w:val="000000"/>
          <w:sz w:val="24"/>
          <w:lang w:val="pl-PL"/>
        </w:rPr>
        <w:t>WWPPGG_R, XXXX.</w:t>
      </w:r>
    </w:p>
    <w:p>
      <w:pPr>
        <w:spacing w:before="25" w:after="0"/>
        <w:ind w:left="0"/>
        <w:jc w:val="both"/>
        <w:textAlignment w:val="auto"/>
      </w:pPr>
      <w:r>
        <w:rPr>
          <w:rFonts w:ascii="Times New Roman"/>
          <w:b w:val="false"/>
          <w:i w:val="false"/>
          <w:color w:val="000000"/>
          <w:sz w:val="24"/>
          <w:lang w:val="pl-PL"/>
        </w:rPr>
        <w:t xml:space="preserve">4. Sekwencja liter </w:t>
      </w:r>
      <w:r>
        <w:rPr>
          <w:rFonts w:ascii="Times New Roman"/>
          <w:b/>
          <w:i w:val="false"/>
          <w:color w:val="000000"/>
          <w:sz w:val="24"/>
          <w:lang w:val="pl-PL"/>
        </w:rPr>
        <w:t xml:space="preserve">"XXXX" </w:t>
      </w:r>
      <w:r>
        <w:rPr>
          <w:rFonts w:ascii="Times New Roman"/>
          <w:b w:val="false"/>
          <w:i w:val="false"/>
          <w:color w:val="000000"/>
          <w:sz w:val="24"/>
          <w:lang w:val="pl-PL"/>
        </w:rPr>
        <w:t>we wzorze identyfikatora, o którym mowa w ust. 3, oznacza numer ewidencyjny obrębu w jednostce ewidencyjnej, określony za pomocą liczb całkowitych w przedziale od 0001 do 9999.</w:t>
      </w:r>
    </w:p>
    <w:p>
      <w:pPr>
        <w:spacing w:before="25" w:after="0"/>
        <w:ind w:left="0"/>
        <w:jc w:val="both"/>
        <w:textAlignment w:val="auto"/>
      </w:pPr>
      <w:r>
        <w:rPr>
          <w:rFonts w:ascii="Times New Roman"/>
          <w:b w:val="false"/>
          <w:i w:val="false"/>
          <w:color w:val="000000"/>
          <w:sz w:val="24"/>
          <w:lang w:val="pl-PL"/>
        </w:rPr>
        <w:t xml:space="preserve">5. Identyfikator działki ewidencyjnej przyjmuje postać: </w:t>
      </w:r>
      <w:r>
        <w:rPr>
          <w:rFonts w:ascii="Times New Roman"/>
          <w:b/>
          <w:i w:val="false"/>
          <w:color w:val="000000"/>
          <w:sz w:val="24"/>
          <w:lang w:val="pl-PL"/>
        </w:rPr>
        <w:t>WWPPGG_R.XXXX.NDZ,</w:t>
      </w:r>
    </w:p>
    <w:p>
      <w:pPr>
        <w:spacing w:before="25" w:after="0"/>
        <w:ind w:left="0"/>
        <w:jc w:val="both"/>
        <w:textAlignment w:val="auto"/>
      </w:pPr>
      <w:r>
        <w:rPr>
          <w:rFonts w:ascii="Times New Roman"/>
          <w:b w:val="false"/>
          <w:i w:val="false"/>
          <w:color w:val="000000"/>
          <w:sz w:val="24"/>
          <w:lang w:val="pl-PL"/>
        </w:rPr>
        <w:t xml:space="preserve">6. Sekwencja liter </w:t>
      </w:r>
      <w:r>
        <w:rPr>
          <w:rFonts w:ascii="Times New Roman"/>
          <w:b/>
          <w:i w:val="false"/>
          <w:color w:val="000000"/>
          <w:sz w:val="24"/>
          <w:lang w:val="pl-PL"/>
        </w:rPr>
        <w:t xml:space="preserve">"NDZ" </w:t>
      </w:r>
      <w:r>
        <w:rPr>
          <w:rFonts w:ascii="Times New Roman"/>
          <w:b w:val="false"/>
          <w:i w:val="false"/>
          <w:color w:val="000000"/>
          <w:sz w:val="24"/>
          <w:lang w:val="pl-PL"/>
        </w:rPr>
        <w:t>we wzorze identyfikatora, o którym mowa w ust. 5, oznacza numer ewidencyjny działki ewidencyjnej.</w:t>
      </w:r>
    </w:p>
    <w:p>
      <w:pPr>
        <w:spacing w:before="25" w:after="0"/>
        <w:ind w:left="0"/>
        <w:jc w:val="both"/>
        <w:textAlignment w:val="auto"/>
      </w:pPr>
      <w:r>
        <w:rPr>
          <w:rFonts w:ascii="Times New Roman"/>
          <w:b w:val="false"/>
          <w:i w:val="false"/>
          <w:color w:val="000000"/>
          <w:sz w:val="24"/>
          <w:lang w:val="pl-PL"/>
        </w:rPr>
        <w:t xml:space="preserve">7. Identyfikator budynku ewidencyjnego przyjmuje postać: </w:t>
      </w:r>
      <w:r>
        <w:rPr>
          <w:rFonts w:ascii="Times New Roman"/>
          <w:b/>
          <w:i w:val="false"/>
          <w:color w:val="000000"/>
          <w:sz w:val="24"/>
          <w:lang w:val="pl-PL"/>
        </w:rPr>
        <w:t>WWPPGG_R.XXXX.Nr_BUD.</w:t>
      </w:r>
    </w:p>
    <w:p>
      <w:pPr>
        <w:spacing w:before="25" w:after="0"/>
        <w:ind w:left="0"/>
        <w:jc w:val="both"/>
        <w:textAlignment w:val="auto"/>
      </w:pPr>
      <w:r>
        <w:rPr>
          <w:rFonts w:ascii="Times New Roman"/>
          <w:b w:val="false"/>
          <w:i w:val="false"/>
          <w:color w:val="000000"/>
          <w:sz w:val="24"/>
          <w:lang w:val="pl-PL"/>
        </w:rPr>
        <w:t xml:space="preserve">8. Sekwencja liter </w:t>
      </w:r>
      <w:r>
        <w:rPr>
          <w:rFonts w:ascii="Times New Roman"/>
          <w:b/>
          <w:i w:val="false"/>
          <w:color w:val="000000"/>
          <w:sz w:val="24"/>
          <w:lang w:val="pl-PL"/>
        </w:rPr>
        <w:t xml:space="preserve">"Nr_BUD" </w:t>
      </w:r>
      <w:r>
        <w:rPr>
          <w:rFonts w:ascii="Times New Roman"/>
          <w:b w:val="false"/>
          <w:i w:val="false"/>
          <w:color w:val="000000"/>
          <w:sz w:val="24"/>
          <w:lang w:val="pl-PL"/>
        </w:rPr>
        <w:t xml:space="preserve">we wzorze identyfikatora, o którym mowa w ust. 7, jest oznaczeniem budynku, w którym </w:t>
      </w:r>
      <w:r>
        <w:rPr>
          <w:rFonts w:ascii="Times New Roman"/>
          <w:b/>
          <w:i w:val="false"/>
          <w:color w:val="000000"/>
          <w:sz w:val="24"/>
          <w:lang w:val="pl-PL"/>
        </w:rPr>
        <w:t xml:space="preserve">"Nr" </w:t>
      </w:r>
      <w:r>
        <w:rPr>
          <w:rFonts w:ascii="Times New Roman"/>
          <w:b w:val="false"/>
          <w:i w:val="false"/>
          <w:color w:val="000000"/>
          <w:sz w:val="24"/>
          <w:lang w:val="pl-PL"/>
        </w:rPr>
        <w:t>jest numerem ewidencyjnym budynku w obrębie, ustalonym w postaci liczby naturalnej.</w:t>
      </w:r>
    </w:p>
    <w:p>
      <w:pPr>
        <w:spacing w:before="25" w:after="0"/>
        <w:ind w:left="0"/>
        <w:jc w:val="both"/>
        <w:textAlignment w:val="auto"/>
      </w:pPr>
      <w:r>
        <w:rPr>
          <w:rFonts w:ascii="Times New Roman"/>
          <w:b w:val="false"/>
          <w:i w:val="false"/>
          <w:color w:val="000000"/>
          <w:sz w:val="24"/>
          <w:lang w:val="pl-PL"/>
        </w:rPr>
        <w:t xml:space="preserve">9. Identyfikator lokalu przyjmuje postać: </w:t>
      </w:r>
      <w:r>
        <w:rPr>
          <w:rFonts w:ascii="Times New Roman"/>
          <w:b/>
          <w:i w:val="false"/>
          <w:color w:val="000000"/>
          <w:sz w:val="24"/>
          <w:lang w:val="pl-PL"/>
        </w:rPr>
        <w:t>[identyfikator budynku].NR_LOK.</w:t>
      </w:r>
    </w:p>
    <w:p>
      <w:pPr>
        <w:spacing w:before="25" w:after="0"/>
        <w:ind w:left="0"/>
        <w:jc w:val="both"/>
        <w:textAlignment w:val="auto"/>
      </w:pPr>
      <w:r>
        <w:rPr>
          <w:rFonts w:ascii="Times New Roman"/>
          <w:b w:val="false"/>
          <w:i w:val="false"/>
          <w:color w:val="000000"/>
          <w:sz w:val="24"/>
          <w:lang w:val="pl-PL"/>
        </w:rPr>
        <w:t xml:space="preserve">10. Sekwencja liter </w:t>
      </w:r>
      <w:r>
        <w:rPr>
          <w:rFonts w:ascii="Times New Roman"/>
          <w:b/>
          <w:i w:val="false"/>
          <w:color w:val="000000"/>
          <w:sz w:val="24"/>
          <w:lang w:val="pl-PL"/>
        </w:rPr>
        <w:t xml:space="preserve">"NR_LOK" </w:t>
      </w:r>
      <w:r>
        <w:rPr>
          <w:rFonts w:ascii="Times New Roman"/>
          <w:b w:val="false"/>
          <w:i w:val="false"/>
          <w:color w:val="000000"/>
          <w:sz w:val="24"/>
          <w:lang w:val="pl-PL"/>
        </w:rPr>
        <w:t xml:space="preserve">we wzorze identyfikatora określonego w ust. 9 jest oznaczeniem lokalu w budynku, przy czym </w:t>
      </w:r>
      <w:r>
        <w:rPr>
          <w:rFonts w:ascii="Times New Roman"/>
          <w:b/>
          <w:i w:val="false"/>
          <w:color w:val="000000"/>
          <w:sz w:val="24"/>
          <w:lang w:val="pl-PL"/>
        </w:rPr>
        <w:t xml:space="preserve">"NR" </w:t>
      </w:r>
      <w:r>
        <w:rPr>
          <w:rFonts w:ascii="Times New Roman"/>
          <w:b w:val="false"/>
          <w:i w:val="false"/>
          <w:color w:val="000000"/>
          <w:sz w:val="24"/>
          <w:lang w:val="pl-PL"/>
        </w:rPr>
        <w:t>oznacza numer lokalu nadany przez administratora budynku w celach adresowych.</w:t>
      </w:r>
    </w:p>
    <w:p>
      <w:pPr>
        <w:spacing w:before="25" w:after="0"/>
        <w:ind w:left="0"/>
        <w:jc w:val="both"/>
        <w:textAlignment w:val="auto"/>
      </w:pPr>
      <w:r>
        <w:rPr>
          <w:rFonts w:ascii="Times New Roman"/>
          <w:b w:val="false"/>
          <w:i w:val="false"/>
          <w:color w:val="000000"/>
          <w:sz w:val="24"/>
          <w:lang w:val="pl-PL"/>
        </w:rPr>
        <w:t>11. W przypadku, gdy lokal nie posiada numeru nadanego przez administratora budynku, lub nadany przez administratora numer nie jest unikalną liczbą naturalną, numer ten ustala w postaci liczby naturalnej organ właściwy w sprawach ewidencji.</w:t>
      </w:r>
    </w:p>
    <w:p>
      <w:pPr>
        <w:spacing w:before="25" w:after="0"/>
        <w:ind w:left="0"/>
        <w:jc w:val="both"/>
        <w:textAlignment w:val="auto"/>
      </w:pPr>
      <w:r>
        <w:rPr>
          <w:rFonts w:ascii="Times New Roman"/>
          <w:b w:val="false"/>
          <w:i w:val="false"/>
          <w:color w:val="000000"/>
          <w:sz w:val="24"/>
          <w:lang w:val="pl-PL"/>
        </w:rPr>
        <w:t>12. Identyfikatory jednostek rejestrowych przyjmują postać:</w:t>
      </w:r>
    </w:p>
    <w:p>
      <w:pPr>
        <w:spacing w:before="25" w:after="0"/>
        <w:ind w:left="0"/>
        <w:jc w:val="both"/>
        <w:textAlignment w:val="auto"/>
      </w:pPr>
      <w:r>
        <w:rPr>
          <w:rFonts w:ascii="Times New Roman"/>
          <w:b w:val="false"/>
          <w:i w:val="false"/>
          <w:color w:val="000000"/>
          <w:sz w:val="24"/>
          <w:lang w:val="pl-PL"/>
        </w:rPr>
        <w:t xml:space="preserve">1) </w:t>
      </w:r>
      <w:r>
        <w:rPr>
          <w:rFonts w:ascii="Times New Roman"/>
          <w:b/>
          <w:i w:val="false"/>
          <w:color w:val="000000"/>
          <w:sz w:val="24"/>
          <w:lang w:val="pl-PL"/>
        </w:rPr>
        <w:t xml:space="preserve">WWPPGG_R.XXXX.GNr </w:t>
      </w:r>
      <w:r>
        <w:rPr>
          <w:rFonts w:ascii="Times New Roman"/>
          <w:b w:val="false"/>
          <w:i w:val="false"/>
          <w:color w:val="000000"/>
          <w:sz w:val="24"/>
          <w:lang w:val="pl-PL"/>
        </w:rPr>
        <w:t>dla jednostek rejestrowych gruntów;</w:t>
      </w:r>
    </w:p>
    <w:p>
      <w:pPr>
        <w:spacing w:before="25" w:after="0"/>
        <w:ind w:left="0"/>
        <w:jc w:val="both"/>
        <w:textAlignment w:val="auto"/>
      </w:pPr>
      <w:r>
        <w:rPr>
          <w:rFonts w:ascii="Times New Roman"/>
          <w:b w:val="false"/>
          <w:i w:val="false"/>
          <w:color w:val="000000"/>
          <w:sz w:val="24"/>
          <w:lang w:val="pl-PL"/>
        </w:rPr>
        <w:t xml:space="preserve">2) </w:t>
      </w:r>
      <w:r>
        <w:rPr>
          <w:rFonts w:ascii="Times New Roman"/>
          <w:b/>
          <w:i w:val="false"/>
          <w:color w:val="000000"/>
          <w:sz w:val="24"/>
          <w:lang w:val="pl-PL"/>
        </w:rPr>
        <w:t xml:space="preserve">WWPPGG_R.XXXX.BNr </w:t>
      </w:r>
      <w:r>
        <w:rPr>
          <w:rFonts w:ascii="Times New Roman"/>
          <w:b w:val="false"/>
          <w:i w:val="false"/>
          <w:color w:val="000000"/>
          <w:sz w:val="24"/>
          <w:lang w:val="pl-PL"/>
        </w:rPr>
        <w:t>dla jednostek rejestrowych budynków;</w:t>
      </w:r>
    </w:p>
    <w:p>
      <w:pPr>
        <w:spacing w:before="25" w:after="0"/>
        <w:ind w:left="0"/>
        <w:jc w:val="both"/>
        <w:textAlignment w:val="auto"/>
      </w:pPr>
      <w:r>
        <w:rPr>
          <w:rFonts w:ascii="Times New Roman"/>
          <w:b w:val="false"/>
          <w:i w:val="false"/>
          <w:color w:val="000000"/>
          <w:sz w:val="24"/>
          <w:lang w:val="pl-PL"/>
        </w:rPr>
        <w:t xml:space="preserve">3) </w:t>
      </w:r>
      <w:r>
        <w:rPr>
          <w:rFonts w:ascii="Times New Roman"/>
          <w:b/>
          <w:i w:val="false"/>
          <w:color w:val="000000"/>
          <w:sz w:val="24"/>
          <w:lang w:val="pl-PL"/>
        </w:rPr>
        <w:t xml:space="preserve">WWPPGG_R.XXXX.LNr </w:t>
      </w:r>
      <w:r>
        <w:rPr>
          <w:rFonts w:ascii="Times New Roman"/>
          <w:b w:val="false"/>
          <w:i w:val="false"/>
          <w:color w:val="000000"/>
          <w:sz w:val="24"/>
          <w:lang w:val="pl-PL"/>
        </w:rPr>
        <w:t>dlajednostek rejestrowych lokalr.</w:t>
      </w:r>
    </w:p>
    <w:p>
      <w:pPr>
        <w:spacing w:before="25" w:after="0"/>
        <w:ind w:left="0"/>
        <w:jc w:val="both"/>
        <w:textAlignment w:val="auto"/>
      </w:pPr>
      <w:r>
        <w:rPr>
          <w:rFonts w:ascii="Times New Roman"/>
          <w:b w:val="false"/>
          <w:i w:val="false"/>
          <w:color w:val="000000"/>
          <w:sz w:val="24"/>
          <w:lang w:val="pl-PL"/>
        </w:rPr>
        <w:t xml:space="preserve">13. Sekwencje liter: </w:t>
      </w:r>
      <w:r>
        <w:rPr>
          <w:rFonts w:ascii="Times New Roman"/>
          <w:b/>
          <w:i w:val="false"/>
          <w:color w:val="000000"/>
          <w:sz w:val="24"/>
          <w:lang w:val="pl-PL"/>
        </w:rPr>
        <w:t xml:space="preserve">"GNU., "BNr", "LNr" </w:t>
      </w:r>
      <w:r>
        <w:rPr>
          <w:rFonts w:ascii="Times New Roman"/>
          <w:b w:val="false"/>
          <w:i w:val="false"/>
          <w:color w:val="000000"/>
          <w:sz w:val="24"/>
          <w:lang w:val="pl-PL"/>
        </w:rPr>
        <w:t xml:space="preserve">użyte we wzorach identyfikatorów, o których mowa w ust. 12, oznaczają odpowiednio numery ewidencyjne jednostek rejestrowych gruntów, budynków, lokali, przy czym </w:t>
      </w:r>
      <w:r>
        <w:rPr>
          <w:rFonts w:ascii="Times New Roman"/>
          <w:b/>
          <w:i w:val="false"/>
          <w:color w:val="000000"/>
          <w:sz w:val="24"/>
          <w:lang w:val="pl-PL"/>
        </w:rPr>
        <w:t xml:space="preserve">"Nr" </w:t>
      </w:r>
      <w:r>
        <w:rPr>
          <w:rFonts w:ascii="Times New Roman"/>
          <w:b w:val="false"/>
          <w:i w:val="false"/>
          <w:color w:val="000000"/>
          <w:sz w:val="24"/>
          <w:lang w:val="pl-PL"/>
        </w:rPr>
        <w:t>jest liczbą naturalną, unikalną w ramach obrębu ewidencyjnego.</w:t>
      </w:r>
    </w:p>
    <w:p>
      <w:pPr>
        <w:spacing w:before="25" w:after="0"/>
        <w:ind w:left="0"/>
        <w:jc w:val="both"/>
        <w:textAlignment w:val="auto"/>
      </w:pPr>
      <w:r>
        <w:rPr>
          <w:rFonts w:ascii="Times New Roman"/>
          <w:b w:val="false"/>
          <w:i w:val="false"/>
          <w:color w:val="000000"/>
          <w:sz w:val="24"/>
          <w:lang w:val="pl-PL"/>
        </w:rPr>
        <w:t xml:space="preserve">14. Identyfikator konturu klasyfikacyjnego przyjmuje postać: </w:t>
      </w:r>
      <w:r>
        <w:rPr>
          <w:rFonts w:ascii="Times New Roman"/>
          <w:b/>
          <w:i w:val="false"/>
          <w:color w:val="000000"/>
          <w:sz w:val="24"/>
          <w:lang w:val="pl-PL"/>
        </w:rPr>
        <w:t>WWPPGG_R.XXXX.KL.Nr.</w:t>
      </w:r>
    </w:p>
    <w:p>
      <w:pPr>
        <w:spacing w:before="25" w:after="0"/>
        <w:ind w:left="0"/>
        <w:jc w:val="both"/>
        <w:textAlignment w:val="auto"/>
      </w:pPr>
      <w:r>
        <w:rPr>
          <w:rFonts w:ascii="Times New Roman"/>
          <w:b w:val="false"/>
          <w:i w:val="false"/>
          <w:color w:val="000000"/>
          <w:sz w:val="24"/>
          <w:lang w:val="pl-PL"/>
        </w:rPr>
        <w:t xml:space="preserve">15. Sekwencja liter </w:t>
      </w:r>
      <w:r>
        <w:rPr>
          <w:rFonts w:ascii="Times New Roman"/>
          <w:b/>
          <w:i w:val="false"/>
          <w:color w:val="000000"/>
          <w:sz w:val="24"/>
          <w:lang w:val="pl-PL"/>
        </w:rPr>
        <w:t xml:space="preserve">"KL.Nr" </w:t>
      </w:r>
      <w:r>
        <w:rPr>
          <w:rFonts w:ascii="Times New Roman"/>
          <w:b w:val="false"/>
          <w:i w:val="false"/>
          <w:color w:val="000000"/>
          <w:sz w:val="24"/>
          <w:lang w:val="pl-PL"/>
        </w:rPr>
        <w:t xml:space="preserve">we wzorze identyfikatora określonego w ust. 14 jest oznaczeniem konturu klasyfikacyjnego, przy czym </w:t>
      </w:r>
      <w:r>
        <w:rPr>
          <w:rFonts w:ascii="Times New Roman"/>
          <w:b/>
          <w:i w:val="false"/>
          <w:color w:val="000000"/>
          <w:sz w:val="24"/>
          <w:lang w:val="pl-PL"/>
        </w:rPr>
        <w:t xml:space="preserve">"Nr" </w:t>
      </w:r>
      <w:r>
        <w:rPr>
          <w:rFonts w:ascii="Times New Roman"/>
          <w:b w:val="false"/>
          <w:i w:val="false"/>
          <w:color w:val="000000"/>
          <w:sz w:val="24"/>
          <w:lang w:val="pl-PL"/>
        </w:rPr>
        <w:t>oznacza numer porządkowy tego konturu w obrębie.</w:t>
      </w:r>
    </w:p>
    <w:p>
      <w:pPr>
        <w:spacing w:before="25" w:after="0"/>
        <w:ind w:left="0"/>
        <w:jc w:val="both"/>
        <w:textAlignment w:val="auto"/>
      </w:pPr>
      <w:r>
        <w:rPr>
          <w:rFonts w:ascii="Times New Roman"/>
          <w:b w:val="false"/>
          <w:i w:val="false"/>
          <w:color w:val="000000"/>
          <w:sz w:val="24"/>
          <w:lang w:val="pl-PL"/>
        </w:rPr>
        <w:t xml:space="preserve">16. Identyfikator konturu użytku gruntowego przyjmuje postać: </w:t>
      </w:r>
      <w:r>
        <w:rPr>
          <w:rFonts w:ascii="Times New Roman"/>
          <w:b/>
          <w:i w:val="false"/>
          <w:color w:val="000000"/>
          <w:sz w:val="24"/>
          <w:lang w:val="pl-PL"/>
        </w:rPr>
        <w:t>WWPPGG_R.XXXX.UG.Nr,</w:t>
      </w:r>
    </w:p>
    <w:p>
      <w:pPr>
        <w:spacing w:before="25" w:after="0"/>
        <w:ind w:left="0"/>
        <w:jc w:val="both"/>
        <w:textAlignment w:val="auto"/>
      </w:pPr>
      <w:r>
        <w:rPr>
          <w:rFonts w:ascii="Times New Roman"/>
          <w:b w:val="false"/>
          <w:i w:val="false"/>
          <w:color w:val="000000"/>
          <w:sz w:val="24"/>
          <w:lang w:val="pl-PL"/>
        </w:rPr>
        <w:t xml:space="preserve">17. Sekwencja liter </w:t>
      </w:r>
      <w:r>
        <w:rPr>
          <w:rFonts w:ascii="Times New Roman"/>
          <w:b/>
          <w:i w:val="false"/>
          <w:color w:val="000000"/>
          <w:sz w:val="24"/>
          <w:lang w:val="pl-PL"/>
        </w:rPr>
        <w:t xml:space="preserve">"UG.Nr", </w:t>
      </w:r>
      <w:r>
        <w:rPr>
          <w:rFonts w:ascii="Times New Roman"/>
          <w:b w:val="false"/>
          <w:i w:val="false"/>
          <w:color w:val="000000"/>
          <w:sz w:val="24"/>
          <w:lang w:val="pl-PL"/>
        </w:rPr>
        <w:t xml:space="preserve">we wzorze identyfikatora określonego w ust. 16, jest oznaczeniem konturu użytku gruntowego, w którym </w:t>
      </w:r>
      <w:r>
        <w:rPr>
          <w:rFonts w:ascii="Times New Roman"/>
          <w:b/>
          <w:i w:val="false"/>
          <w:color w:val="000000"/>
          <w:sz w:val="24"/>
          <w:lang w:val="pl-PL"/>
        </w:rPr>
        <w:t xml:space="preserve">"Nr" </w:t>
      </w:r>
      <w:r>
        <w:rPr>
          <w:rFonts w:ascii="Times New Roman"/>
          <w:b w:val="false"/>
          <w:i w:val="false"/>
          <w:color w:val="000000"/>
          <w:sz w:val="24"/>
          <w:lang w:val="pl-PL"/>
        </w:rPr>
        <w:t>oznacza numer porządkowy tego konturu w obrębie.</w:t>
      </w:r>
    </w:p>
    <w:p>
      <w:pPr>
        <w:spacing w:before="25" w:after="0"/>
        <w:ind w:left="0"/>
        <w:jc w:val="both"/>
        <w:textAlignment w:val="auto"/>
      </w:pPr>
      <w:r>
        <w:rPr>
          <w:rFonts w:ascii="Times New Roman"/>
          <w:b w:val="false"/>
          <w:i w:val="false"/>
          <w:color w:val="000000"/>
          <w:sz w:val="24"/>
          <w:lang w:val="pl-PL"/>
        </w:rPr>
        <w:t>18. Punkty graniczne położone na granicach powiatu oznacza się identyfikatorami w postaci:</w:t>
      </w:r>
    </w:p>
    <w:p>
      <w:pPr>
        <w:spacing w:before="25" w:after="0"/>
        <w:ind w:left="0"/>
        <w:jc w:val="both"/>
        <w:textAlignment w:val="auto"/>
      </w:pPr>
      <w:r>
        <w:rPr>
          <w:rFonts w:ascii="Times New Roman"/>
          <w:b w:val="false"/>
          <w:i w:val="false"/>
          <w:color w:val="000000"/>
          <w:sz w:val="24"/>
          <w:lang w:val="pl-PL"/>
        </w:rPr>
        <w:t xml:space="preserve">1) </w:t>
      </w:r>
      <w:r>
        <w:rPr>
          <w:rFonts w:ascii="Times New Roman"/>
          <w:b/>
          <w:i w:val="false"/>
          <w:color w:val="000000"/>
          <w:sz w:val="24"/>
          <w:lang w:val="pl-PL"/>
        </w:rPr>
        <w:t xml:space="preserve">PL.WWPP.Nr, </w:t>
      </w:r>
      <w:r>
        <w:rPr>
          <w:rFonts w:ascii="Times New Roman"/>
          <w:b w:val="false"/>
          <w:i w:val="false"/>
          <w:color w:val="000000"/>
          <w:sz w:val="24"/>
          <w:lang w:val="pl-PL"/>
        </w:rPr>
        <w:t>jeżeli punkty te leżą jednocześnie na granicy państwa;</w:t>
      </w:r>
    </w:p>
    <w:p>
      <w:pPr>
        <w:spacing w:before="25" w:after="0"/>
        <w:ind w:left="0"/>
        <w:jc w:val="both"/>
        <w:textAlignment w:val="auto"/>
      </w:pPr>
      <w:r>
        <w:rPr>
          <w:rFonts w:ascii="Times New Roman"/>
          <w:b w:val="false"/>
          <w:i w:val="false"/>
          <w:color w:val="000000"/>
          <w:sz w:val="24"/>
          <w:lang w:val="pl-PL"/>
        </w:rPr>
        <w:t xml:space="preserve">2) </w:t>
      </w:r>
      <w:r>
        <w:rPr>
          <w:rFonts w:ascii="Times New Roman"/>
          <w:b/>
          <w:i w:val="false"/>
          <w:color w:val="000000"/>
          <w:sz w:val="24"/>
          <w:lang w:val="pl-PL"/>
        </w:rPr>
        <w:t xml:space="preserve">W.WWPP.Nr, </w:t>
      </w:r>
      <w:r>
        <w:rPr>
          <w:rFonts w:ascii="Times New Roman"/>
          <w:b w:val="false"/>
          <w:i w:val="false"/>
          <w:color w:val="000000"/>
          <w:sz w:val="24"/>
          <w:lang w:val="pl-PL"/>
        </w:rPr>
        <w:t>jeżeli punkty te leżą jednocześnie na granicy województwa, która nie pokrywa się z granicą państwa;</w:t>
      </w:r>
    </w:p>
    <w:p>
      <w:pPr>
        <w:spacing w:before="25" w:after="0"/>
        <w:ind w:left="0"/>
        <w:jc w:val="both"/>
        <w:textAlignment w:val="auto"/>
      </w:pPr>
      <w:r>
        <w:rPr>
          <w:rFonts w:ascii="Times New Roman"/>
          <w:b w:val="false"/>
          <w:i w:val="false"/>
          <w:color w:val="000000"/>
          <w:sz w:val="24"/>
          <w:lang w:val="pl-PL"/>
        </w:rPr>
        <w:t xml:space="preserve">3) </w:t>
      </w:r>
      <w:r>
        <w:rPr>
          <w:rFonts w:ascii="Times New Roman"/>
          <w:b/>
          <w:i w:val="false"/>
          <w:color w:val="000000"/>
          <w:sz w:val="24"/>
          <w:lang w:val="pl-PL"/>
        </w:rPr>
        <w:t xml:space="preserve">P.WWPP.Nr, </w:t>
      </w:r>
      <w:r>
        <w:rPr>
          <w:rFonts w:ascii="Times New Roman"/>
          <w:b w:val="false"/>
          <w:i w:val="false"/>
          <w:color w:val="000000"/>
          <w:sz w:val="24"/>
          <w:lang w:val="pl-PL"/>
        </w:rPr>
        <w:t>jeżeli punkty te leżą na granicy powiatu, która nie pokrywa się z granicą państwa ani z granicą województwa.</w:t>
      </w:r>
    </w:p>
    <w:p>
      <w:pPr>
        <w:spacing w:before="25" w:after="0"/>
        <w:ind w:left="0"/>
        <w:jc w:val="both"/>
        <w:textAlignment w:val="auto"/>
      </w:pPr>
      <w:r>
        <w:rPr>
          <w:rFonts w:ascii="Times New Roman"/>
          <w:b w:val="false"/>
          <w:i w:val="false"/>
          <w:color w:val="000000"/>
          <w:sz w:val="24"/>
          <w:lang w:val="pl-PL"/>
        </w:rPr>
        <w:t>19. Punkt graniczny położony na granicy dwóch lub więcej niż dwóch powiatów oznacza się w każdej bazie danych ewidencyjnych, prowadzonej dla tych powiatów, tym samym identyfikatorem, uzgodnionym ze starostami powiatów sąsiednich.</w:t>
      </w:r>
    </w:p>
    <w:p>
      <w:pPr>
        <w:spacing w:before="25" w:after="0"/>
        <w:ind w:left="0"/>
        <w:jc w:val="both"/>
        <w:textAlignment w:val="auto"/>
      </w:pPr>
      <w:r>
        <w:rPr>
          <w:rFonts w:ascii="Times New Roman"/>
          <w:b w:val="false"/>
          <w:i w:val="false"/>
          <w:color w:val="000000"/>
          <w:sz w:val="24"/>
          <w:lang w:val="pl-PL"/>
        </w:rPr>
        <w:t>20. Punkty graniczne położone na granicach jednostek ewidencyjnych niepokrywających się z granicami powiatu oznacza się identyfikatorami w postaci:</w:t>
      </w:r>
    </w:p>
    <w:p>
      <w:pPr>
        <w:spacing w:before="25" w:after="0"/>
        <w:ind w:left="0"/>
        <w:jc w:val="both"/>
        <w:textAlignment w:val="auto"/>
      </w:pPr>
      <w:r>
        <w:rPr>
          <w:rFonts w:ascii="Times New Roman"/>
          <w:b w:val="false"/>
          <w:i w:val="false"/>
          <w:color w:val="000000"/>
          <w:sz w:val="24"/>
          <w:lang w:val="pl-PL"/>
        </w:rPr>
        <w:t>1)</w:t>
      </w:r>
      <w:r>
        <w:rPr>
          <w:rFonts w:ascii="Times New Roman"/>
          <w:b/>
          <w:i w:val="false"/>
          <w:color w:val="000000"/>
          <w:sz w:val="24"/>
          <w:lang w:val="pl-PL"/>
        </w:rPr>
        <w:t xml:space="preserve"> G. WWPP.Nr, </w:t>
      </w:r>
      <w:r>
        <w:rPr>
          <w:rFonts w:ascii="Times New Roman"/>
          <w:b w:val="false"/>
          <w:i w:val="false"/>
          <w:color w:val="000000"/>
          <w:sz w:val="24"/>
          <w:lang w:val="pl-PL"/>
        </w:rPr>
        <w:t>jeżeli punkt graniczny należy do granicy jednostki ewidencyjnej pokrywającej się z granicą gminy;</w:t>
      </w:r>
    </w:p>
    <w:p>
      <w:pPr>
        <w:spacing w:before="25" w:after="0"/>
        <w:ind w:left="0"/>
        <w:jc w:val="both"/>
        <w:textAlignment w:val="auto"/>
      </w:pPr>
      <w:r>
        <w:rPr>
          <w:rFonts w:ascii="Times New Roman"/>
          <w:b w:val="false"/>
          <w:i w:val="false"/>
          <w:color w:val="000000"/>
          <w:sz w:val="24"/>
          <w:lang w:val="pl-PL"/>
        </w:rPr>
        <w:t xml:space="preserve">2) </w:t>
      </w:r>
      <w:r>
        <w:rPr>
          <w:rFonts w:ascii="Times New Roman"/>
          <w:b/>
          <w:i w:val="false"/>
          <w:color w:val="000000"/>
          <w:sz w:val="24"/>
          <w:lang w:val="pl-PL"/>
        </w:rPr>
        <w:t xml:space="preserve">J.WWPPGG_R, Nr, </w:t>
      </w:r>
      <w:r>
        <w:rPr>
          <w:rFonts w:ascii="Times New Roman"/>
          <w:b w:val="false"/>
          <w:i w:val="false"/>
          <w:color w:val="000000"/>
          <w:sz w:val="24"/>
          <w:lang w:val="pl-PL"/>
        </w:rPr>
        <w:t>jeżeli punkt graniczny należy do granicy jednostki ewidencyjnej niepokrywającej się z granicą gminy.</w:t>
      </w:r>
    </w:p>
    <w:p>
      <w:pPr>
        <w:spacing w:before="25" w:after="0"/>
        <w:ind w:left="0"/>
        <w:jc w:val="both"/>
        <w:textAlignment w:val="auto"/>
      </w:pPr>
      <w:r>
        <w:rPr>
          <w:rFonts w:ascii="Times New Roman"/>
          <w:b w:val="false"/>
          <w:i w:val="false"/>
          <w:color w:val="000000"/>
          <w:sz w:val="24"/>
          <w:lang w:val="pl-PL"/>
        </w:rPr>
        <w:t>21. W identyfikatorach, o których mowa w ust. 20 pkt 1, zapewnia się unikalność numerów punktów granicznych w granicach każdego powiatu, zaś w identyfikatorach, o których mowa w ust. 20 pkt 2, zapewnia się unikalność numerów punktów granicznych w granicach każdej gminy.</w:t>
      </w:r>
    </w:p>
    <w:p>
      <w:pPr>
        <w:spacing w:before="25" w:after="0"/>
        <w:ind w:left="0"/>
        <w:jc w:val="both"/>
        <w:textAlignment w:val="auto"/>
      </w:pPr>
      <w:r>
        <w:rPr>
          <w:rFonts w:ascii="Times New Roman"/>
          <w:b w:val="false"/>
          <w:i w:val="false"/>
          <w:color w:val="000000"/>
          <w:sz w:val="24"/>
          <w:lang w:val="pl-PL"/>
        </w:rPr>
        <w:t xml:space="preserve">22. Punkty graniczne położone na granicach obrębów niepokry waj ący eh się z granicami jednostek ewidencyjnych oznacza się identyfikatorami w postaci: </w:t>
      </w:r>
      <w:r>
        <w:rPr>
          <w:rFonts w:ascii="Times New Roman"/>
          <w:b/>
          <w:i w:val="false"/>
          <w:color w:val="000000"/>
          <w:sz w:val="24"/>
          <w:lang w:val="pl-PL"/>
        </w:rPr>
        <w:t xml:space="preserve">O.WWPPGG_R.Nr, </w:t>
      </w:r>
      <w:r>
        <w:rPr>
          <w:rFonts w:ascii="Times New Roman"/>
          <w:b w:val="false"/>
          <w:i w:val="false"/>
          <w:color w:val="000000"/>
          <w:sz w:val="24"/>
          <w:lang w:val="pl-PL"/>
        </w:rPr>
        <w:t>zapewniając unikalność numerów tych punktów granicznych w granicach każdej jednostki ewidencyjnej.</w:t>
      </w:r>
    </w:p>
    <w:p>
      <w:pPr>
        <w:spacing w:before="25" w:after="0"/>
        <w:ind w:left="0"/>
        <w:jc w:val="both"/>
        <w:textAlignment w:val="auto"/>
      </w:pPr>
      <w:r>
        <w:rPr>
          <w:rFonts w:ascii="Times New Roman"/>
          <w:b w:val="false"/>
          <w:i w:val="false"/>
          <w:color w:val="000000"/>
          <w:sz w:val="24"/>
          <w:lang w:val="pl-PL"/>
        </w:rPr>
        <w:t xml:space="preserve">23. Punkty graniczne działek ewidencyjnych nieleżące na granicach obrębów oznacza się identyfikatorami w postaci: </w:t>
      </w:r>
      <w:r>
        <w:rPr>
          <w:rFonts w:ascii="Times New Roman"/>
          <w:b/>
          <w:i w:val="false"/>
          <w:color w:val="000000"/>
          <w:sz w:val="24"/>
          <w:lang w:val="pl-PL"/>
        </w:rPr>
        <w:t xml:space="preserve">D.WWPPGG_R, XXXX.Nr, </w:t>
      </w:r>
      <w:r>
        <w:rPr>
          <w:rFonts w:ascii="Times New Roman"/>
          <w:b w:val="false"/>
          <w:i w:val="false"/>
          <w:color w:val="000000"/>
          <w:sz w:val="24"/>
          <w:lang w:val="pl-PL"/>
        </w:rPr>
        <w:t>zapewniając unikalność numerów tych punktów granicznych w granicach każdego obrębu.</w:t>
      </w:r>
    </w:p>
    <w:p>
      <w:pPr>
        <w:spacing w:before="25" w:after="0"/>
        <w:ind w:left="0"/>
        <w:jc w:val="both"/>
        <w:textAlignment w:val="auto"/>
      </w:pPr>
      <w:r>
        <w:rPr>
          <w:rFonts w:ascii="Times New Roman"/>
          <w:b w:val="false"/>
          <w:i w:val="false"/>
          <w:color w:val="000000"/>
          <w:sz w:val="24"/>
          <w:lang w:val="pl-PL"/>
        </w:rPr>
        <w:t xml:space="preserve">24. Sekwencja liter </w:t>
      </w:r>
      <w:r>
        <w:rPr>
          <w:rFonts w:ascii="Times New Roman"/>
          <w:b/>
          <w:i w:val="false"/>
          <w:color w:val="000000"/>
          <w:sz w:val="24"/>
          <w:lang w:val="pl-PL"/>
        </w:rPr>
        <w:t xml:space="preserve">"Nr", </w:t>
      </w:r>
      <w:r>
        <w:rPr>
          <w:rFonts w:ascii="Times New Roman"/>
          <w:b w:val="false"/>
          <w:i w:val="false"/>
          <w:color w:val="000000"/>
          <w:sz w:val="24"/>
          <w:lang w:val="pl-PL"/>
        </w:rPr>
        <w:t>użyta we wzorach identyfikatorów, o których mowa w ust. 18, 20, 22 oraz 23, oznacza numer ewidencyjny punktu granicznego wyrażony za pomocą liczb naturalnych, począwszy od liczby 1.</w:t>
      </w:r>
    </w:p>
    <w:p>
      <w:pPr>
        <w:spacing w:before="25" w:after="0"/>
        <w:ind w:left="0"/>
        <w:jc w:val="both"/>
        <w:textAlignment w:val="auto"/>
      </w:pPr>
      <w:r>
        <w:rPr>
          <w:rFonts w:ascii="Times New Roman"/>
          <w:b w:val="false"/>
          <w:i w:val="false"/>
          <w:color w:val="000000"/>
          <w:sz w:val="24"/>
          <w:lang w:val="pl-PL"/>
        </w:rPr>
        <w:t>25. Podmioty występujące w ewidencji posiadają identyfikatory statusu o wartościach:</w:t>
      </w:r>
    </w:p>
    <w:p>
      <w:pPr>
        <w:spacing w:before="25" w:after="0"/>
        <w:ind w:left="0"/>
        <w:jc w:val="both"/>
        <w:textAlignment w:val="auto"/>
      </w:pPr>
      <w:r>
        <w:rPr>
          <w:rFonts w:ascii="Times New Roman"/>
          <w:b w:val="false"/>
          <w:i w:val="false"/>
          <w:color w:val="000000"/>
          <w:sz w:val="24"/>
          <w:lang w:val="pl-PL"/>
        </w:rPr>
        <w:t>1 - osoba fizyczna,</w:t>
      </w:r>
    </w:p>
    <w:p>
      <w:pPr>
        <w:spacing w:before="25" w:after="0"/>
        <w:ind w:left="0"/>
        <w:jc w:val="both"/>
        <w:textAlignment w:val="auto"/>
      </w:pPr>
      <w:r>
        <w:rPr>
          <w:rFonts w:ascii="Times New Roman"/>
          <w:b w:val="false"/>
          <w:i w:val="false"/>
          <w:color w:val="000000"/>
          <w:sz w:val="24"/>
          <w:lang w:val="pl-PL"/>
        </w:rPr>
        <w:t>3 - Skarb Państwa,</w:t>
      </w:r>
    </w:p>
    <w:p>
      <w:pPr>
        <w:spacing w:before="25" w:after="0"/>
        <w:ind w:left="0"/>
        <w:jc w:val="both"/>
        <w:textAlignment w:val="auto"/>
      </w:pPr>
      <w:r>
        <w:rPr>
          <w:rFonts w:ascii="Times New Roman"/>
          <w:b w:val="false"/>
          <w:i w:val="false"/>
          <w:color w:val="000000"/>
          <w:sz w:val="24"/>
          <w:lang w:val="pl-PL"/>
        </w:rPr>
        <w:t>4 - gmina lub związek międzygminny,</w:t>
      </w:r>
    </w:p>
    <w:p>
      <w:pPr>
        <w:spacing w:before="25" w:after="0"/>
        <w:ind w:left="0"/>
        <w:jc w:val="both"/>
        <w:textAlignment w:val="auto"/>
      </w:pPr>
      <w:r>
        <w:rPr>
          <w:rFonts w:ascii="Times New Roman"/>
          <w:b w:val="false"/>
          <w:i w:val="false"/>
          <w:color w:val="000000"/>
          <w:sz w:val="24"/>
          <w:lang w:val="pl-PL"/>
        </w:rPr>
        <w:t>5 - sołectwo,</w:t>
      </w:r>
    </w:p>
    <w:p>
      <w:pPr>
        <w:spacing w:before="25" w:after="0"/>
        <w:ind w:left="0"/>
        <w:jc w:val="both"/>
        <w:textAlignment w:val="auto"/>
      </w:pPr>
      <w:r>
        <w:rPr>
          <w:rFonts w:ascii="Times New Roman"/>
          <w:b w:val="false"/>
          <w:i w:val="false"/>
          <w:color w:val="000000"/>
          <w:sz w:val="24"/>
          <w:lang w:val="pl-PL"/>
        </w:rPr>
        <w:t>6 - państwowa osoba prawna lub jednoosobowa spółka Skarbu Państwa,</w:t>
      </w:r>
    </w:p>
    <w:p>
      <w:pPr>
        <w:spacing w:before="25" w:after="0"/>
        <w:ind w:left="0"/>
        <w:jc w:val="both"/>
        <w:textAlignment w:val="auto"/>
      </w:pPr>
      <w:r>
        <w:rPr>
          <w:rFonts w:ascii="Times New Roman"/>
          <w:b w:val="false"/>
          <w:i w:val="false"/>
          <w:color w:val="000000"/>
          <w:sz w:val="24"/>
          <w:lang w:val="pl-PL"/>
        </w:rPr>
        <w:t>7 - Państwowe Gospodarstwo Leśne - Lasy Państwowe,</w:t>
      </w:r>
    </w:p>
    <w:p>
      <w:pPr>
        <w:spacing w:before="25" w:after="0"/>
        <w:ind w:left="0"/>
        <w:jc w:val="both"/>
        <w:textAlignment w:val="auto"/>
      </w:pPr>
      <w:r>
        <w:rPr>
          <w:rFonts w:ascii="Times New Roman"/>
          <w:b w:val="false"/>
          <w:i w:val="false"/>
          <w:color w:val="000000"/>
          <w:sz w:val="24"/>
          <w:lang w:val="pl-PL"/>
        </w:rPr>
        <w:t>8 - Krajowy Ośrodek Wsparcia Rolnictwa,</w:t>
      </w:r>
    </w:p>
    <w:p>
      <w:pPr>
        <w:spacing w:before="25" w:after="0"/>
        <w:ind w:left="0"/>
        <w:jc w:val="both"/>
        <w:textAlignment w:val="auto"/>
      </w:pPr>
      <w:r>
        <w:rPr>
          <w:rFonts w:ascii="Times New Roman"/>
          <w:b w:val="false"/>
          <w:i w:val="false"/>
          <w:color w:val="000000"/>
          <w:sz w:val="24"/>
          <w:lang w:val="pl-PL"/>
        </w:rPr>
        <w:t>9 - Agencja Mienia Wojskowego,</w:t>
      </w:r>
    </w:p>
    <w:p>
      <w:pPr>
        <w:spacing w:before="25" w:after="0"/>
        <w:ind w:left="0"/>
        <w:jc w:val="both"/>
        <w:textAlignment w:val="auto"/>
      </w:pPr>
      <w:r>
        <w:rPr>
          <w:rFonts w:ascii="Times New Roman"/>
          <w:b w:val="false"/>
          <w:i w:val="false"/>
          <w:color w:val="000000"/>
          <w:sz w:val="24"/>
          <w:lang w:val="pl-PL"/>
        </w:rPr>
        <w:t>11 - państwowa jednostka organizacyjna bez osobowości prawnej,</w:t>
      </w:r>
    </w:p>
    <w:p>
      <w:pPr>
        <w:spacing w:before="25" w:after="0"/>
        <w:ind w:left="0"/>
        <w:jc w:val="both"/>
        <w:textAlignment w:val="auto"/>
      </w:pPr>
      <w:r>
        <w:rPr>
          <w:rFonts w:ascii="Times New Roman"/>
          <w:b w:val="false"/>
          <w:i w:val="false"/>
          <w:color w:val="000000"/>
          <w:sz w:val="24"/>
          <w:lang w:val="pl-PL"/>
        </w:rPr>
        <w:t>12 - gminna jednostka organizacyjna bez osobowości prawnej,</w:t>
      </w:r>
    </w:p>
    <w:p>
      <w:pPr>
        <w:spacing w:before="25" w:after="0"/>
        <w:ind w:left="0"/>
        <w:jc w:val="both"/>
        <w:textAlignment w:val="auto"/>
      </w:pPr>
      <w:r>
        <w:rPr>
          <w:rFonts w:ascii="Times New Roman"/>
          <w:b w:val="false"/>
          <w:i w:val="false"/>
          <w:color w:val="000000"/>
          <w:sz w:val="24"/>
          <w:lang w:val="pl-PL"/>
        </w:rPr>
        <w:t>13 - powiatowa jednostka organizacyjna bez osobowości prawnej,</w:t>
      </w:r>
    </w:p>
    <w:p>
      <w:pPr>
        <w:spacing w:before="25" w:after="0"/>
        <w:ind w:left="0"/>
        <w:jc w:val="both"/>
        <w:textAlignment w:val="auto"/>
      </w:pPr>
      <w:r>
        <w:rPr>
          <w:rFonts w:ascii="Times New Roman"/>
          <w:b w:val="false"/>
          <w:i w:val="false"/>
          <w:color w:val="000000"/>
          <w:sz w:val="24"/>
          <w:lang w:val="pl-PL"/>
        </w:rPr>
        <w:t>14 - wojewódzka jednostka organizacyjna bez osobowości prawnej,</w:t>
      </w:r>
    </w:p>
    <w:p>
      <w:pPr>
        <w:spacing w:before="25" w:after="0"/>
        <w:ind w:left="0"/>
        <w:jc w:val="both"/>
        <w:textAlignment w:val="auto"/>
      </w:pPr>
      <w:r>
        <w:rPr>
          <w:rFonts w:ascii="Times New Roman"/>
          <w:b w:val="false"/>
          <w:i w:val="false"/>
          <w:color w:val="000000"/>
          <w:sz w:val="24"/>
          <w:lang w:val="pl-PL"/>
        </w:rPr>
        <w:t>15 - gminna osoba prawna lub jednoosobowa spółka gminy,</w:t>
      </w:r>
    </w:p>
    <w:p>
      <w:pPr>
        <w:spacing w:before="25" w:after="0"/>
        <w:ind w:left="0"/>
        <w:jc w:val="both"/>
        <w:textAlignment w:val="auto"/>
      </w:pPr>
      <w:r>
        <w:rPr>
          <w:rFonts w:ascii="Times New Roman"/>
          <w:b w:val="false"/>
          <w:i w:val="false"/>
          <w:color w:val="000000"/>
          <w:sz w:val="24"/>
          <w:lang w:val="pl-PL"/>
        </w:rPr>
        <w:t>16 - powiatowa osoba prawna lub jednoosobowa spółka powiatu,</w:t>
      </w:r>
    </w:p>
    <w:p>
      <w:pPr>
        <w:spacing w:before="25" w:after="0"/>
        <w:ind w:left="0"/>
        <w:jc w:val="both"/>
        <w:textAlignment w:val="auto"/>
      </w:pPr>
      <w:r>
        <w:rPr>
          <w:rFonts w:ascii="Times New Roman"/>
          <w:b w:val="false"/>
          <w:i w:val="false"/>
          <w:color w:val="000000"/>
          <w:sz w:val="24"/>
          <w:lang w:val="pl-PL"/>
        </w:rPr>
        <w:t>17 - wojewódzka osoba prawna lub jednoosobowa spółka województwa,</w:t>
      </w:r>
    </w:p>
    <w:p>
      <w:pPr>
        <w:spacing w:before="25" w:after="0"/>
        <w:ind w:left="0"/>
        <w:jc w:val="both"/>
        <w:textAlignment w:val="auto"/>
      </w:pPr>
      <w:r>
        <w:rPr>
          <w:rFonts w:ascii="Times New Roman"/>
          <w:b w:val="false"/>
          <w:i w:val="false"/>
          <w:color w:val="000000"/>
          <w:sz w:val="24"/>
          <w:lang w:val="pl-PL"/>
        </w:rPr>
        <w:t>23 - spółdzielnia mieszkaniowa,</w:t>
      </w:r>
    </w:p>
    <w:p>
      <w:pPr>
        <w:spacing w:before="25" w:after="0"/>
        <w:ind w:left="0"/>
        <w:jc w:val="both"/>
        <w:textAlignment w:val="auto"/>
      </w:pPr>
      <w:r>
        <w:rPr>
          <w:rFonts w:ascii="Times New Roman"/>
          <w:b w:val="false"/>
          <w:i w:val="false"/>
          <w:color w:val="000000"/>
          <w:sz w:val="24"/>
          <w:lang w:val="pl-PL"/>
        </w:rPr>
        <w:t>24 - spółdzielnia lub związek spółdzielni (z wyłączeniem mieszkaniowych),</w:t>
      </w:r>
    </w:p>
    <w:p>
      <w:pPr>
        <w:spacing w:before="25" w:after="0"/>
        <w:ind w:left="0"/>
        <w:jc w:val="both"/>
        <w:textAlignment w:val="auto"/>
      </w:pPr>
      <w:r>
        <w:rPr>
          <w:rFonts w:ascii="Times New Roman"/>
          <w:b w:val="false"/>
          <w:i w:val="false"/>
          <w:color w:val="000000"/>
          <w:sz w:val="24"/>
          <w:lang w:val="pl-PL"/>
        </w:rPr>
        <w:t>25 - kościoły lub związki wyznaniowe,</w:t>
      </w:r>
    </w:p>
    <w:p>
      <w:pPr>
        <w:spacing w:before="25" w:after="0"/>
        <w:ind w:left="0"/>
        <w:jc w:val="both"/>
        <w:textAlignment w:val="auto"/>
      </w:pPr>
      <w:r>
        <w:rPr>
          <w:rFonts w:ascii="Times New Roman"/>
          <w:b w:val="false"/>
          <w:i w:val="false"/>
          <w:color w:val="000000"/>
          <w:sz w:val="24"/>
          <w:lang w:val="pl-PL"/>
        </w:rPr>
        <w:t>26 - spółka handlowa niebędąca cudzoziemcem,</w:t>
      </w:r>
    </w:p>
    <w:p>
      <w:pPr>
        <w:spacing w:before="25" w:after="0"/>
        <w:ind w:left="0"/>
        <w:jc w:val="both"/>
        <w:textAlignment w:val="auto"/>
      </w:pPr>
      <w:r>
        <w:rPr>
          <w:rFonts w:ascii="Times New Roman"/>
          <w:b w:val="false"/>
          <w:i w:val="false"/>
          <w:color w:val="000000"/>
          <w:sz w:val="24"/>
          <w:lang w:val="pl-PL"/>
        </w:rPr>
        <w:t>27 - spółka handlowa będąca cudzoziemcem,</w:t>
      </w:r>
    </w:p>
    <w:p>
      <w:pPr>
        <w:spacing w:before="25" w:after="0"/>
        <w:ind w:left="0"/>
        <w:jc w:val="both"/>
        <w:textAlignment w:val="auto"/>
      </w:pPr>
      <w:r>
        <w:rPr>
          <w:rFonts w:ascii="Times New Roman"/>
          <w:b w:val="false"/>
          <w:i w:val="false"/>
          <w:color w:val="000000"/>
          <w:sz w:val="24"/>
          <w:lang w:val="pl-PL"/>
        </w:rPr>
        <w:t>28 - osoba prawna, inna niż spółka handlowa, będąca cudzoziemcem,</w:t>
      </w:r>
    </w:p>
    <w:p>
      <w:pPr>
        <w:spacing w:before="25" w:after="0"/>
        <w:ind w:left="0"/>
        <w:jc w:val="both"/>
        <w:textAlignment w:val="auto"/>
      </w:pPr>
      <w:r>
        <w:rPr>
          <w:rFonts w:ascii="Times New Roman"/>
          <w:b w:val="false"/>
          <w:i w:val="false"/>
          <w:color w:val="000000"/>
          <w:sz w:val="24"/>
          <w:lang w:val="pl-PL"/>
        </w:rPr>
        <w:t>29 - partia polityczna,</w:t>
      </w:r>
    </w:p>
    <w:p>
      <w:pPr>
        <w:spacing w:before="25" w:after="0"/>
        <w:ind w:left="0"/>
        <w:jc w:val="both"/>
        <w:textAlignment w:val="auto"/>
      </w:pPr>
      <w:r>
        <w:rPr>
          <w:rFonts w:ascii="Times New Roman"/>
          <w:b w:val="false"/>
          <w:i w:val="false"/>
          <w:color w:val="000000"/>
          <w:sz w:val="24"/>
          <w:lang w:val="pl-PL"/>
        </w:rPr>
        <w:t>30 - stowarzyszenie,</w:t>
      </w:r>
    </w:p>
    <w:p>
      <w:pPr>
        <w:spacing w:before="25" w:after="0"/>
        <w:ind w:left="0"/>
        <w:jc w:val="both"/>
        <w:textAlignment w:val="auto"/>
      </w:pPr>
      <w:r>
        <w:rPr>
          <w:rFonts w:ascii="Times New Roman"/>
          <w:b w:val="false"/>
          <w:i w:val="false"/>
          <w:color w:val="000000"/>
          <w:sz w:val="24"/>
          <w:lang w:val="pl-PL"/>
        </w:rPr>
        <w:t>31 - jednostka organizacyjna niebędąca osobą prawną, której ustawa przyznała zdolność prawną,</w:t>
      </w:r>
    </w:p>
    <w:p>
      <w:pPr>
        <w:spacing w:before="25" w:after="0"/>
        <w:ind w:left="0"/>
        <w:jc w:val="both"/>
        <w:textAlignment w:val="auto"/>
      </w:pPr>
      <w:r>
        <w:rPr>
          <w:rFonts w:ascii="Times New Roman"/>
          <w:b w:val="false"/>
          <w:i w:val="false"/>
          <w:color w:val="000000"/>
          <w:sz w:val="24"/>
          <w:lang w:val="pl-PL"/>
        </w:rPr>
        <w:t>32 - podmioty, inne niż małżeństwo, pozostające we współwłasności łącznej do nieruchomości,</w:t>
      </w:r>
    </w:p>
    <w:p>
      <w:pPr>
        <w:spacing w:before="25" w:after="0"/>
        <w:ind w:left="0"/>
        <w:jc w:val="both"/>
        <w:textAlignment w:val="auto"/>
      </w:pPr>
      <w:r>
        <w:rPr>
          <w:rFonts w:ascii="Times New Roman"/>
          <w:b w:val="false"/>
          <w:i w:val="false"/>
          <w:color w:val="000000"/>
          <w:sz w:val="24"/>
          <w:lang w:val="pl-PL"/>
        </w:rPr>
        <w:t>33 - spółka cywilna,</w:t>
      </w:r>
    </w:p>
    <w:p>
      <w:pPr>
        <w:spacing w:before="25" w:after="0"/>
        <w:ind w:left="0"/>
        <w:jc w:val="both"/>
        <w:textAlignment w:val="auto"/>
      </w:pPr>
      <w:r>
        <w:rPr>
          <w:rFonts w:ascii="Times New Roman"/>
          <w:b w:val="false"/>
          <w:i w:val="false"/>
          <w:color w:val="000000"/>
          <w:sz w:val="24"/>
          <w:lang w:val="pl-PL"/>
        </w:rPr>
        <w:t>34 - małżeństwo obywateli polskich,</w:t>
      </w:r>
    </w:p>
    <w:p>
      <w:pPr>
        <w:spacing w:before="25" w:after="0"/>
        <w:ind w:left="0"/>
        <w:jc w:val="both"/>
        <w:textAlignment w:val="auto"/>
      </w:pPr>
      <w:r>
        <w:rPr>
          <w:rFonts w:ascii="Times New Roman"/>
          <w:b w:val="false"/>
          <w:i w:val="false"/>
          <w:color w:val="000000"/>
          <w:sz w:val="24"/>
          <w:lang w:val="pl-PL"/>
        </w:rPr>
        <w:t>35 - małżeństwo, w którym co najmniej jeden ze współmałżonków jest cudzoziemcem,</w:t>
      </w:r>
    </w:p>
    <w:p>
      <w:pPr>
        <w:spacing w:before="25" w:after="0"/>
        <w:ind w:left="0"/>
        <w:jc w:val="both"/>
        <w:textAlignment w:val="auto"/>
      </w:pPr>
      <w:r>
        <w:rPr>
          <w:rFonts w:ascii="Times New Roman"/>
          <w:b w:val="false"/>
          <w:i w:val="false"/>
          <w:color w:val="000000"/>
          <w:sz w:val="24"/>
          <w:lang w:val="pl-PL"/>
        </w:rPr>
        <w:t>36 - województwo,</w:t>
      </w:r>
    </w:p>
    <w:p>
      <w:pPr>
        <w:spacing w:before="25" w:after="0"/>
        <w:ind w:left="0"/>
        <w:jc w:val="both"/>
        <w:textAlignment w:val="auto"/>
      </w:pPr>
      <w:r>
        <w:rPr>
          <w:rFonts w:ascii="Times New Roman"/>
          <w:b w:val="false"/>
          <w:i w:val="false"/>
          <w:color w:val="000000"/>
          <w:sz w:val="24"/>
          <w:lang w:val="pl-PL"/>
        </w:rPr>
        <w:t>37 - powiat,</w:t>
      </w:r>
    </w:p>
    <w:p>
      <w:pPr>
        <w:spacing w:before="25" w:after="0"/>
        <w:ind w:left="0"/>
        <w:jc w:val="both"/>
        <w:textAlignment w:val="auto"/>
      </w:pPr>
      <w:r>
        <w:rPr>
          <w:rFonts w:ascii="Times New Roman"/>
          <w:b w:val="false"/>
          <w:i w:val="false"/>
          <w:color w:val="000000"/>
          <w:sz w:val="24"/>
          <w:lang w:val="pl-PL"/>
        </w:rPr>
        <w:t>38 - spółdzielnia rolnicza,</w:t>
      </w:r>
    </w:p>
    <w:p>
      <w:pPr>
        <w:spacing w:before="25" w:after="0"/>
        <w:ind w:left="0"/>
        <w:jc w:val="both"/>
        <w:textAlignment w:val="auto"/>
      </w:pPr>
      <w:r>
        <w:rPr>
          <w:rFonts w:ascii="Times New Roman"/>
          <w:b w:val="false"/>
          <w:i w:val="false"/>
          <w:color w:val="000000"/>
          <w:sz w:val="24"/>
          <w:lang w:val="pl-PL"/>
        </w:rPr>
        <w:t>40 - właściciel nieustalony,</w:t>
      </w:r>
    </w:p>
    <w:p>
      <w:pPr>
        <w:spacing w:before="25" w:after="0"/>
        <w:ind w:left="0"/>
        <w:jc w:val="both"/>
        <w:textAlignment w:val="auto"/>
      </w:pPr>
      <w:r>
        <w:rPr>
          <w:rFonts w:ascii="Times New Roman"/>
          <w:b w:val="false"/>
          <w:i w:val="false"/>
          <w:color w:val="000000"/>
          <w:sz w:val="24"/>
          <w:lang w:val="pl-PL"/>
        </w:rPr>
        <w:t>41 - wspólnota gruntowa,</w:t>
      </w:r>
    </w:p>
    <w:p>
      <w:pPr>
        <w:spacing w:before="25" w:after="0"/>
        <w:ind w:left="0"/>
        <w:jc w:val="both"/>
        <w:textAlignment w:val="auto"/>
      </w:pPr>
      <w:r>
        <w:rPr>
          <w:rFonts w:ascii="Times New Roman"/>
          <w:b w:val="false"/>
          <w:i w:val="false"/>
          <w:color w:val="000000"/>
          <w:sz w:val="24"/>
          <w:lang w:val="pl-PL"/>
        </w:rPr>
        <w:t>42 - minister właściwy ds. gospodarki morskiej,</w:t>
      </w:r>
    </w:p>
    <w:p>
      <w:pPr>
        <w:spacing w:before="25" w:after="0"/>
        <w:ind w:left="0"/>
        <w:jc w:val="both"/>
        <w:textAlignment w:val="auto"/>
      </w:pPr>
      <w:r>
        <w:rPr>
          <w:rFonts w:ascii="Times New Roman"/>
          <w:b w:val="false"/>
          <w:i w:val="false"/>
          <w:color w:val="000000"/>
          <w:sz w:val="24"/>
          <w:lang w:val="pl-PL"/>
        </w:rPr>
        <w:t>43 - Prezes Państwowego Gospodarstwa Wodnego Wody Polskie,</w:t>
      </w:r>
    </w:p>
    <w:p>
      <w:pPr>
        <w:spacing w:before="25" w:after="0"/>
        <w:ind w:left="0"/>
        <w:jc w:val="both"/>
        <w:textAlignment w:val="auto"/>
      </w:pPr>
      <w:r>
        <w:rPr>
          <w:rFonts w:ascii="Times New Roman"/>
          <w:b w:val="false"/>
          <w:i w:val="false"/>
          <w:color w:val="000000"/>
          <w:sz w:val="24"/>
          <w:lang w:val="pl-PL"/>
        </w:rPr>
        <w:t>44 - Generalny Dyrektor Dróg Krajowych i Autostrad,</w:t>
      </w:r>
    </w:p>
    <w:p>
      <w:pPr>
        <w:spacing w:before="25" w:after="0"/>
        <w:ind w:left="0"/>
        <w:jc w:val="both"/>
        <w:textAlignment w:val="auto"/>
      </w:pPr>
      <w:r>
        <w:rPr>
          <w:rFonts w:ascii="Times New Roman"/>
          <w:b w:val="false"/>
          <w:i w:val="false"/>
          <w:color w:val="000000"/>
          <w:sz w:val="24"/>
          <w:lang w:val="pl-PL"/>
        </w:rPr>
        <w:t>45 - dyrektor parku narodowego,</w:t>
      </w:r>
    </w:p>
    <w:p>
      <w:pPr>
        <w:spacing w:before="25" w:after="0"/>
        <w:ind w:left="0"/>
        <w:jc w:val="both"/>
        <w:textAlignment w:val="auto"/>
      </w:pPr>
      <w:r>
        <w:rPr>
          <w:rFonts w:ascii="Times New Roman"/>
          <w:b w:val="false"/>
          <w:i w:val="false"/>
          <w:color w:val="000000"/>
          <w:sz w:val="24"/>
          <w:lang w:val="pl-PL"/>
        </w:rPr>
        <w:t>46 - marszałek województwa,</w:t>
      </w:r>
    </w:p>
    <w:p>
      <w:pPr>
        <w:spacing w:before="25" w:after="0"/>
        <w:ind w:left="0"/>
        <w:jc w:val="both"/>
        <w:textAlignment w:val="auto"/>
      </w:pPr>
      <w:r>
        <w:rPr>
          <w:rFonts w:ascii="Times New Roman"/>
          <w:b w:val="false"/>
          <w:i w:val="false"/>
          <w:color w:val="000000"/>
          <w:sz w:val="24"/>
          <w:lang w:val="pl-PL"/>
        </w:rPr>
        <w:t>47 - inne.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 xml:space="preserve">ZAŁĄCZNIK Nr  6  </w:t>
      </w:r>
      <w:r>
        <w:rPr>
          <w:rFonts w:ascii="Times New Roman"/>
          <w:b/>
          <w:i w:val="false"/>
          <w:color w:val="000000"/>
          <w:sz w:val="24"/>
          <w:lang w:val="pl-PL"/>
        </w:rPr>
        <w:t xml:space="preserve"> </w:t>
      </w:r>
    </w:p>
    <w:p>
      <w:pPr>
        <w:spacing w:before="25" w:after="0"/>
        <w:ind w:left="0"/>
        <w:jc w:val="center"/>
        <w:textAlignment w:val="auto"/>
      </w:pPr>
      <w:r>
        <w:rPr>
          <w:rFonts w:ascii="Times New Roman"/>
          <w:b/>
          <w:i w:val="false"/>
          <w:color w:val="000000"/>
          <w:sz w:val="24"/>
          <w:lang w:val="pl-PL"/>
        </w:rPr>
        <w:t>SPECYFIKACJA POJĘCIOWEGO MODELU DANYCH EWIDENCJI GRUNTÓW I BUDYNKÓW (EGiB)</w:t>
      </w:r>
    </w:p>
    <w:p>
      <w:pPr>
        <w:spacing w:after="0"/>
        <w:ind w:left="0"/>
        <w:jc w:val="left"/>
        <w:textAlignment w:val="auto"/>
      </w:pPr>
      <w:r>
        <w:rPr>
          <w:rFonts w:ascii="Times New Roman"/>
          <w:b/>
          <w:i w:val="false"/>
          <w:color w:val="000000"/>
          <w:sz w:val="24"/>
          <w:lang w:val="pl-PL"/>
        </w:rPr>
        <w:t>I. Model pojęciowy danych EGiB</w:t>
      </w:r>
    </w:p>
    <w:p>
      <w:pPr>
        <w:spacing w:before="25" w:after="0"/>
        <w:ind w:left="0"/>
        <w:jc w:val="both"/>
        <w:textAlignment w:val="auto"/>
      </w:pPr>
      <w:r>
        <w:rPr>
          <w:rFonts w:ascii="Times New Roman"/>
          <w:b w:val="false"/>
          <w:i w:val="false"/>
          <w:color w:val="000000"/>
          <w:sz w:val="24"/>
          <w:lang w:val="pl-PL"/>
        </w:rPr>
        <w:t xml:space="preserve">Schemat aplikacyjny UML dla danych EGiB przedstawiają diagramy: </w:t>
      </w:r>
      <w:r>
        <w:rPr>
          <w:rFonts w:ascii="Times New Roman"/>
          <w:b/>
          <w:i w:val="false"/>
          <w:color w:val="000000"/>
          <w:sz w:val="24"/>
          <w:lang w:val="pl-PL"/>
        </w:rPr>
        <w:t>Ogólny obiekt</w:t>
      </w:r>
      <w:r>
        <w:rPr>
          <w:rFonts w:ascii="Times New Roman"/>
          <w:b w:val="false"/>
          <w:i w:val="false"/>
          <w:color w:val="000000"/>
          <w:sz w:val="24"/>
          <w:lang w:val="pl-PL"/>
        </w:rPr>
        <w:t xml:space="preserve">, </w:t>
      </w:r>
      <w:r>
        <w:rPr>
          <w:rFonts w:ascii="Times New Roman"/>
          <w:b/>
          <w:i w:val="false"/>
          <w:color w:val="000000"/>
          <w:sz w:val="24"/>
          <w:lang w:val="pl-PL"/>
        </w:rPr>
        <w:t>Dziedziczenie, Dane przedmiotowe, Dane podmiotowe, Grupowanie JR i podmiotów, Udziały, Adres nieruchomości, Adres podmiotu, Punkt graniczny, Podstawa prawna, Prezentacja graficzna.</w:t>
      </w:r>
    </w:p>
    <w:p>
      <w:pPr>
        <w:spacing w:before="25" w:after="0"/>
        <w:ind w:left="0"/>
        <w:jc w:val="both"/>
        <w:textAlignment w:val="auto"/>
      </w:pPr>
      <w:r>
        <w:rPr>
          <w:rFonts w:ascii="Times New Roman"/>
          <w:b/>
          <w:i w:val="false"/>
          <w:color w:val="000000"/>
          <w:sz w:val="24"/>
          <w:lang w:val="pl-PL"/>
        </w:rPr>
        <w:t>1. Diagram: Ogólny obiekt</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2. Diagram: Dziedziczenie</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3. Diagram: Dane przedmiotowe</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4. Diagram: Dane podmiotowe</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5. Diagram: Grupowanie JR i podmiotów</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6. Diagram: Udziały</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7. Diagram: Adres nieruchomości</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8. Diagram: Adres podmiotu</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9. Diagram: Punkt graniczny</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10. Diagram: Podstawa prawna</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11. Diagram: Prezentacja graficzna</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II. Wyjaśnienia do atrybutów</w:t>
      </w:r>
    </w:p>
    <w:p>
      <w:pPr>
        <w:spacing w:before="25" w:after="0"/>
        <w:ind w:left="0"/>
        <w:jc w:val="both"/>
        <w:textAlignment w:val="auto"/>
      </w:pPr>
      <w:r>
        <w:rPr>
          <w:rFonts w:ascii="Times New Roman"/>
          <w:b w:val="false"/>
          <w:i w:val="false"/>
          <w:color w:val="000000"/>
          <w:sz w:val="24"/>
          <w:lang w:val="pl-PL"/>
        </w:rPr>
        <w:t>1. Parametr</w:t>
      </w:r>
      <w:r>
        <w:rPr>
          <w:rFonts w:ascii="Times New Roman"/>
          <w:b/>
          <w:i w:val="false"/>
          <w:color w:val="000000"/>
          <w:sz w:val="24"/>
          <w:lang w:val="pl-PL"/>
        </w:rPr>
        <w:t xml:space="preserve"> parametrPrzeskalowania</w:t>
      </w:r>
      <w:r>
        <w:rPr>
          <w:rFonts w:ascii="Times New Roman"/>
          <w:b w:val="false"/>
          <w:i w:val="false"/>
          <w:color w:val="000000"/>
          <w:sz w:val="24"/>
          <w:lang w:val="pl-PL"/>
        </w:rPr>
        <w:t xml:space="preserve"> dotyczy przeskalowania wielkości znaku lub wielkości etykiety w stosunku do ich wartości nominalnej, a jego wartością domyślną jest wartość 1.</w:t>
      </w:r>
    </w:p>
    <w:p>
      <w:pPr>
        <w:spacing w:before="25" w:after="0"/>
        <w:ind w:left="0"/>
        <w:jc w:val="both"/>
        <w:textAlignment w:val="auto"/>
      </w:pPr>
      <w:r>
        <w:rPr>
          <w:rFonts w:ascii="Times New Roman"/>
          <w:b w:val="false"/>
          <w:i w:val="false"/>
          <w:color w:val="000000"/>
          <w:sz w:val="24"/>
          <w:lang w:val="pl-PL"/>
        </w:rPr>
        <w:t xml:space="preserve">2. Parametr </w:t>
      </w:r>
      <w:r>
        <w:rPr>
          <w:rFonts w:ascii="Times New Roman"/>
          <w:b/>
          <w:i w:val="false"/>
          <w:color w:val="000000"/>
          <w:sz w:val="24"/>
          <w:lang w:val="pl-PL"/>
        </w:rPr>
        <w:t>justyfikacja</w:t>
      </w:r>
      <w:r>
        <w:rPr>
          <w:rFonts w:ascii="Times New Roman"/>
          <w:b w:val="false"/>
          <w:i w:val="false"/>
          <w:color w:val="000000"/>
          <w:sz w:val="24"/>
          <w:lang w:val="pl-PL"/>
        </w:rPr>
        <w:t xml:space="preserve"> jest określony zgodnie z przedstawionym schematem:</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III. Ograniczenia nałożone na atrybuty</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931"/>
      </w:tblGrid>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EGB_ObiektOgolny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pierwszaAktualnaWersja</w:t>
            </w:r>
          </w:p>
          <w:p>
            <w:pPr>
              <w:spacing w:before="25" w:after="0"/>
              <w:ind w:left="0"/>
              <w:jc w:val="left"/>
              <w:textAlignment w:val="auto"/>
            </w:pPr>
            <w:r>
              <w:rPr>
                <w:rFonts w:ascii="Times New Roman"/>
                <w:b w:val="false"/>
                <w:i w:val="false"/>
                <w:color w:val="000000"/>
                <w:sz w:val="24"/>
                <w:lang w:val="pl-PL"/>
              </w:rPr>
              <w:t>Język naturalny: Dla pierwszej aktualnej wersji obiektu data wprowadzona jako wartość atrybutu startObiekt musi być taka sama jak wartość atrybutu startWersjaObiekt.</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kolejneAktualneWersje</w:t>
            </w:r>
          </w:p>
          <w:p>
            <w:pPr>
              <w:spacing w:before="25" w:after="0"/>
              <w:ind w:left="0"/>
              <w:jc w:val="left"/>
              <w:textAlignment w:val="auto"/>
            </w:pPr>
            <w:r>
              <w:rPr>
                <w:rFonts w:ascii="Times New Roman"/>
                <w:b w:val="false"/>
                <w:i w:val="false"/>
                <w:color w:val="000000"/>
                <w:sz w:val="24"/>
                <w:lang w:val="pl-PL"/>
              </w:rPr>
              <w:t>Język naturalny: Dla kolejnych wersji aktualnych obiektu data wprowadzona jako wartość atrybutu startWersjaObiekt musi być większa niż wartość atrybutu startObiekt.</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kolejneWersje</w:t>
            </w:r>
          </w:p>
          <w:p>
            <w:pPr>
              <w:spacing w:before="25" w:after="0"/>
              <w:ind w:left="0"/>
              <w:jc w:val="left"/>
              <w:textAlignment w:val="auto"/>
            </w:pPr>
            <w:r>
              <w:rPr>
                <w:rFonts w:ascii="Times New Roman"/>
                <w:b w:val="false"/>
                <w:i w:val="false"/>
                <w:color w:val="000000"/>
                <w:sz w:val="24"/>
                <w:lang w:val="pl-PL"/>
              </w:rPr>
              <w:t>Język naturalny: Zależności między atrybutami wersji kolejno po sobie następujących (wersja</w:t>
            </w:r>
            <w:r>
              <w:rPr>
                <w:rFonts w:ascii="Times New Roman"/>
                <w:b w:val="false"/>
                <w:i w:val="false"/>
                <w:color w:val="000000"/>
                <w:sz w:val="24"/>
                <w:vertAlign w:val="subscript"/>
                <w:lang w:val="pl-PL"/>
              </w:rPr>
              <w:t xml:space="preserve">n-1 </w:t>
            </w:r>
            <w:r>
              <w:rPr>
                <w:rFonts w:ascii="Times New Roman"/>
                <w:b w:val="false"/>
                <w:i w:val="false"/>
                <w:color w:val="000000"/>
                <w:sz w:val="24"/>
                <w:lang w:val="pl-PL"/>
              </w:rPr>
              <w:t>i następująca po niej wersja</w:t>
            </w:r>
            <w:r>
              <w:rPr>
                <w:rFonts w:ascii="Times New Roman"/>
                <w:b w:val="false"/>
                <w:i w:val="false"/>
                <w:color w:val="000000"/>
                <w:sz w:val="24"/>
                <w:vertAlign w:val="subscript"/>
                <w:lang w:val="pl-PL"/>
              </w:rPr>
              <w:t>n</w:t>
            </w:r>
            <w:r>
              <w:rPr>
                <w:rFonts w:ascii="Times New Roman"/>
                <w:b w:val="false"/>
                <w:i w:val="false"/>
                <w:color w:val="000000"/>
                <w:sz w:val="24"/>
                <w:lang w:val="pl-PL"/>
              </w:rPr>
              <w:t>) są następujące:</w:t>
            </w:r>
          </w:p>
          <w:p>
            <w:pPr>
              <w:spacing w:before="25" w:after="0"/>
              <w:ind w:left="0"/>
              <w:jc w:val="left"/>
              <w:textAlignment w:val="auto"/>
            </w:pPr>
            <w:r>
              <w:rPr>
                <w:rFonts w:ascii="Times New Roman"/>
                <w:b w:val="false"/>
                <w:i w:val="false"/>
                <w:color w:val="000000"/>
                <w:sz w:val="24"/>
                <w:lang w:val="pl-PL"/>
              </w:rPr>
              <w:t>startWersjaObiekt</w:t>
            </w:r>
            <w:r>
              <w:rPr>
                <w:rFonts w:ascii="Times New Roman"/>
                <w:b w:val="false"/>
                <w:i w:val="false"/>
                <w:color w:val="000000"/>
                <w:sz w:val="24"/>
                <w:vertAlign w:val="subscript"/>
                <w:lang w:val="pl-PL"/>
              </w:rPr>
              <w:t xml:space="preserve">n </w:t>
            </w:r>
            <w:r>
              <w:rPr>
                <w:rFonts w:ascii="Times New Roman"/>
                <w:b w:val="false"/>
                <w:i w:val="false"/>
                <w:color w:val="000000"/>
                <w:sz w:val="24"/>
                <w:lang w:val="pl-PL"/>
              </w:rPr>
              <w:t>&gt; startWersjaObiekt</w:t>
            </w:r>
            <w:r>
              <w:rPr>
                <w:rFonts w:ascii="Times New Roman"/>
                <w:b w:val="false"/>
                <w:i w:val="false"/>
                <w:color w:val="000000"/>
                <w:sz w:val="24"/>
                <w:vertAlign w:val="subscript"/>
                <w:lang w:val="pl-PL"/>
              </w:rPr>
              <w:t>n-1</w:t>
            </w:r>
            <w:r>
              <w:rPr>
                <w:rFonts w:ascii="Times New Roman"/>
                <w:b w:val="false"/>
                <w:i w:val="false"/>
                <w:color w:val="000000"/>
                <w:sz w:val="24"/>
                <w:lang w:val="pl-PL"/>
              </w:rPr>
              <w:t xml:space="preserve"> startWersjaObiekt</w:t>
            </w:r>
            <w:r>
              <w:rPr>
                <w:rFonts w:ascii="Times New Roman"/>
                <w:b w:val="false"/>
                <w:i w:val="false"/>
                <w:color w:val="000000"/>
                <w:sz w:val="24"/>
                <w:vertAlign w:val="subscript"/>
                <w:lang w:val="pl-PL"/>
              </w:rPr>
              <w:t xml:space="preserve">n </w:t>
            </w:r>
            <w:r>
              <w:rPr>
                <w:rFonts w:ascii="Times New Roman"/>
                <w:b w:val="false"/>
                <w:i w:val="false"/>
                <w:color w:val="000000"/>
                <w:sz w:val="24"/>
                <w:lang w:val="pl-PL"/>
              </w:rPr>
              <w:t>= koniecWersjaObiekt</w:t>
            </w:r>
            <w:r>
              <w:rPr>
                <w:rFonts w:ascii="Times New Roman"/>
                <w:b w:val="false"/>
                <w:i w:val="false"/>
                <w:color w:val="000000"/>
                <w:sz w:val="24"/>
                <w:vertAlign w:val="subscript"/>
                <w:lang w:val="pl-PL"/>
              </w:rPr>
              <w:t>n-1</w:t>
            </w:r>
            <w:r>
              <w:rPr>
                <w:rFonts w:ascii="Times New Roman"/>
                <w:b w:val="false"/>
                <w:i w:val="false"/>
                <w:color w:val="000000"/>
                <w:sz w:val="24"/>
                <w:lang w:val="pl-PL"/>
              </w:rPr>
              <w:t xml:space="preserve"> koniecWersjaObiekt</w:t>
            </w:r>
            <w:r>
              <w:rPr>
                <w:rFonts w:ascii="Times New Roman"/>
                <w:b w:val="false"/>
                <w:i w:val="false"/>
                <w:color w:val="000000"/>
                <w:sz w:val="24"/>
                <w:vertAlign w:val="subscript"/>
                <w:lang w:val="pl-PL"/>
              </w:rPr>
              <w:t>n</w:t>
            </w:r>
            <w:r>
              <w:rPr>
                <w:rFonts w:ascii="Times New Roman"/>
                <w:b w:val="false"/>
                <w:i w:val="false"/>
                <w:color w:val="000000"/>
                <w:sz w:val="24"/>
                <w:lang w:val="pl-PL"/>
              </w:rPr>
              <w:t xml:space="preserve"> &gt; koniecWersjaObiekt</w:t>
            </w:r>
            <w:r>
              <w:rPr>
                <w:rFonts w:ascii="Times New Roman"/>
                <w:b w:val="false"/>
                <w:i w:val="false"/>
                <w:color w:val="000000"/>
                <w:sz w:val="24"/>
                <w:vertAlign w:val="subscript"/>
                <w:lang w:val="pl-PL"/>
              </w:rPr>
              <w:t>n-1</w:t>
            </w:r>
            <w:r>
              <w:rPr>
                <w:rFonts w:ascii="Times New Roman"/>
                <w:b w:val="false"/>
                <w:i w:val="false"/>
                <w:color w:val="000000"/>
                <w:sz w:val="24"/>
                <w:lang w:val="pl-PL"/>
              </w:rPr>
              <w:t>.</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niezmiennoscStartObiekt</w:t>
            </w:r>
          </w:p>
          <w:p>
            <w:pPr>
              <w:spacing w:before="25" w:after="0"/>
              <w:ind w:left="0"/>
              <w:jc w:val="left"/>
              <w:textAlignment w:val="auto"/>
            </w:pPr>
            <w:r>
              <w:rPr>
                <w:rFonts w:ascii="Times New Roman"/>
                <w:b w:val="false"/>
                <w:i w:val="false"/>
                <w:color w:val="000000"/>
                <w:sz w:val="24"/>
                <w:lang w:val="pl-PL"/>
              </w:rPr>
              <w:t>Język naturalny: Atrybut startObiekt ma tę samą wartość dla wersji aktualnej obiektu (jeśli taka istnieje) i wszystkich wersji archiwalnych.</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relacjaStartWersjaObiektaEGB_ZMN</w:t>
            </w:r>
          </w:p>
          <w:p>
            <w:pPr>
              <w:spacing w:before="25" w:after="0"/>
              <w:ind w:left="0"/>
              <w:jc w:val="left"/>
              <w:textAlignment w:val="auto"/>
            </w:pPr>
            <w:r>
              <w:rPr>
                <w:rFonts w:ascii="Times New Roman"/>
                <w:b w:val="false"/>
                <w:i w:val="false"/>
                <w:color w:val="000000"/>
                <w:sz w:val="24"/>
                <w:lang w:val="pl-PL"/>
              </w:rPr>
              <w:t>Język naturalny: Atrybut startWersjaObiekt musi mieć tę samą wartość, co atrybut dataAkceptacjiZmiany obiektu EGB_Zmiana - zmiany tworzącej wersję obiektu.</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pierwszaWersjaArchiwalna</w:t>
            </w:r>
          </w:p>
          <w:p>
            <w:pPr>
              <w:spacing w:before="25" w:after="0"/>
              <w:ind w:left="0"/>
              <w:jc w:val="left"/>
              <w:textAlignment w:val="auto"/>
            </w:pPr>
            <w:r>
              <w:rPr>
                <w:rFonts w:ascii="Times New Roman"/>
                <w:b w:val="false"/>
                <w:i w:val="false"/>
                <w:color w:val="000000"/>
                <w:sz w:val="24"/>
                <w:lang w:val="pl-PL"/>
              </w:rPr>
              <w:t>Język naturalny: Dla pierwszej wersji archiwalnej obiektu atrybut koniecObiekt nie ma zastosowania, z wyjątkiem przypadku, kiedy pierwsza wersja archiwalna jest jednocześnie ostatnią (archiwizowana jest pierwsza i jedyna wersja obiektu - wtedy wartość atrybutu koniecWersjaObiekt odpowiada wartości atrybutu koniecObiekt).</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ostatniaWersjaArchiwalna</w:t>
            </w:r>
          </w:p>
          <w:p>
            <w:pPr>
              <w:spacing w:before="25" w:after="0"/>
              <w:ind w:left="0"/>
              <w:jc w:val="left"/>
              <w:textAlignment w:val="auto"/>
            </w:pPr>
            <w:r>
              <w:rPr>
                <w:rFonts w:ascii="Times New Roman"/>
                <w:b w:val="false"/>
                <w:i w:val="false"/>
                <w:color w:val="000000"/>
                <w:sz w:val="24"/>
                <w:lang w:val="pl-PL"/>
              </w:rPr>
              <w:t>Język naturalny: Dla ostatniej wersji archiwalnej obiektu wartość atrybutu koniecWersjaObiekt odpowiada wartości atrybutu koniecObiekt.</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EGB_IdentyfikatorIIP</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dozwoloneZnakiDlaAtrybutowlokalnyIdIPrzestrzenNazw</w:t>
            </w:r>
          </w:p>
          <w:p>
            <w:pPr>
              <w:spacing w:before="25" w:after="0"/>
              <w:ind w:left="0"/>
              <w:jc w:val="left"/>
              <w:textAlignment w:val="auto"/>
            </w:pPr>
            <w:r>
              <w:rPr>
                <w:rFonts w:ascii="Times New Roman"/>
                <w:b w:val="false"/>
                <w:i w:val="false"/>
                <w:color w:val="000000"/>
                <w:sz w:val="24"/>
                <w:lang w:val="pl-PL"/>
              </w:rPr>
              <w:t>Język naturalny: Atrybut lokalnyId może być zdefiniowany tylko przy użyciu następującego wyrażenia regularnego</w:t>
            </w:r>
          </w:p>
          <w:p>
            <w:pPr>
              <w:spacing w:before="25" w:after="0"/>
              <w:ind w:left="0"/>
              <w:jc w:val="left"/>
              <w:textAlignment w:val="auto"/>
            </w:pPr>
            <w:r>
              <w:rPr>
                <w:rFonts w:ascii="Times New Roman"/>
                <w:b w:val="false"/>
                <w:i w:val="false"/>
                <w:color w:val="000000"/>
                <w:sz w:val="24"/>
                <w:lang w:val="pl-PL"/>
              </w:rPr>
              <w:t>[A-Za-z0-9]{8}-[A-Za-z0-9]{4}-[A-Za-z0-9]{4}-[A-Za-z0-9]{4}-[A-Za-z0-9]{12}</w:t>
            </w:r>
          </w:p>
          <w:p>
            <w:pPr>
              <w:spacing w:before="25" w:after="0"/>
              <w:ind w:left="0"/>
              <w:jc w:val="left"/>
              <w:textAlignment w:val="auto"/>
            </w:pPr>
            <w:r>
              <w:rPr>
                <w:rFonts w:ascii="Times New Roman"/>
                <w:b w:val="false"/>
                <w:i w:val="false"/>
                <w:color w:val="000000"/>
                <w:sz w:val="24"/>
                <w:lang w:val="pl-PL"/>
              </w:rPr>
              <w:t>Atrybut przestrzenNazw może być zdefiniowany tylko przy użyciu następującego wyrażenia regularnego PL\.[A-Za-z]{1,6}\.\d{1,6}\.[A-Za-z0-9]{1,8}.</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EGB_DzialkaEwidencyjna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dozwoloneZnakiDlaAtrybutuNumerKW</w:t>
            </w:r>
          </w:p>
          <w:p>
            <w:pPr>
              <w:spacing w:before="25" w:after="0"/>
              <w:ind w:left="0"/>
              <w:jc w:val="left"/>
              <w:textAlignment w:val="auto"/>
            </w:pPr>
            <w:r>
              <w:rPr>
                <w:rFonts w:ascii="Times New Roman"/>
                <w:b w:val="false"/>
                <w:i w:val="false"/>
                <w:color w:val="000000"/>
                <w:sz w:val="24"/>
                <w:lang w:val="pl-PL"/>
              </w:rPr>
              <w:t>Język naturalny: W przypadku numeru elektronicznej KW atrybut numerKW powinien zostać zdefiniowany tylko przy użyciu następującego wyrażenia regularnego [A-Z]{2}[1-9]{1}[A-Z]{1}/[0-9]{8}/[0-9]{1}.</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EGB_KonturKlasyfikacyjny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powiazanieZOFU</w:t>
            </w:r>
          </w:p>
          <w:p>
            <w:pPr>
              <w:spacing w:before="25" w:after="0"/>
              <w:ind w:left="0"/>
              <w:jc w:val="left"/>
              <w:textAlignment w:val="auto"/>
            </w:pPr>
            <w:r>
              <w:rPr>
                <w:rFonts w:ascii="Times New Roman"/>
                <w:b w:val="false"/>
                <w:i w:val="false"/>
                <w:color w:val="000000"/>
                <w:sz w:val="24"/>
                <w:lang w:val="pl-PL"/>
              </w:rPr>
              <w:t>Język naturalny: Kontur klasyfikacyjny obejmuje tylko kontury użytków gruntowych o oznaczeniach OFU = R, S, Ł, Ps, Br, Wsr, W, Lzr, Ls, Lz.</w:t>
            </w:r>
          </w:p>
          <w:p>
            <w:pPr>
              <w:spacing w:before="25" w:after="0"/>
              <w:ind w:left="0"/>
              <w:jc w:val="left"/>
              <w:textAlignment w:val="auto"/>
            </w:pPr>
            <w:r>
              <w:rPr>
                <w:rFonts w:ascii="Times New Roman"/>
                <w:b w:val="false"/>
                <w:i w:val="false"/>
                <w:color w:val="000000"/>
                <w:sz w:val="24"/>
                <w:lang w:val="pl-PL"/>
              </w:rPr>
              <w:t>OCL: inv: self.OFU='R' or self.OFU='S' or self.OFU='Ł' or self.OFU='Ps' or self.OFU='Br' or self.OFU='Wsr' or self.OFU='W' or self.OFU='Lzr' or self.OFU='Ls' or self.OFU='Lz'.</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powiazanieOZUOrazOZK</w:t>
            </w:r>
          </w:p>
          <w:p>
            <w:pPr>
              <w:spacing w:before="25" w:after="0"/>
              <w:ind w:left="0"/>
              <w:jc w:val="left"/>
              <w:textAlignment w:val="auto"/>
            </w:pPr>
            <w:r>
              <w:rPr>
                <w:rFonts w:ascii="Times New Roman"/>
                <w:b w:val="false"/>
                <w:i w:val="false"/>
                <w:color w:val="000000"/>
                <w:sz w:val="24"/>
                <w:lang w:val="pl-PL"/>
              </w:rPr>
              <w:t>Język naturalny: Dla OZU = Ł, Ps, Ls, Lz, OZK przyjmuje jedną z następujących wartości: I, II, III, IV, V, VI. Dla OZU = R, OZK przyjmuje jedną z następujących wartości: I, II, IIIa, IIIb, IVa, IVb, V, VI, VIz.</w:t>
            </w:r>
          </w:p>
          <w:p>
            <w:pPr>
              <w:spacing w:before="25" w:after="0"/>
              <w:ind w:left="0"/>
              <w:jc w:val="left"/>
              <w:textAlignment w:val="auto"/>
            </w:pPr>
            <w:r>
              <w:rPr>
                <w:rFonts w:ascii="Times New Roman"/>
                <w:b w:val="false"/>
                <w:i w:val="false"/>
                <w:color w:val="000000"/>
                <w:sz w:val="24"/>
                <w:lang w:val="pl-PL"/>
              </w:rPr>
              <w:t>OCL: inv: self.OZU='R' implies (self.OZK='I' or self.OZK='II' or self.OZK='IIIa' or self.OZK='IIIb' or self.OZK='IVa' or self.OZK='IVb' or self.OZK='V' or self.OZK='VI' or self.OZK='VIz')</w:t>
            </w:r>
          </w:p>
          <w:p>
            <w:pPr>
              <w:spacing w:before="25" w:after="0"/>
              <w:ind w:left="0"/>
              <w:jc w:val="left"/>
              <w:textAlignment w:val="auto"/>
            </w:pPr>
            <w:r>
              <w:rPr>
                <w:rFonts w:ascii="Times New Roman"/>
                <w:b w:val="false"/>
                <w:i w:val="false"/>
                <w:color w:val="000000"/>
                <w:sz w:val="24"/>
                <w:lang w:val="pl-PL"/>
              </w:rPr>
              <w:t>inv: (self.OZU='Ł' or self.OZU='Ps' or self.OZU='Ls' or self.OZU='Lz') implies (self.OZK='I' or self.OZK='II' or self.OZK='III' or self.OZK='IV' or self.OZK='V' or self.OZK='VI').</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EGB_Klasouzytek</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tworzenieOznaczenia</w:t>
            </w:r>
          </w:p>
          <w:p>
            <w:pPr>
              <w:spacing w:before="25" w:after="0"/>
              <w:ind w:left="0"/>
              <w:jc w:val="left"/>
              <w:textAlignment w:val="auto"/>
            </w:pPr>
            <w:r>
              <w:rPr>
                <w:rFonts w:ascii="Times New Roman"/>
                <w:b w:val="false"/>
                <w:i w:val="false"/>
                <w:color w:val="000000"/>
                <w:sz w:val="24"/>
                <w:lang w:val="pl-PL"/>
              </w:rPr>
              <w:t>Język naturalny: 1. Oznaczenie klasoużytku przyjmuje wartość OFU w przypadku:</w:t>
            </w:r>
          </w:p>
          <w:p>
            <w:pPr>
              <w:spacing w:before="25" w:after="0"/>
              <w:ind w:left="0"/>
              <w:jc w:val="left"/>
              <w:textAlignment w:val="auto"/>
            </w:pPr>
            <w:r>
              <w:rPr>
                <w:rFonts w:ascii="Times New Roman"/>
                <w:b w:val="false"/>
                <w:i w:val="false"/>
                <w:color w:val="000000"/>
                <w:sz w:val="24"/>
                <w:lang w:val="pl-PL"/>
              </w:rPr>
              <w:t>1) gruntów, które nie podlegają gleboznawczej klasyfikacji gruntów, tj. oznaczonych jako użytki gruntowe o OFU = B, Ba, Bi, Bp, Bz, K, dr, Tk, Ti, Tp, Wm, Wp, Ws oraz Tr,</w:t>
            </w:r>
          </w:p>
          <w:p>
            <w:pPr>
              <w:spacing w:before="25" w:after="0"/>
              <w:ind w:left="0"/>
              <w:jc w:val="left"/>
              <w:textAlignment w:val="auto"/>
            </w:pPr>
            <w:r>
              <w:rPr>
                <w:rFonts w:ascii="Times New Roman"/>
                <w:b w:val="false"/>
                <w:i w:val="false"/>
                <w:color w:val="000000"/>
                <w:sz w:val="24"/>
                <w:lang w:val="pl-PL"/>
              </w:rPr>
              <w:t>2) gruntów rolnych lub gruntów leśnych, które podlegają gleboznawczej klasyfikacji gruntów, ale w odniesieniu do których taka klasyfikacja nie została przeprowadzona; dotyczy to w szczególności użytków gruntowych o wartości OFU = Ls, Lz, N.</w:t>
            </w:r>
          </w:p>
          <w:p>
            <w:pPr>
              <w:spacing w:before="25" w:after="0"/>
              <w:ind w:left="0"/>
              <w:jc w:val="left"/>
              <w:textAlignment w:val="auto"/>
            </w:pPr>
            <w:r>
              <w:rPr>
                <w:rFonts w:ascii="Times New Roman"/>
                <w:b w:val="false"/>
                <w:i w:val="false"/>
                <w:color w:val="000000"/>
                <w:sz w:val="24"/>
                <w:lang w:val="pl-PL"/>
              </w:rPr>
              <w:t>2. Oznaczenie klasoużytku przyjmuje postać składającą się z dwóch usytuowanych kolejno elementów: OZU oraz OZK, jeżeli OFU jest równe OZU.</w:t>
            </w:r>
          </w:p>
          <w:p>
            <w:pPr>
              <w:spacing w:before="25" w:after="0"/>
              <w:ind w:left="0"/>
              <w:jc w:val="left"/>
              <w:textAlignment w:val="auto"/>
            </w:pPr>
            <w:r>
              <w:rPr>
                <w:rFonts w:ascii="Times New Roman"/>
                <w:b w:val="false"/>
                <w:i w:val="false"/>
                <w:color w:val="000000"/>
                <w:sz w:val="24"/>
                <w:lang w:val="pl-PL"/>
              </w:rPr>
              <w:t>3. Oznaczenie klasoużytku przyjmuje postać składającą się z trzech usytuowanych kolejno elementów: OFU, OZU oraz OZK, jeżeli OFU jest różne od OZU; element OFU jest oddzielony od elementu OZU myślnikiem.</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zaleznoscOFUiOZUiOZK</w:t>
            </w:r>
          </w:p>
          <w:p>
            <w:pPr>
              <w:spacing w:before="25" w:after="0"/>
              <w:ind w:left="0"/>
              <w:jc w:val="left"/>
              <w:textAlignment w:val="auto"/>
            </w:pPr>
            <w:r>
              <w:rPr>
                <w:rFonts w:ascii="Times New Roman"/>
                <w:b w:val="false"/>
                <w:i w:val="false"/>
                <w:color w:val="000000"/>
                <w:sz w:val="24"/>
                <w:lang w:val="pl-PL"/>
              </w:rPr>
              <w:t>Język naturalny: Przyjęcie przez OFU wartości: ('R' lub 'S' lub 'Br' lub 'Wsr' lub 'W' lub 'Lzr') i przez OZU wartości 'R' powoduje, że OZK może przyjąć jedną z wartości ('I' lub 'II' lub 'IIIa' lub 'IIIb' lub 'IVa' lub 'IVb' lub 'V' lub 'VI' lub 'VIz').</w:t>
            </w:r>
          </w:p>
          <w:p>
            <w:pPr>
              <w:spacing w:before="25" w:after="0"/>
              <w:ind w:left="0"/>
              <w:jc w:val="left"/>
              <w:textAlignment w:val="auto"/>
            </w:pPr>
            <w:r>
              <w:rPr>
                <w:rFonts w:ascii="Times New Roman"/>
                <w:b w:val="false"/>
                <w:i w:val="false"/>
                <w:color w:val="000000"/>
                <w:sz w:val="24"/>
                <w:lang w:val="pl-PL"/>
              </w:rPr>
              <w:t>Przyjęcie przez OFU wartości: ('Ł' lub 'S' lub 'Br' lub 'Wsr' lub 'W' lub 'Lzr') i przez OZU wartości 'Ł' lub przyjęcie przez OFU wartości ('Ps' lub 'S' lub 'Br' lub 'Wsr' lub 'W' lub 'Lzr') i przez OZU wartości 'Ps' lub przyjęcie przez OFU wartości ('Ls') i przez OZU wartości 'Ls' lub przyjęcie przez OFU wartości ('Lz') i przez OZU wartości 'Lz' powoduje, że OZK może przyjąć jedną z wartości ('I' lub 'II' lub 'III' lub 'IV' lub 'V' lub 'VI').</w:t>
            </w:r>
          </w:p>
          <w:p>
            <w:pPr>
              <w:spacing w:before="25" w:after="0"/>
              <w:ind w:left="0"/>
              <w:jc w:val="left"/>
              <w:textAlignment w:val="auto"/>
            </w:pPr>
            <w:r>
              <w:rPr>
                <w:rFonts w:ascii="Times New Roman"/>
                <w:b w:val="false"/>
                <w:i w:val="false"/>
                <w:color w:val="000000"/>
                <w:sz w:val="24"/>
                <w:lang w:val="pl-PL"/>
              </w:rPr>
              <w:t>OCL: inv: (self.OFU='R' or self.OFU='S' or self.OFU='Br' or self.OFU='Wsr' or self.OFU='W' or self.OFU='Lzr') and (self.OZU='R') implies (self.OZK='I' or self.OZK='II' or self.OZK='IIIa' or self.OZK='IIIb' or self.OZK='IVa' or self.OZK='IVb' or self.OZK='V' or self.OZK='VI' or self.OZK='VIz')</w:t>
            </w:r>
          </w:p>
          <w:p>
            <w:pPr>
              <w:spacing w:before="25" w:after="0"/>
              <w:ind w:left="0"/>
              <w:jc w:val="left"/>
              <w:textAlignment w:val="auto"/>
            </w:pPr>
            <w:r>
              <w:rPr>
                <w:rFonts w:ascii="Times New Roman"/>
                <w:b w:val="false"/>
                <w:i w:val="false"/>
                <w:color w:val="000000"/>
                <w:sz w:val="24"/>
                <w:lang w:val="pl-PL"/>
              </w:rPr>
              <w:t>inv: ((self.OFU='Ł' or self.OFU='S' or self.OFU='Br' or self.OFU='Wsr' or self.OFU='W' or self.OFU='Lzr') and (self.OZU='Ł')) or ((self.OFU='Ps' or self.OFU='S' or self.OFU='Br' or self.OFU='Wsr' or self.OFU='W' or self.OFU='Lzr') and (self.OZU='Ps') or ((self.OFU='Ls') and (self.OZU='Ls')) or ((self.OFU='Lz') and (self.OZU='Lz')) implies (self.OZK='I' or self.OZK='II' or self.OZK='III' or self.OZK='IV' or self.OZK='V' or self.OZK='VI').</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EGB_Budynek</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dozwoloneZnakiDlaAtrybutuNumerKW</w:t>
            </w:r>
          </w:p>
          <w:p>
            <w:pPr>
              <w:spacing w:before="25" w:after="0"/>
              <w:ind w:left="0"/>
              <w:jc w:val="left"/>
              <w:textAlignment w:val="auto"/>
            </w:pPr>
            <w:r>
              <w:rPr>
                <w:rFonts w:ascii="Times New Roman"/>
                <w:b w:val="false"/>
                <w:i w:val="false"/>
                <w:color w:val="000000"/>
                <w:sz w:val="24"/>
                <w:lang w:val="pl-PL"/>
              </w:rPr>
              <w:t>Język naturalny: W przypadku numeru elektronicznej KW atrybut numerKW powinien zostać zdefiniowany tylko przy użyciu następującego wyrażenia regularnego [A-Z]{2}[1-9]{1}[A-Z]{1}/[0-9]{8}/[0-9]{1}.</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EGB_LokalSamodzielny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dozwoloneZnakiDlaAtrybutuNumerKW</w:t>
            </w:r>
          </w:p>
          <w:p>
            <w:pPr>
              <w:spacing w:before="25" w:after="0"/>
              <w:ind w:left="0"/>
              <w:jc w:val="left"/>
              <w:textAlignment w:val="auto"/>
            </w:pPr>
            <w:r>
              <w:rPr>
                <w:rFonts w:ascii="Times New Roman"/>
                <w:b w:val="false"/>
                <w:i w:val="false"/>
                <w:color w:val="000000"/>
                <w:sz w:val="24"/>
                <w:lang w:val="pl-PL"/>
              </w:rPr>
              <w:t>Język naturalny: W przypadku numeru elektronicznej KW atrybut numerKW powinien zostać zdefiniowany tylko przy użyciu następującego wyrażenia regularnego [A-Z]{2}[1-9]{1}[A-Z]{1}/[0-9]{8}/[0-9]{1}.</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EGB_ObiektTrwaleZwiazanyZBudynkiem</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geometriaPowierzchnia</w:t>
            </w:r>
          </w:p>
          <w:p>
            <w:pPr>
              <w:spacing w:before="25" w:after="0"/>
              <w:ind w:left="0"/>
              <w:jc w:val="left"/>
              <w:textAlignment w:val="auto"/>
            </w:pPr>
            <w:r>
              <w:rPr>
                <w:rFonts w:ascii="Times New Roman"/>
                <w:b w:val="false"/>
                <w:i w:val="false"/>
                <w:color w:val="000000"/>
                <w:sz w:val="24"/>
                <w:lang w:val="pl-PL"/>
              </w:rPr>
              <w:t>Język naturalny: Geometria obiektów: taras, weranda, ganek, wiatrołap, schody, rampa, wjazd do podziemia, podjazd dla osób niepełnosprawnych jest powierzchnią.</w:t>
            </w:r>
          </w:p>
          <w:p>
            <w:pPr>
              <w:spacing w:before="25" w:after="0"/>
              <w:ind w:left="0"/>
              <w:jc w:val="left"/>
              <w:textAlignment w:val="auto"/>
            </w:pPr>
            <w:r>
              <w:rPr>
                <w:rFonts w:ascii="Times New Roman"/>
                <w:b w:val="false"/>
                <w:i w:val="false"/>
                <w:color w:val="000000"/>
                <w:sz w:val="24"/>
                <w:lang w:val="pl-PL"/>
              </w:rPr>
              <w:t>OCL: inv: if self.rodzajObiektuZwZBudynkiem='t' or self.rodzajObiektuZwZBudynkiem='w' or self.rodzajObiektuZwZBudynkiem='i' or self.rodzajObiektuZwZBudynkiem='s' or self.rodzajObiektuZwZBudynkiem='r' or self.rodzajObiektuZwZBudynkiem='j' or self.rodzajObiektuZwZBudynkiem='d' then self.geometria.oclIsTypeOf (GM_Surface)=true.</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geometriaPunktLubPowierzchnia</w:t>
            </w:r>
          </w:p>
          <w:p>
            <w:pPr>
              <w:spacing w:before="25" w:after="0"/>
              <w:ind w:left="0"/>
              <w:jc w:val="left"/>
              <w:textAlignment w:val="auto"/>
            </w:pPr>
            <w:r>
              <w:rPr>
                <w:rFonts w:ascii="Times New Roman"/>
                <w:b w:val="false"/>
                <w:i w:val="false"/>
                <w:color w:val="000000"/>
                <w:sz w:val="24"/>
                <w:lang w:val="pl-PL"/>
              </w:rPr>
              <w:t>Język naturalny: Geometria obiektu trwale związanego z budynkiem jest punktem lub powierzchnią.</w:t>
            </w:r>
          </w:p>
          <w:p>
            <w:pPr>
              <w:spacing w:before="25" w:after="0"/>
              <w:ind w:left="0"/>
              <w:jc w:val="left"/>
              <w:textAlignment w:val="auto"/>
            </w:pPr>
            <w:r>
              <w:rPr>
                <w:rFonts w:ascii="Times New Roman"/>
                <w:b w:val="false"/>
                <w:i w:val="false"/>
                <w:color w:val="000000"/>
                <w:sz w:val="24"/>
                <w:lang w:val="pl-PL"/>
              </w:rPr>
              <w:t>OCL: inv: self.geometria.oclIsTypeOf (GM_Point)=true or self.geometria.oclIsTypeOf (GM_Surface)=true.</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wymagalnoscPoliliniiKierunkowej</w:t>
            </w:r>
          </w:p>
          <w:p>
            <w:pPr>
              <w:spacing w:before="25" w:after="0"/>
              <w:ind w:left="0"/>
              <w:jc w:val="left"/>
              <w:textAlignment w:val="auto"/>
            </w:pPr>
            <w:r>
              <w:rPr>
                <w:rFonts w:ascii="Times New Roman"/>
                <w:b w:val="false"/>
                <w:i w:val="false"/>
                <w:color w:val="000000"/>
                <w:sz w:val="24"/>
                <w:lang w:val="pl-PL"/>
              </w:rPr>
              <w:t>Język naturalny: Atrybut poliliniaKierunkowa jest wymagalny wówczas, gdy atrybut rodzajObiektuZwZBudynkiem przyjmuje wartość "s".</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EGB_OsobaFizyczna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statusOsobFizycznych</w:t>
            </w:r>
          </w:p>
          <w:p>
            <w:pPr>
              <w:spacing w:before="25" w:after="0"/>
              <w:ind w:left="0"/>
              <w:jc w:val="left"/>
              <w:textAlignment w:val="auto"/>
            </w:pPr>
            <w:r>
              <w:rPr>
                <w:rFonts w:ascii="Times New Roman"/>
                <w:b w:val="false"/>
                <w:i w:val="false"/>
                <w:color w:val="000000"/>
                <w:sz w:val="24"/>
                <w:lang w:val="pl-PL"/>
              </w:rPr>
              <w:t>Język naturalny: Atrybut status może przyjmować wartość 1.</w:t>
            </w:r>
          </w:p>
          <w:p>
            <w:pPr>
              <w:spacing w:before="25" w:after="0"/>
              <w:ind w:left="0"/>
              <w:jc w:val="left"/>
              <w:textAlignment w:val="auto"/>
            </w:pPr>
            <w:r>
              <w:rPr>
                <w:rFonts w:ascii="Times New Roman"/>
                <w:b w:val="false"/>
                <w:i w:val="false"/>
                <w:color w:val="000000"/>
                <w:sz w:val="24"/>
                <w:lang w:val="pl-PL"/>
              </w:rPr>
              <w:t>OCL: inv: self.status='1'.</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wymagalnoscPESEL</w:t>
            </w:r>
          </w:p>
          <w:p>
            <w:pPr>
              <w:spacing w:before="25" w:after="0"/>
              <w:ind w:left="0"/>
              <w:jc w:val="left"/>
              <w:textAlignment w:val="auto"/>
            </w:pPr>
            <w:r>
              <w:rPr>
                <w:rFonts w:ascii="Times New Roman"/>
                <w:b w:val="false"/>
                <w:i w:val="false"/>
                <w:color w:val="000000"/>
                <w:sz w:val="24"/>
                <w:lang w:val="pl-PL"/>
              </w:rPr>
              <w:t>Język naturalny: Atrybut PESEL jest obligatoryjny, jeżeli jest znany.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wymagalnoscImieMatki</w:t>
            </w:r>
          </w:p>
          <w:p>
            <w:pPr>
              <w:spacing w:before="25" w:after="0"/>
              <w:ind w:left="0"/>
              <w:jc w:val="left"/>
              <w:textAlignment w:val="auto"/>
            </w:pPr>
            <w:r>
              <w:rPr>
                <w:rFonts w:ascii="Times New Roman"/>
                <w:b w:val="false"/>
                <w:i w:val="false"/>
                <w:color w:val="000000"/>
                <w:sz w:val="24"/>
                <w:lang w:val="pl-PL"/>
              </w:rPr>
              <w:t>Język naturalny: Atrybut imieMatki jest obligatoryjny, jeżeli jest znany.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wymagalnoscImieOjca</w:t>
            </w:r>
          </w:p>
          <w:p>
            <w:pPr>
              <w:spacing w:before="25" w:after="0"/>
              <w:ind w:left="0"/>
              <w:jc w:val="left"/>
              <w:textAlignment w:val="auto"/>
            </w:pPr>
            <w:r>
              <w:rPr>
                <w:rFonts w:ascii="Times New Roman"/>
                <w:b w:val="false"/>
                <w:i w:val="false"/>
                <w:color w:val="000000"/>
                <w:sz w:val="24"/>
                <w:lang w:val="pl-PL"/>
              </w:rPr>
              <w:t>Język naturalny: Atrybut imieOjca jest obligatoryjny, jeżeli jest znany.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EGB_Instytucja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statusInstytucji</w:t>
            </w:r>
          </w:p>
          <w:p>
            <w:pPr>
              <w:spacing w:before="25" w:after="0"/>
              <w:ind w:left="0"/>
              <w:jc w:val="left"/>
              <w:textAlignment w:val="auto"/>
            </w:pPr>
            <w:r>
              <w:rPr>
                <w:rFonts w:ascii="Times New Roman"/>
                <w:b w:val="false"/>
                <w:i w:val="false"/>
                <w:color w:val="000000"/>
                <w:sz w:val="24"/>
                <w:lang w:val="pl-PL"/>
              </w:rPr>
              <w:t>Język naturalny: Wartości atrybutu status muszą się zawierać pomiędzy 3 i 47, z wyłączeniem wartości 32, 33, 34, 35.</w:t>
            </w:r>
          </w:p>
          <w:p>
            <w:pPr>
              <w:spacing w:before="25" w:after="0"/>
              <w:ind w:left="0"/>
              <w:jc w:val="left"/>
              <w:textAlignment w:val="auto"/>
            </w:pPr>
            <w:r>
              <w:rPr>
                <w:rFonts w:ascii="Times New Roman"/>
                <w:b w:val="false"/>
                <w:i w:val="false"/>
                <w:color w:val="000000"/>
                <w:sz w:val="24"/>
                <w:lang w:val="pl-PL"/>
              </w:rPr>
              <w:t>OCL: inv: self.status&gt;='3' and self.status&lt;='47' and self.status&lt;&gt;'32' and self.status&lt;&gt;'33' and self.status&lt;&gt;'34' and self.status&lt;&gt;'35'.</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SpolkaWspolnotaGruntowa</w:t>
            </w:r>
          </w:p>
          <w:p>
            <w:pPr>
              <w:spacing w:before="25" w:after="0"/>
              <w:ind w:left="0"/>
              <w:jc w:val="left"/>
              <w:textAlignment w:val="auto"/>
            </w:pPr>
            <w:r>
              <w:rPr>
                <w:rFonts w:ascii="Times New Roman"/>
                <w:b w:val="false"/>
                <w:i w:val="false"/>
                <w:color w:val="000000"/>
                <w:sz w:val="24"/>
                <w:lang w:val="pl-PL"/>
              </w:rPr>
              <w:t>Język naturalny: Relacje "czlonekZarzaduWspolnoty" oraz "spolkaZarzadzajaca" mają zastosowanie, w przypadku gdy atrybut status przyjmuje wartość 41.</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EGB_Malzenstwo</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statusMalzenstwo</w:t>
            </w:r>
          </w:p>
          <w:p>
            <w:pPr>
              <w:spacing w:before="25" w:after="0"/>
              <w:ind w:left="0"/>
              <w:jc w:val="left"/>
              <w:textAlignment w:val="auto"/>
            </w:pPr>
            <w:r>
              <w:rPr>
                <w:rFonts w:ascii="Times New Roman"/>
                <w:b w:val="false"/>
                <w:i w:val="false"/>
                <w:color w:val="000000"/>
                <w:sz w:val="24"/>
                <w:lang w:val="pl-PL"/>
              </w:rPr>
              <w:t>Język naturalny: Dopuszczalne wartości dla atrybutu status podmiotu ewidencyjnego: 34 i 35.</w:t>
            </w:r>
          </w:p>
          <w:p>
            <w:pPr>
              <w:spacing w:before="25" w:after="0"/>
              <w:ind w:left="0"/>
              <w:jc w:val="left"/>
              <w:textAlignment w:val="auto"/>
            </w:pPr>
            <w:r>
              <w:rPr>
                <w:rFonts w:ascii="Times New Roman"/>
                <w:b w:val="false"/>
                <w:i w:val="false"/>
                <w:color w:val="000000"/>
                <w:sz w:val="24"/>
                <w:lang w:val="pl-PL"/>
              </w:rPr>
              <w:t>OCL: inv: self.status='34' or self.status='35'.</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EGB_PodmiotGrupowy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skladnikiPodmiotuGrupowego</w:t>
            </w:r>
          </w:p>
          <w:p>
            <w:pPr>
              <w:spacing w:before="25" w:after="0"/>
              <w:ind w:left="0"/>
              <w:jc w:val="left"/>
              <w:textAlignment w:val="auto"/>
            </w:pPr>
            <w:r>
              <w:rPr>
                <w:rFonts w:ascii="Times New Roman"/>
                <w:b w:val="false"/>
                <w:i w:val="false"/>
                <w:color w:val="000000"/>
                <w:sz w:val="24"/>
                <w:lang w:val="pl-PL"/>
              </w:rPr>
              <w:t>Język naturalny: Podmiot grupowy składa się z co najmniej 2 składników.</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StatusPodmiotGrupowy</w:t>
            </w:r>
          </w:p>
          <w:p>
            <w:pPr>
              <w:spacing w:before="25" w:after="0"/>
              <w:ind w:left="0"/>
              <w:jc w:val="left"/>
              <w:textAlignment w:val="auto"/>
            </w:pPr>
            <w:r>
              <w:rPr>
                <w:rFonts w:ascii="Times New Roman"/>
                <w:b w:val="false"/>
                <w:i w:val="false"/>
                <w:color w:val="000000"/>
                <w:sz w:val="24"/>
                <w:lang w:val="pl-PL"/>
              </w:rPr>
              <w:t>Język naturalny: Atrybut status może przyjąć tylko wartości 32 lub 33.</w:t>
            </w:r>
          </w:p>
          <w:p>
            <w:pPr>
              <w:spacing w:before="25" w:after="0"/>
              <w:ind w:left="0"/>
              <w:jc w:val="left"/>
              <w:textAlignment w:val="auto"/>
            </w:pPr>
            <w:r>
              <w:rPr>
                <w:rFonts w:ascii="Times New Roman"/>
                <w:b w:val="false"/>
                <w:i w:val="false"/>
                <w:color w:val="000000"/>
                <w:sz w:val="24"/>
                <w:lang w:val="pl-PL"/>
              </w:rPr>
              <w:t>OCL: inv: self.status='32' or self.status='33'.</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EGB_WspolnotaGruntowa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statusWspolnoty</w:t>
            </w:r>
          </w:p>
          <w:p>
            <w:pPr>
              <w:spacing w:before="25" w:after="0"/>
              <w:ind w:left="0"/>
              <w:jc w:val="left"/>
              <w:textAlignment w:val="auto"/>
            </w:pPr>
            <w:r>
              <w:rPr>
                <w:rFonts w:ascii="Times New Roman"/>
                <w:b w:val="false"/>
                <w:i w:val="false"/>
                <w:color w:val="000000"/>
                <w:sz w:val="24"/>
                <w:lang w:val="pl-PL"/>
              </w:rPr>
              <w:t>Język naturalny: Atrybut status przyjmuje wartość 41.</w:t>
            </w:r>
          </w:p>
          <w:p>
            <w:pPr>
              <w:spacing w:before="25" w:after="0"/>
              <w:ind w:left="0"/>
              <w:jc w:val="left"/>
              <w:textAlignment w:val="auto"/>
            </w:pPr>
            <w:r>
              <w:rPr>
                <w:rFonts w:ascii="Times New Roman"/>
                <w:b w:val="false"/>
                <w:i w:val="false"/>
                <w:color w:val="000000"/>
                <w:sz w:val="24"/>
                <w:lang w:val="pl-PL"/>
              </w:rPr>
              <w:t>OCL: inv: self.status='41'.</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EGB_UdzialWeWladaniu</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wymagalnoscUlamkaOkreslajacegoWartoscUdzialu</w:t>
            </w:r>
          </w:p>
          <w:p>
            <w:pPr>
              <w:spacing w:before="25" w:after="0"/>
              <w:ind w:left="0"/>
              <w:jc w:val="left"/>
              <w:textAlignment w:val="auto"/>
            </w:pPr>
            <w:r>
              <w:rPr>
                <w:rFonts w:ascii="Times New Roman"/>
                <w:b w:val="false"/>
                <w:i w:val="false"/>
                <w:color w:val="000000"/>
                <w:sz w:val="24"/>
                <w:lang w:val="pl-PL"/>
              </w:rPr>
              <w:t>Język naturalny: Atrybuty licznikUlamkaOkreslajacegoWartoscUdzialu oraz mianownikUlamkaOkreslajacegoWartoscUdzialu są wymagane, jeśli są znane obie wartości.</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EGB_PunktGraniczny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granicaObiektowPow</w:t>
            </w:r>
          </w:p>
          <w:p>
            <w:pPr>
              <w:spacing w:before="25" w:after="0"/>
              <w:ind w:left="0"/>
              <w:jc w:val="left"/>
              <w:textAlignment w:val="auto"/>
            </w:pPr>
            <w:r>
              <w:rPr>
                <w:rFonts w:ascii="Times New Roman"/>
                <w:b w:val="false"/>
                <w:i w:val="false"/>
                <w:color w:val="000000"/>
                <w:sz w:val="24"/>
                <w:lang w:val="pl-PL"/>
              </w:rPr>
              <w:t>Język naturalny: GM_Point przechowujący geometrię punktu granicznego musi wchodzić w skład granicy działki ewidencyjnej.</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EGB_Zmiana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podstawaPrawnaZmiany</w:t>
            </w:r>
          </w:p>
          <w:p>
            <w:pPr>
              <w:spacing w:before="25" w:after="0"/>
              <w:ind w:left="0"/>
              <w:jc w:val="left"/>
              <w:textAlignment w:val="auto"/>
            </w:pPr>
            <w:r>
              <w:rPr>
                <w:rFonts w:ascii="Times New Roman"/>
                <w:b w:val="false"/>
                <w:i w:val="false"/>
                <w:color w:val="000000"/>
                <w:sz w:val="24"/>
                <w:lang w:val="pl-PL"/>
              </w:rPr>
              <w:t>Język naturalny: Podstawą prawną zmiany jest: EGB_Dokument lub EGB_OperatTechniczny.</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EGB_Dokument</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dataDokumentu</w:t>
            </w:r>
          </w:p>
          <w:p>
            <w:pPr>
              <w:spacing w:before="25" w:after="0"/>
              <w:ind w:left="0"/>
              <w:jc w:val="left"/>
              <w:textAlignment w:val="auto"/>
            </w:pPr>
            <w:r>
              <w:rPr>
                <w:rFonts w:ascii="Times New Roman"/>
                <w:b w:val="false"/>
                <w:i w:val="false"/>
                <w:color w:val="000000"/>
                <w:sz w:val="24"/>
                <w:lang w:val="pl-PL"/>
              </w:rPr>
              <w:t>Język naturalny: Data dokumentu jest obowiązkowa dla dokumentów, które zostały wydanie w dniu 2021-07-31 lub później.</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PrezentacjaGraficzna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katObrotu</w:t>
            </w:r>
          </w:p>
          <w:p>
            <w:pPr>
              <w:spacing w:before="25" w:after="0"/>
              <w:ind w:left="0"/>
              <w:jc w:val="left"/>
              <w:textAlignment w:val="auto"/>
            </w:pPr>
            <w:r>
              <w:rPr>
                <w:rFonts w:ascii="Times New Roman"/>
                <w:b w:val="false"/>
                <w:i w:val="false"/>
                <w:color w:val="000000"/>
                <w:sz w:val="24"/>
                <w:lang w:val="pl-PL"/>
              </w:rPr>
              <w:t>Język naturalny: Kąt obrotu mierzy się od osi x układu geodezyjnego zgodnie z ruchem wskazówek zegara i podaje w radianach.</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PrezentacjaGraficzna</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katObrotuEtykiety</w:t>
            </w:r>
          </w:p>
          <w:p>
            <w:pPr>
              <w:spacing w:before="25" w:after="0"/>
              <w:ind w:left="0"/>
              <w:jc w:val="left"/>
              <w:textAlignment w:val="auto"/>
            </w:pPr>
            <w:r>
              <w:rPr>
                <w:rFonts w:ascii="Times New Roman"/>
                <w:b w:val="false"/>
                <w:i w:val="false"/>
                <w:color w:val="000000"/>
                <w:sz w:val="24"/>
                <w:lang w:val="pl-PL"/>
              </w:rPr>
              <w:t>Język naturalny: Kąt obrotu etykiety mierzy się od osi y układu geodezyjnego przeciwnie do ruchu wskazówek zegara i podaje w radianach.</w:t>
            </w:r>
          </w:p>
        </w:tc>
      </w:tr>
      <w:tr>
        <w:trPr>
          <w:trHeight w:val="45" w:hRule="atLeast"/>
        </w:trPr>
        <w:tc>
          <w:tcPr>
            <w:tcW w:w="149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 justyfikacja</w:t>
            </w:r>
          </w:p>
          <w:p>
            <w:pPr>
              <w:spacing w:before="25" w:after="0"/>
              <w:ind w:left="0"/>
              <w:jc w:val="left"/>
              <w:textAlignment w:val="auto"/>
            </w:pPr>
            <w:r>
              <w:rPr>
                <w:rFonts w:ascii="Times New Roman"/>
                <w:b w:val="false"/>
                <w:i w:val="false"/>
                <w:color w:val="000000"/>
                <w:sz w:val="24"/>
                <w:lang w:val="pl-PL"/>
              </w:rPr>
              <w:t>Język naturalny: Atrybut justyfikacja przyjmuje wartości w przedziale 1-9.</w:t>
            </w:r>
          </w:p>
        </w:tc>
      </w:tr>
    </w:tbl>
    <w:p>
      <w:pPr>
        <w:spacing w:after="0"/>
        <w:ind w:left="0"/>
        <w:jc w:val="left"/>
        <w:textAlignment w:val="auto"/>
      </w:pPr>
    </w:p>
    <w:p>
      <w:pPr>
        <w:spacing w:before="169" w:after="0"/>
        <w:ind w:left="0"/>
        <w:jc w:val="center"/>
        <w:textAlignment w:val="auto"/>
      </w:pPr>
      <w:r>
        <w:rPr>
          <w:rFonts w:ascii="Times New Roman"/>
          <w:b/>
          <w:i w:val="false"/>
          <w:color w:val="000000"/>
          <w:sz w:val="24"/>
          <w:lang w:val="pl-PL"/>
        </w:rPr>
        <w:t>ZAŁĄCZNIK Nr  7 </w:t>
      </w:r>
    </w:p>
    <w:p>
      <w:pPr>
        <w:spacing w:after="0"/>
        <w:ind w:left="0"/>
        <w:jc w:val="center"/>
        <w:textAlignment w:val="auto"/>
      </w:pPr>
      <w:r>
        <w:rPr>
          <w:rFonts w:ascii="Times New Roman"/>
          <w:b w:val="false"/>
          <w:i w:val="false"/>
          <w:color w:val="000000"/>
          <w:sz w:val="24"/>
          <w:lang w:val="pl-PL"/>
        </w:rPr>
        <w:t>WZÓR</w:t>
      </w:r>
    </w:p>
    <w:p>
      <w:pPr>
        <w:spacing w:before="25" w:after="0"/>
        <w:ind w:left="0"/>
        <w:jc w:val="center"/>
        <w:textAlignment w:val="auto"/>
      </w:pPr>
      <w:r>
        <w:rPr>
          <w:rFonts w:ascii="Times New Roman"/>
          <w:b/>
          <w:i w:val="false"/>
          <w:color w:val="000000"/>
          <w:sz w:val="24"/>
          <w:lang w:val="pl-PL"/>
        </w:rPr>
        <w:t>Protokół ustalenia przebiegu granic działek ewidencyjnych</w:t>
      </w:r>
    </w:p>
    <w:p>
      <w:pPr>
        <w:spacing w:before="25" w:after="0"/>
        <w:ind w:left="0"/>
        <w:jc w:val="left"/>
        <w:textAlignment w:val="auto"/>
      </w:pPr>
      <w:r>
        <w:rPr>
          <w:rFonts w:ascii="Times New Roman"/>
          <w:b w:val="false"/>
          <w:i w:val="false"/>
          <w:color w:val="1b1b1b"/>
          <w:sz w:val="24"/>
          <w:lang w:val="pl-PL"/>
        </w:rPr>
        <w:t>wzór</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8 </w:t>
      </w:r>
    </w:p>
    <w:p>
      <w:pPr>
        <w:spacing w:before="25" w:after="0"/>
        <w:ind w:left="0"/>
        <w:jc w:val="center"/>
        <w:textAlignment w:val="auto"/>
      </w:pPr>
      <w:r>
        <w:rPr>
          <w:rFonts w:ascii="Times New Roman"/>
          <w:b/>
          <w:i w:val="false"/>
          <w:color w:val="000000"/>
          <w:sz w:val="24"/>
          <w:lang w:val="pl-PL"/>
        </w:rPr>
        <w:t>SPECYFIKACJA USŁUG SIECIOWYCH DOTYCZĄCYCH UDOSTĘPNIANIA DANYCH EWIDENCJI</w:t>
      </w:r>
    </w:p>
    <w:p>
      <w:pPr>
        <w:spacing w:after="0"/>
        <w:ind w:left="0"/>
        <w:jc w:val="left"/>
        <w:textAlignment w:val="auto"/>
      </w:pPr>
      <w:r>
        <w:rPr>
          <w:rFonts w:ascii="Times New Roman"/>
          <w:b w:val="false"/>
          <w:i w:val="false"/>
          <w:color w:val="000000"/>
          <w:sz w:val="24"/>
          <w:lang w:val="pl-PL"/>
        </w:rPr>
        <w:t>GRUNTÓW I BUDYNKÓW</w:t>
      </w:r>
    </w:p>
    <w:p>
      <w:pPr>
        <w:spacing w:before="25" w:after="0"/>
        <w:ind w:left="0"/>
        <w:jc w:val="both"/>
        <w:textAlignment w:val="auto"/>
      </w:pPr>
      <w:r>
        <w:rPr>
          <w:rFonts w:ascii="Times New Roman"/>
          <w:b w:val="false"/>
          <w:i w:val="false"/>
          <w:color w:val="000000"/>
          <w:sz w:val="24"/>
          <w:lang w:val="pl-PL"/>
        </w:rPr>
        <w:t>1. Usługi publikujące dane z powiatowych baz danych ewidencji gruntów i budynków są zgodne ze standardem Web Map Service (WMS) i Web Feature Service (WFS).</w:t>
      </w:r>
    </w:p>
    <w:p>
      <w:pPr>
        <w:spacing w:before="25" w:after="0"/>
        <w:ind w:left="0"/>
        <w:jc w:val="both"/>
        <w:textAlignment w:val="auto"/>
      </w:pPr>
      <w:r>
        <w:rPr>
          <w:rFonts w:ascii="Times New Roman"/>
          <w:b w:val="false"/>
          <w:i w:val="false"/>
          <w:color w:val="000000"/>
          <w:sz w:val="24"/>
          <w:lang w:val="pl-PL"/>
        </w:rPr>
        <w:t>2. Usługi publikują dane w podziale na warstwy i obiekty:</w:t>
      </w:r>
    </w:p>
    <w:p>
      <w:pPr>
        <w:spacing w:before="25" w:after="0"/>
        <w:ind w:left="0"/>
        <w:jc w:val="both"/>
        <w:textAlignment w:val="auto"/>
      </w:pPr>
      <w:r>
        <w:rPr>
          <w:rFonts w:ascii="Times New Roman"/>
          <w:b w:val="false"/>
          <w:i w:val="false"/>
          <w:color w:val="000000"/>
          <w:sz w:val="24"/>
          <w:lang w:val="pl-PL"/>
        </w:rPr>
        <w:t>1) Działki,</w:t>
      </w:r>
    </w:p>
    <w:p>
      <w:pPr>
        <w:spacing w:before="25" w:after="0"/>
        <w:ind w:left="0"/>
        <w:jc w:val="both"/>
        <w:textAlignment w:val="auto"/>
      </w:pPr>
      <w:r>
        <w:rPr>
          <w:rFonts w:ascii="Times New Roman"/>
          <w:b w:val="false"/>
          <w:i w:val="false"/>
          <w:color w:val="000000"/>
          <w:sz w:val="24"/>
          <w:lang w:val="pl-PL"/>
        </w:rPr>
        <w:t>2) Numery działek,</w:t>
      </w:r>
    </w:p>
    <w:p>
      <w:pPr>
        <w:spacing w:before="25" w:after="0"/>
        <w:ind w:left="0"/>
        <w:jc w:val="both"/>
        <w:textAlignment w:val="auto"/>
      </w:pPr>
      <w:r>
        <w:rPr>
          <w:rFonts w:ascii="Times New Roman"/>
          <w:b w:val="false"/>
          <w:i w:val="false"/>
          <w:color w:val="000000"/>
          <w:sz w:val="24"/>
          <w:lang w:val="pl-PL"/>
        </w:rPr>
        <w:t>3) Budynki,</w:t>
      </w:r>
    </w:p>
    <w:p>
      <w:pPr>
        <w:spacing w:before="25" w:after="0"/>
        <w:ind w:left="0"/>
        <w:jc w:val="both"/>
        <w:textAlignment w:val="auto"/>
      </w:pPr>
      <w:r>
        <w:rPr>
          <w:rFonts w:ascii="Times New Roman"/>
          <w:b w:val="false"/>
          <w:i w:val="false"/>
          <w:color w:val="000000"/>
          <w:sz w:val="24"/>
          <w:lang w:val="pl-PL"/>
        </w:rPr>
        <w:t>4) Opisy budynków,</w:t>
      </w:r>
    </w:p>
    <w:p>
      <w:pPr>
        <w:spacing w:before="25" w:after="0"/>
        <w:ind w:left="0"/>
        <w:jc w:val="both"/>
        <w:textAlignment w:val="auto"/>
      </w:pPr>
      <w:r>
        <w:rPr>
          <w:rFonts w:ascii="Times New Roman"/>
          <w:b w:val="false"/>
          <w:i w:val="false"/>
          <w:color w:val="000000"/>
          <w:sz w:val="24"/>
          <w:lang w:val="pl-PL"/>
        </w:rPr>
        <w:t>5) Użytki gruntowe,</w:t>
      </w:r>
    </w:p>
    <w:p>
      <w:pPr>
        <w:spacing w:before="25" w:after="0"/>
        <w:ind w:left="0"/>
        <w:jc w:val="both"/>
        <w:textAlignment w:val="auto"/>
      </w:pPr>
      <w:r>
        <w:rPr>
          <w:rFonts w:ascii="Times New Roman"/>
          <w:b w:val="false"/>
          <w:i w:val="false"/>
          <w:color w:val="000000"/>
          <w:sz w:val="24"/>
          <w:lang w:val="pl-PL"/>
        </w:rPr>
        <w:t>6) Opisy użytków,</w:t>
      </w:r>
    </w:p>
    <w:p>
      <w:pPr>
        <w:spacing w:before="25" w:after="0"/>
        <w:ind w:left="0"/>
        <w:jc w:val="both"/>
        <w:textAlignment w:val="auto"/>
      </w:pPr>
      <w:r>
        <w:rPr>
          <w:rFonts w:ascii="Times New Roman"/>
          <w:b w:val="false"/>
          <w:i w:val="false"/>
          <w:color w:val="000000"/>
          <w:sz w:val="24"/>
          <w:lang w:val="pl-PL"/>
        </w:rPr>
        <w:t>7) Kontury klasyfikacyjne,</w:t>
      </w:r>
    </w:p>
    <w:p>
      <w:pPr>
        <w:spacing w:before="25" w:after="0"/>
        <w:ind w:left="0"/>
        <w:jc w:val="both"/>
        <w:textAlignment w:val="auto"/>
      </w:pPr>
      <w:r>
        <w:rPr>
          <w:rFonts w:ascii="Times New Roman"/>
          <w:b w:val="false"/>
          <w:i w:val="false"/>
          <w:color w:val="000000"/>
          <w:sz w:val="24"/>
          <w:lang w:val="pl-PL"/>
        </w:rPr>
        <w:t>8) Opisy konturów klasyfikacyjnych,</w:t>
      </w:r>
    </w:p>
    <w:p>
      <w:pPr>
        <w:spacing w:before="25" w:after="0"/>
        <w:ind w:left="0"/>
        <w:jc w:val="both"/>
        <w:textAlignment w:val="auto"/>
      </w:pPr>
      <w:r>
        <w:rPr>
          <w:rFonts w:ascii="Times New Roman"/>
          <w:b w:val="false"/>
          <w:i w:val="false"/>
          <w:color w:val="000000"/>
          <w:sz w:val="24"/>
          <w:lang w:val="pl-PL"/>
        </w:rPr>
        <w:t>9) Punkty graniczne,</w:t>
      </w:r>
    </w:p>
    <w:p>
      <w:pPr>
        <w:spacing w:before="25" w:after="0"/>
        <w:ind w:left="0"/>
        <w:jc w:val="both"/>
        <w:textAlignment w:val="auto"/>
      </w:pPr>
      <w:r>
        <w:rPr>
          <w:rFonts w:ascii="Times New Roman"/>
          <w:b w:val="false"/>
          <w:i w:val="false"/>
          <w:color w:val="000000"/>
          <w:sz w:val="24"/>
          <w:lang w:val="pl-PL"/>
        </w:rPr>
        <w:t>10) Opisy punktów granicznych.</w:t>
      </w:r>
    </w:p>
    <w:p>
      <w:pPr>
        <w:spacing w:before="25" w:after="0"/>
        <w:ind w:left="0"/>
        <w:jc w:val="both"/>
        <w:textAlignment w:val="auto"/>
      </w:pPr>
      <w:r>
        <w:rPr>
          <w:rFonts w:ascii="Times New Roman"/>
          <w:b w:val="false"/>
          <w:i w:val="false"/>
          <w:color w:val="000000"/>
          <w:sz w:val="24"/>
          <w:lang w:val="pl-PL"/>
        </w:rPr>
        <w:t>3. Szczegółową charakterystykę warstw i stosowanych symboli graficznych określa tabela nr 1, przy czym warstwy wymienione w poz. 2, 4, 6, 8 i 10 dotyczą tylko usługi WMS.</w:t>
      </w:r>
    </w:p>
    <w:p>
      <w:pPr>
        <w:spacing w:before="25" w:after="0"/>
        <w:ind w:left="0"/>
        <w:jc w:val="both"/>
        <w:textAlignment w:val="auto"/>
      </w:pPr>
      <w:r>
        <w:rPr>
          <w:rFonts w:ascii="Times New Roman"/>
          <w:b/>
          <w:i w:val="false"/>
          <w:color w:val="000000"/>
          <w:sz w:val="24"/>
          <w:lang w:val="pl-PL"/>
        </w:rPr>
        <w:t>Tabela nr 1</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74"/>
        <w:gridCol w:w="2632"/>
        <w:gridCol w:w="3562"/>
        <w:gridCol w:w="2013"/>
        <w:gridCol w:w="3098"/>
        <w:gridCol w:w="2013"/>
        <w:gridCol w:w="1113"/>
      </w:tblGrid>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Lp.</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Tytuł warstwy</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Nazwa warstwy w usłudze WMS/WFS</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Kolor bazowy (RGB)</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Parametry prezentacji</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Zakres widoczności min / max</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Kolejność na mapie</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Działki</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działki</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64,160,255</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grubość linii lpx</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Numery działek</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numery działek</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64,160,255</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czcionka prosta,</w:t>
            </w:r>
          </w:p>
          <w:p>
            <w:pPr>
              <w:spacing w:before="25" w:after="0"/>
              <w:ind w:left="0"/>
              <w:jc w:val="left"/>
              <w:textAlignment w:val="auto"/>
            </w:pPr>
            <w:r>
              <w:rPr>
                <w:rFonts w:ascii="Times New Roman"/>
                <w:b w:val="false"/>
                <w:i w:val="false"/>
                <w:color w:val="000000"/>
                <w:sz w:val="24"/>
                <w:lang w:val="pl-PL"/>
              </w:rPr>
              <w:t>* kodowanie UTF-8,</w:t>
            </w:r>
          </w:p>
          <w:p>
            <w:pPr>
              <w:spacing w:before="25" w:after="0"/>
              <w:ind w:left="0"/>
              <w:jc w:val="left"/>
              <w:textAlignment w:val="auto"/>
            </w:pPr>
            <w:r>
              <w:rPr>
                <w:rFonts w:ascii="Times New Roman"/>
                <w:b w:val="false"/>
                <w:i w:val="false"/>
                <w:color w:val="000000"/>
                <w:sz w:val="24"/>
                <w:lang w:val="pl-PL"/>
              </w:rPr>
              <w:t>* efekt "halo" O,5px 255,255,255 (opcjonalne)</w:t>
            </w:r>
          </w:p>
          <w:p>
            <w:pPr>
              <w:spacing w:before="25" w:after="0"/>
              <w:ind w:left="0"/>
              <w:jc w:val="left"/>
              <w:textAlignment w:val="auto"/>
            </w:pPr>
            <w:r>
              <w:rPr>
                <w:rFonts w:ascii="Times New Roman"/>
                <w:b w:val="false"/>
                <w:i w:val="false"/>
                <w:color w:val="000000"/>
                <w:sz w:val="24"/>
                <w:lang w:val="pl-PL"/>
              </w:rPr>
              <w:t>* warstwa prezentuje numery działek ewidencyjnych</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O.5px/m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Budynki</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budynki</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200,0,0</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grubość linii 2px,</w:t>
            </w:r>
          </w:p>
          <w:p>
            <w:pPr>
              <w:spacing w:before="25" w:after="0"/>
              <w:ind w:left="0"/>
              <w:jc w:val="left"/>
              <w:textAlignment w:val="auto"/>
            </w:pPr>
            <w:r>
              <w:rPr>
                <w:rFonts w:ascii="Times New Roman"/>
                <w:b w:val="false"/>
                <w:i w:val="false"/>
                <w:color w:val="000000"/>
                <w:sz w:val="24"/>
                <w:lang w:val="pl-PL"/>
              </w:rPr>
              <w:t>* czcionka prosta,</w:t>
            </w:r>
          </w:p>
          <w:p>
            <w:pPr>
              <w:spacing w:before="25" w:after="0"/>
              <w:ind w:left="0"/>
              <w:jc w:val="left"/>
              <w:textAlignment w:val="auto"/>
            </w:pPr>
            <w:r>
              <w:rPr>
                <w:rFonts w:ascii="Times New Roman"/>
                <w:b w:val="false"/>
                <w:i w:val="false"/>
                <w:color w:val="000000"/>
                <w:sz w:val="24"/>
                <w:lang w:val="pl-PL"/>
              </w:rPr>
              <w:t>* kodowanie UTF-8,</w:t>
            </w:r>
          </w:p>
          <w:p>
            <w:pPr>
              <w:spacing w:before="25" w:after="0"/>
              <w:ind w:left="0"/>
              <w:jc w:val="left"/>
              <w:textAlignment w:val="auto"/>
            </w:pPr>
            <w:r>
              <w:rPr>
                <w:rFonts w:ascii="Times New Roman"/>
                <w:b w:val="false"/>
                <w:i w:val="false"/>
                <w:color w:val="000000"/>
                <w:sz w:val="24"/>
                <w:lang w:val="pl-PL"/>
              </w:rPr>
              <w:t>* efekt "halo" O,5px 255,255,255 (opcjonalne)</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Opisy budynków</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opisy budynków</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200,0,0</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czcionka prosta,</w:t>
            </w:r>
          </w:p>
          <w:p>
            <w:pPr>
              <w:spacing w:before="25" w:after="0"/>
              <w:ind w:left="0"/>
              <w:jc w:val="left"/>
              <w:textAlignment w:val="auto"/>
            </w:pPr>
            <w:r>
              <w:rPr>
                <w:rFonts w:ascii="Times New Roman"/>
                <w:b w:val="false"/>
                <w:i w:val="false"/>
                <w:color w:val="000000"/>
                <w:sz w:val="24"/>
                <w:lang w:val="pl-PL"/>
              </w:rPr>
              <w:t>* kodowanie UTF-8,</w:t>
            </w:r>
          </w:p>
          <w:p>
            <w:pPr>
              <w:spacing w:before="25" w:after="0"/>
              <w:ind w:left="0"/>
              <w:jc w:val="left"/>
              <w:textAlignment w:val="auto"/>
            </w:pPr>
            <w:r>
              <w:rPr>
                <w:rFonts w:ascii="Times New Roman"/>
                <w:b w:val="false"/>
                <w:i w:val="false"/>
                <w:color w:val="000000"/>
                <w:sz w:val="24"/>
                <w:lang w:val="pl-PL"/>
              </w:rPr>
              <w:t>* efekt "halo" O,5px 255,255,255 (opcjonalne)</w:t>
            </w:r>
          </w:p>
          <w:p>
            <w:pPr>
              <w:spacing w:before="25" w:after="0"/>
              <w:ind w:left="0"/>
              <w:jc w:val="left"/>
              <w:textAlignment w:val="auto"/>
            </w:pPr>
            <w:r>
              <w:rPr>
                <w:rFonts w:ascii="Times New Roman"/>
                <w:b w:val="false"/>
                <w:i w:val="false"/>
                <w:color w:val="000000"/>
                <w:sz w:val="24"/>
                <w:lang w:val="pl-PL"/>
              </w:rPr>
              <w:t>* warstwa prezentuje połączoną informację o atrybucie funkcji i ilości kondygnacji</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O.5px/m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Użytki gruntowe</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użytki</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0,0,128</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grubość linii lpx, przerywana (kreska 5px + 5px odstępu)</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10</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Oznaczenie użytków</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opisy użytków</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0,0,128</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czcionka prosta,</w:t>
            </w:r>
          </w:p>
          <w:p>
            <w:pPr>
              <w:spacing w:before="25" w:after="0"/>
              <w:ind w:left="0"/>
              <w:jc w:val="left"/>
              <w:textAlignment w:val="auto"/>
            </w:pPr>
            <w:r>
              <w:rPr>
                <w:rFonts w:ascii="Times New Roman"/>
                <w:b w:val="false"/>
                <w:i w:val="false"/>
                <w:color w:val="000000"/>
                <w:sz w:val="24"/>
                <w:lang w:val="pl-PL"/>
              </w:rPr>
              <w:t>* kodowanie UTF-8,</w:t>
            </w:r>
          </w:p>
          <w:p>
            <w:pPr>
              <w:spacing w:before="25" w:after="0"/>
              <w:ind w:left="0"/>
              <w:jc w:val="left"/>
              <w:textAlignment w:val="auto"/>
            </w:pPr>
            <w:r>
              <w:rPr>
                <w:rFonts w:ascii="Times New Roman"/>
                <w:b w:val="false"/>
                <w:i w:val="false"/>
                <w:color w:val="000000"/>
                <w:sz w:val="24"/>
                <w:lang w:val="pl-PL"/>
              </w:rPr>
              <w:t>* 7efekt "halo" O,5px 255,255,255 (opcjonalne)</w:t>
            </w:r>
          </w:p>
          <w:p>
            <w:pPr>
              <w:spacing w:before="25" w:after="0"/>
              <w:ind w:left="0"/>
              <w:jc w:val="left"/>
              <w:textAlignment w:val="auto"/>
            </w:pPr>
            <w:r>
              <w:rPr>
                <w:rFonts w:ascii="Times New Roman"/>
                <w:b w:val="false"/>
                <w:i w:val="false"/>
                <w:color w:val="000000"/>
                <w:sz w:val="24"/>
                <w:lang w:val="pl-PL"/>
              </w:rPr>
              <w:t>* warstwa prezentuje oznaczenie użytku gruntowego</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w:t>
            </w:r>
          </w:p>
          <w:p>
            <w:pPr>
              <w:spacing w:before="25" w:after="0"/>
              <w:ind w:left="0"/>
              <w:jc w:val="left"/>
              <w:textAlignment w:val="auto"/>
            </w:pPr>
            <w:r>
              <w:rPr>
                <w:rFonts w:ascii="Times New Roman"/>
                <w:b w:val="false"/>
                <w:i w:val="false"/>
                <w:color w:val="000000"/>
                <w:sz w:val="24"/>
                <w:lang w:val="pl-PL"/>
              </w:rPr>
              <w:t>do O.5px/m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9</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7</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Kontury klasyfikacyjne</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kontury klasyfikacyjne</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36,188,36</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grubość linii lpx, przerywana (kreska 9px + 7px odstępu)</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8</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8</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Oznaczenie konturu</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opisy konturów klasyfika cyjnych</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36,188,36</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czcionka prosta,</w:t>
            </w:r>
          </w:p>
          <w:p>
            <w:pPr>
              <w:spacing w:before="25" w:after="0"/>
              <w:ind w:left="0"/>
              <w:jc w:val="left"/>
              <w:textAlignment w:val="auto"/>
            </w:pPr>
            <w:r>
              <w:rPr>
                <w:rFonts w:ascii="Times New Roman"/>
                <w:b w:val="false"/>
                <w:i w:val="false"/>
                <w:color w:val="000000"/>
                <w:sz w:val="24"/>
                <w:lang w:val="pl-PL"/>
              </w:rPr>
              <w:t>* kodowanie UTF-8,</w:t>
            </w:r>
          </w:p>
          <w:p>
            <w:pPr>
              <w:spacing w:before="25" w:after="0"/>
              <w:ind w:left="0"/>
              <w:jc w:val="left"/>
              <w:textAlignment w:val="auto"/>
            </w:pPr>
            <w:r>
              <w:rPr>
                <w:rFonts w:ascii="Times New Roman"/>
                <w:b w:val="false"/>
                <w:i w:val="false"/>
                <w:color w:val="000000"/>
                <w:sz w:val="24"/>
                <w:lang w:val="pl-PL"/>
              </w:rPr>
              <w:t>* efekt "halo" O,5px 255,255,255 (opcjonalne)</w:t>
            </w:r>
          </w:p>
          <w:p>
            <w:pPr>
              <w:spacing w:before="25" w:after="0"/>
              <w:ind w:left="0"/>
              <w:jc w:val="left"/>
              <w:textAlignment w:val="auto"/>
            </w:pPr>
            <w:r>
              <w:rPr>
                <w:rFonts w:ascii="Times New Roman"/>
                <w:b w:val="false"/>
                <w:i w:val="false"/>
                <w:color w:val="000000"/>
                <w:sz w:val="24"/>
                <w:lang w:val="pl-PL"/>
              </w:rPr>
              <w:t>* warstwa prezentuje oznaczenie konturu klasyfikacyjnego</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O.5px/m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7</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9</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Punkty graniczne</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punkty graniczne</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0,0,255 dla SPD = 1 i ISD = 1</w:t>
            </w:r>
          </w:p>
          <w:p>
            <w:pPr>
              <w:spacing w:before="25" w:after="0"/>
              <w:ind w:left="0"/>
              <w:jc w:val="left"/>
              <w:textAlignment w:val="auto"/>
            </w:pPr>
            <w:r>
              <w:rPr>
                <w:rFonts w:ascii="Times New Roman"/>
                <w:b w:val="false"/>
                <w:i w:val="false"/>
                <w:color w:val="000000"/>
                <w:sz w:val="24"/>
                <w:lang w:val="pl-PL"/>
              </w:rPr>
              <w:t>255,0,0 w</w:t>
            </w:r>
          </w:p>
          <w:p>
            <w:pPr>
              <w:spacing w:before="25" w:after="0"/>
              <w:ind w:left="0"/>
              <w:jc w:val="left"/>
              <w:textAlignment w:val="auto"/>
            </w:pPr>
            <w:r>
              <w:rPr>
                <w:rFonts w:ascii="Times New Roman"/>
                <w:b w:val="false"/>
                <w:i w:val="false"/>
                <w:color w:val="000000"/>
                <w:sz w:val="24"/>
                <w:lang w:val="pl-PL"/>
              </w:rPr>
              <w:t>pozostałych przypadkach</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koło o średnicy 6px,</w:t>
            </w:r>
          </w:p>
          <w:p>
            <w:pPr>
              <w:spacing w:before="25" w:after="0"/>
              <w:ind w:left="0"/>
              <w:jc w:val="left"/>
              <w:textAlignment w:val="auto"/>
            </w:pPr>
            <w:r>
              <w:rPr>
                <w:rFonts w:ascii="Times New Roman"/>
                <w:b w:val="false"/>
                <w:i w:val="false"/>
                <w:color w:val="000000"/>
                <w:sz w:val="24"/>
                <w:lang w:val="pl-PL"/>
              </w:rPr>
              <w:t>* grubość linii O,5px</w:t>
            </w:r>
          </w:p>
          <w:p>
            <w:pPr>
              <w:spacing w:before="25" w:after="0"/>
              <w:ind w:left="0"/>
              <w:jc w:val="left"/>
              <w:textAlignment w:val="auto"/>
            </w:pPr>
            <w:r>
              <w:rPr>
                <w:rFonts w:ascii="Times New Roman"/>
                <w:b w:val="false"/>
                <w:i w:val="false"/>
                <w:color w:val="000000"/>
                <w:sz w:val="24"/>
                <w:lang w:val="pl-PL"/>
              </w:rPr>
              <w:t>* czarna kropka 3px kolor 0,0,0 jeśli punkt jest stabilizowany STB=3, 4, 5 lub 6</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r>
      <w:tr>
        <w:trPr>
          <w:trHeight w:val="45" w:hRule="atLeast"/>
        </w:trPr>
        <w:tc>
          <w:tcPr>
            <w:tcW w:w="77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10</w:t>
            </w:r>
          </w:p>
        </w:tc>
        <w:tc>
          <w:tcPr>
            <w:tcW w:w="263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Opisy punktów granicznych</w:t>
            </w:r>
          </w:p>
        </w:tc>
        <w:tc>
          <w:tcPr>
            <w:tcW w:w="356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opisy punktów graniczny ch</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0,0,0</w:t>
            </w:r>
          </w:p>
        </w:tc>
        <w:tc>
          <w:tcPr>
            <w:tcW w:w="309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czcionka prosta,</w:t>
            </w:r>
          </w:p>
          <w:p>
            <w:pPr>
              <w:spacing w:before="25" w:after="0"/>
              <w:ind w:left="0"/>
              <w:jc w:val="left"/>
              <w:textAlignment w:val="auto"/>
            </w:pPr>
            <w:r>
              <w:rPr>
                <w:rFonts w:ascii="Times New Roman"/>
                <w:b w:val="false"/>
                <w:i w:val="false"/>
                <w:color w:val="000000"/>
                <w:sz w:val="24"/>
                <w:lang w:val="pl-PL"/>
              </w:rPr>
              <w:t>* kodowanie UTF-8,</w:t>
            </w:r>
          </w:p>
          <w:p>
            <w:pPr>
              <w:spacing w:before="25" w:after="0"/>
              <w:ind w:left="0"/>
              <w:jc w:val="left"/>
              <w:textAlignment w:val="auto"/>
            </w:pPr>
            <w:r>
              <w:rPr>
                <w:rFonts w:ascii="Times New Roman"/>
                <w:b w:val="false"/>
                <w:i w:val="false"/>
                <w:color w:val="000000"/>
                <w:sz w:val="24"/>
                <w:lang w:val="pl-PL"/>
              </w:rPr>
              <w:t>* efekt "halo" O,5px 255,255,255 (opcjonalne)</w:t>
            </w:r>
          </w:p>
          <w:p>
            <w:pPr>
              <w:spacing w:before="25" w:after="0"/>
              <w:ind w:left="0"/>
              <w:jc w:val="left"/>
              <w:textAlignment w:val="auto"/>
            </w:pPr>
            <w:r>
              <w:rPr>
                <w:rFonts w:ascii="Times New Roman"/>
                <w:b w:val="false"/>
                <w:i w:val="false"/>
                <w:color w:val="000000"/>
                <w:sz w:val="24"/>
                <w:lang w:val="pl-PL"/>
              </w:rPr>
              <w:t>* warstwa prezentuje numer punktu granicznego</w:t>
            </w:r>
          </w:p>
        </w:tc>
        <w:tc>
          <w:tcPr>
            <w:tcW w:w="20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O.5px/m</w:t>
            </w:r>
          </w:p>
        </w:tc>
        <w:tc>
          <w:tcPr>
            <w:tcW w:w="11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r>
    </w:tbl>
    <w:p>
      <w:pPr>
        <w:spacing w:before="25" w:after="0"/>
        <w:ind w:left="0"/>
        <w:jc w:val="both"/>
        <w:textAlignment w:val="auto"/>
      </w:pPr>
      <w:r>
        <w:rPr>
          <w:rFonts w:ascii="Times New Roman"/>
          <w:b w:val="false"/>
          <w:i w:val="false"/>
          <w:color w:val="000000"/>
          <w:sz w:val="24"/>
          <w:lang w:val="pl-PL"/>
        </w:rPr>
        <w:t>4. Szczegółową charakterystykę parametrów funkcji GetMap dla usługi WMS określa tabela nr 2.</w:t>
      </w:r>
    </w:p>
    <w:p>
      <w:pPr>
        <w:spacing w:before="25" w:after="0"/>
        <w:ind w:left="0"/>
        <w:jc w:val="both"/>
        <w:textAlignment w:val="auto"/>
      </w:pPr>
      <w:r>
        <w:rPr>
          <w:rFonts w:ascii="Times New Roman"/>
          <w:b/>
          <w:i w:val="false"/>
          <w:color w:val="000000"/>
          <w:sz w:val="24"/>
          <w:lang w:val="pl-PL"/>
        </w:rPr>
        <w:t>Tabela nr 2</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1"/>
        <w:gridCol w:w="5070"/>
        <w:gridCol w:w="7530"/>
      </w:tblGrid>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Parametr</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Opis lub wartość</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Uwagi</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VERSION</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1.3.0</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może wspierać starsze wersje standardu WMS.</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LAYERS</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Nazwy warstw z tabeli 1</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może publikować także dodatkowe warstwy.</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STYLES</w:t>
            </w:r>
          </w:p>
        </w:tc>
        <w:tc>
          <w:tcPr>
            <w:tcW w:w="5070" w:type="dxa"/>
            <w:tcBorders>
              <w:bottom w:val="single" w:color="000000" w:sz="8"/>
              <w:right w:val="single" w:color="000000" w:sz="8"/>
            </w:tcBorders>
            <w:tcMar>
              <w:top w:w="15" w:type="dxa"/>
              <w:left w:w="15" w:type="dxa"/>
              <w:bottom w:w="15" w:type="dxa"/>
              <w:right w:w="15" w:type="dxa"/>
            </w:tcMar>
            <w:vAlign w:val="center"/>
          </w:tcP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jako domyślne wspiera style przedstawione w tabeli nr 1. Dopuszczalna jest obsługa dodatkowych stylów.</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SRS</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Oznaczenie układu współrzędnych</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wspiera co najmniej układy współrzędnych PL-1992, układ geograficzny WGS84 (EPSG:2180, EPSG:4326) oraz PL-2000, przy czym w przypadku układu PL-2000 usługa musi wspierać tę strefę układu, w której zostały określone współrzędne publikowanych obiektów, tj.: EPSG:2176 lub EPSG:2177 lub EPSG:2178 lub EPSG:2179.</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BBOX</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minX, minY, maxX, maxY</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Współrzędne ograniczające zakres przestrzenny zapytania.</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WIDTH</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Szerokość obrazu w pikselach</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Serwer może odrzucić żądanie utworzenia obrazu o rozmiarze przekraczającym 4096 pikseli.</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HEIGHT</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Wysokość obrazu w pikselach</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Serwer może odrzucić żądanie utworzenia obrazu o rozmiarze przekraczającym 4096 pikseli.</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FORMAT</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image/png</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może wspierać inne formaty zapisu obrazu.</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TRANSPARENT</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TRUE</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Tło obrazka wyświetla się jako przezroczyste.</w:t>
            </w:r>
          </w:p>
        </w:tc>
      </w:tr>
    </w:tbl>
    <w:p>
      <w:pPr>
        <w:spacing w:before="25" w:after="0"/>
        <w:ind w:left="0"/>
        <w:jc w:val="both"/>
        <w:textAlignment w:val="auto"/>
      </w:pPr>
      <w:r>
        <w:rPr>
          <w:rFonts w:ascii="Times New Roman"/>
          <w:b w:val="false"/>
          <w:i w:val="false"/>
          <w:color w:val="000000"/>
          <w:sz w:val="24"/>
          <w:lang w:val="pl-PL"/>
        </w:rPr>
        <w:t xml:space="preserve">5. Podstawowe parametry wykorzystywane przez funkcję GetFeaturelnfo usługi WMS określa tabela nr 3, a pozostałe wymagane parametry nieujęte w tabeli nr 3 są tożsame z parametrami funkcji GetMap przedstawionymi w tabeli nr 2. </w:t>
      </w:r>
      <w:r>
        <w:rPr>
          <w:rFonts w:ascii="Times New Roman"/>
          <w:b/>
          <w:i w:val="false"/>
          <w:color w:val="000000"/>
          <w:sz w:val="24"/>
          <w:lang w:val="pl-PL"/>
        </w:rPr>
        <w:t>Tabela nr 3</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9"/>
        <w:gridCol w:w="5377"/>
        <w:gridCol w:w="6915"/>
      </w:tblGrid>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Parametr</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Wymagane wartości parametru</w:t>
            </w:r>
          </w:p>
        </w:tc>
        <w:tc>
          <w:tcPr>
            <w:tcW w:w="691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Uwagi</w:t>
            </w: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QUERY_LAYERS</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Nazwy warstw z tabeli nr 1</w:t>
            </w:r>
          </w:p>
        </w:tc>
        <w:tc>
          <w:tcPr>
            <w:tcW w:w="691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INF O_F ORMÁT</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text/xml</w:t>
            </w:r>
          </w:p>
        </w:tc>
        <w:tc>
          <w:tcPr>
            <w:tcW w:w="691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Dopuszcza się również wsparcie dla innych formatów, np. HTML, przy zachowaniu co najmniej tego samego zakresu treści odpowiedzi.</w:t>
            </w: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FEATURE_COUNT</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Liczba obiektów, dla których zostaną zwrócone atrybuty</w:t>
            </w:r>
          </w:p>
        </w:tc>
        <w:tc>
          <w:tcPr>
            <w:tcW w:w="691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kolumny piksela</w:t>
            </w:r>
          </w:p>
        </w:tc>
        <w:tc>
          <w:tcPr>
            <w:tcW w:w="691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J</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wiersza piksela</w:t>
            </w:r>
          </w:p>
        </w:tc>
        <w:tc>
          <w:tcPr>
            <w:tcW w:w="6915" w:type="dxa"/>
            <w:tcBorders>
              <w:bottom w:val="single" w:color="000000" w:sz="8"/>
              <w:right w:val="single" w:color="000000" w:sz="8"/>
            </w:tcBorders>
            <w:tcMar>
              <w:top w:w="15" w:type="dxa"/>
              <w:left w:w="15" w:type="dxa"/>
              <w:bottom w:w="15" w:type="dxa"/>
              <w:right w:w="15" w:type="dxa"/>
            </w:tcMar>
            <w:vAlign w:val="center"/>
          </w:tcPr>
          <w:p/>
        </w:tc>
      </w:tr>
    </w:tbl>
    <w:p>
      <w:pPr>
        <w:spacing w:before="25" w:after="0"/>
        <w:ind w:left="0"/>
        <w:jc w:val="both"/>
        <w:textAlignment w:val="auto"/>
      </w:pPr>
      <w:r>
        <w:rPr>
          <w:rFonts w:ascii="Times New Roman"/>
          <w:b w:val="false"/>
          <w:i w:val="false"/>
          <w:color w:val="000000"/>
          <w:sz w:val="24"/>
          <w:lang w:val="pl-PL"/>
        </w:rPr>
        <w:t>6. Wartości atrybutów funkcji GetFeaturelnfo usługi WMS dla warstwy "Działki" określa tabela nr 4.</w:t>
      </w:r>
    </w:p>
    <w:p>
      <w:pPr>
        <w:spacing w:before="25" w:after="0"/>
        <w:ind w:left="0"/>
        <w:jc w:val="both"/>
        <w:textAlignment w:val="auto"/>
      </w:pPr>
      <w:r>
        <w:rPr>
          <w:rFonts w:ascii="Times New Roman"/>
          <w:b/>
          <w:i w:val="false"/>
          <w:color w:val="000000"/>
          <w:sz w:val="24"/>
          <w:lang w:val="pl-PL"/>
        </w:rPr>
        <w:t>Tabela nr 4</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97"/>
        <w:gridCol w:w="11224"/>
      </w:tblGrid>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ID_DZIALKI</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pełny identyfikator działki</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NUMER_DZIALKI</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działki</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NUMER_OBREBU</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obrębu</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NUMER_JEDNOSTKI</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jednostki ewidencyjnej</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NAZWA_OBREBU</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nazwa obrębu</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NAZWA_GMINY</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nazwa gminy</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POLE_EWIDENCYJNE</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pole powierzchni ewidencyjnej działki</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KLASOUZYTKI_E GIB</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wykaz klasoużytków wchodzących w skład działki ewidencyjnej</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(skreślony)</w:t>
            </w:r>
          </w:p>
        </w:tc>
        <w:tc>
          <w:tcPr>
            <w:tcW w:w="11224"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GRUPA_REJESTROWA</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grupy rejestrowej</w:t>
            </w:r>
          </w:p>
        </w:tc>
      </w:tr>
      <w:tr>
        <w:trPr>
          <w:trHeight w:val="45" w:hRule="atLeast"/>
        </w:trPr>
        <w:tc>
          <w:tcPr>
            <w:tcW w:w="399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DATA</w:t>
            </w:r>
          </w:p>
        </w:tc>
        <w:tc>
          <w:tcPr>
            <w:tcW w:w="1122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data publikacji danych</w:t>
            </w:r>
          </w:p>
        </w:tc>
      </w:tr>
    </w:tbl>
    <w:p>
      <w:pPr>
        <w:spacing w:before="25" w:after="0"/>
        <w:ind w:left="0"/>
        <w:jc w:val="both"/>
        <w:textAlignment w:val="auto"/>
      </w:pPr>
      <w:r>
        <w:rPr>
          <w:rFonts w:ascii="Times New Roman"/>
          <w:b w:val="false"/>
          <w:i w:val="false"/>
          <w:color w:val="000000"/>
          <w:sz w:val="24"/>
          <w:lang w:val="pl-PL"/>
        </w:rPr>
        <w:t>7. Wartości atrybutów funkcji GetFeaturelnfo usługi WMS dla warstwy "Budynki" określa tabela nr 5.</w:t>
      </w:r>
    </w:p>
    <w:p>
      <w:pPr>
        <w:spacing w:before="25" w:after="0"/>
        <w:ind w:left="0"/>
        <w:jc w:val="both"/>
        <w:textAlignment w:val="auto"/>
      </w:pPr>
      <w:r>
        <w:rPr>
          <w:rFonts w:ascii="Times New Roman"/>
          <w:b/>
          <w:i w:val="false"/>
          <w:color w:val="000000"/>
          <w:sz w:val="24"/>
          <w:lang w:val="pl-PL"/>
        </w:rPr>
        <w:t>Tabela nr 5</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765"/>
        <w:gridCol w:w="10454"/>
      </w:tblGrid>
      <w:tr>
        <w:trPr>
          <w:trHeight w:val="45" w:hRule="atLeast"/>
        </w:trPr>
        <w:tc>
          <w:tcPr>
            <w:tcW w:w="476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ID_BUDYNKU</w:t>
            </w:r>
          </w:p>
        </w:tc>
        <w:tc>
          <w:tcPr>
            <w:tcW w:w="104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pełny identyfikator budynku</w:t>
            </w:r>
          </w:p>
        </w:tc>
      </w:tr>
      <w:tr>
        <w:trPr>
          <w:trHeight w:val="45" w:hRule="atLeast"/>
        </w:trPr>
        <w:tc>
          <w:tcPr>
            <w:tcW w:w="476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RODZAJ</w:t>
            </w:r>
          </w:p>
        </w:tc>
        <w:tc>
          <w:tcPr>
            <w:tcW w:w="104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rodzaj budynku według KST</w:t>
            </w:r>
          </w:p>
        </w:tc>
      </w:tr>
      <w:tr>
        <w:trPr>
          <w:trHeight w:val="45" w:hRule="atLeast"/>
        </w:trPr>
        <w:tc>
          <w:tcPr>
            <w:tcW w:w="476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KONDY GNA CJE_NAD ZIEMNE</w:t>
            </w:r>
          </w:p>
        </w:tc>
        <w:tc>
          <w:tcPr>
            <w:tcW w:w="104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liczba kondygnacji nadziemnych</w:t>
            </w:r>
          </w:p>
        </w:tc>
      </w:tr>
      <w:tr>
        <w:trPr>
          <w:trHeight w:val="45" w:hRule="atLeast"/>
        </w:trPr>
        <w:tc>
          <w:tcPr>
            <w:tcW w:w="476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KONDY GNAĆ JE_POD ZIEMNE</w:t>
            </w:r>
          </w:p>
        </w:tc>
        <w:tc>
          <w:tcPr>
            <w:tcW w:w="104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liczba kondygnacji podziemnych</w:t>
            </w:r>
          </w:p>
        </w:tc>
      </w:tr>
    </w:tbl>
    <w:p>
      <w:pPr>
        <w:spacing w:before="25" w:after="0"/>
        <w:ind w:left="0"/>
        <w:jc w:val="both"/>
        <w:textAlignment w:val="auto"/>
      </w:pPr>
      <w:r>
        <w:rPr>
          <w:rFonts w:ascii="Times New Roman"/>
          <w:b w:val="false"/>
          <w:i w:val="false"/>
          <w:color w:val="000000"/>
          <w:sz w:val="24"/>
          <w:lang w:val="pl-PL"/>
        </w:rPr>
        <w:t>8. Wartości atrybutu funkcji GetFeaturelnfo usługi WMS dla warstw "Użytki gruntowe" i "Kontury klasyfikacyjne" określa tabela nr 6.</w:t>
      </w:r>
    </w:p>
    <w:p>
      <w:pPr>
        <w:spacing w:before="25" w:after="0"/>
        <w:ind w:left="0"/>
        <w:jc w:val="both"/>
        <w:textAlignment w:val="auto"/>
      </w:pPr>
      <w:r>
        <w:rPr>
          <w:rFonts w:ascii="Times New Roman"/>
          <w:b/>
          <w:i w:val="false"/>
          <w:color w:val="000000"/>
          <w:sz w:val="24"/>
          <w:lang w:val="pl-PL"/>
        </w:rPr>
        <w:t>Tabela nr 6</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4"/>
        <w:gridCol w:w="11418"/>
      </w:tblGrid>
      <w:tr>
        <w:trPr>
          <w:trHeight w:val="45" w:hRule="atLeast"/>
        </w:trPr>
        <w:tc>
          <w:tcPr>
            <w:tcW w:w="34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OZNACZENIE</w:t>
            </w:r>
          </w:p>
        </w:tc>
        <w:tc>
          <w:tcPr>
            <w:tcW w:w="1141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oznaczenie użytku gruntowego lub konturu klasyfikacyjnego</w:t>
            </w:r>
          </w:p>
        </w:tc>
      </w:tr>
    </w:tbl>
    <w:p>
      <w:pPr>
        <w:spacing w:before="25" w:after="0"/>
        <w:ind w:left="0"/>
        <w:jc w:val="both"/>
        <w:textAlignment w:val="auto"/>
      </w:pPr>
      <w:r>
        <w:rPr>
          <w:rFonts w:ascii="Times New Roman"/>
          <w:b w:val="false"/>
          <w:i w:val="false"/>
          <w:color w:val="000000"/>
          <w:sz w:val="24"/>
          <w:lang w:val="pl-PL"/>
        </w:rPr>
        <w:t>9. Wartości atrybutów funkcji GetFeaturelnfo usługi WMS dla warstwy "Punkty graniczne" określa tabela nr 7.</w:t>
      </w:r>
    </w:p>
    <w:p>
      <w:pPr>
        <w:spacing w:before="25" w:after="0"/>
        <w:ind w:left="0"/>
        <w:jc w:val="both"/>
        <w:textAlignment w:val="auto"/>
      </w:pPr>
      <w:r>
        <w:rPr>
          <w:rFonts w:ascii="Times New Roman"/>
          <w:b/>
          <w:i w:val="false"/>
          <w:color w:val="000000"/>
          <w:sz w:val="24"/>
          <w:lang w:val="pl-PL"/>
        </w:rPr>
        <w:t>Tabela nr 7</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4"/>
        <w:gridCol w:w="11418"/>
        <w:gridCol w:w="150"/>
      </w:tblGrid>
      <w:tr>
        <w:trPr>
          <w:trHeight w:val="45" w:hRule="atLeast"/>
        </w:trPr>
        <w:tc>
          <w:tcPr>
            <w:tcW w:w="33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NUMER_PUNKTU</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punktu granicznego</w:t>
            </w:r>
          </w:p>
        </w:tc>
      </w:tr>
      <w:tr>
        <w:trPr>
          <w:trHeight w:val="45" w:hRule="atLeast"/>
        </w:trPr>
        <w:tc>
          <w:tcPr>
            <w:tcW w:w="33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SPD</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sposób pozyskania danych o punkcie</w:t>
            </w:r>
          </w:p>
        </w:tc>
      </w:tr>
      <w:tr>
        <w:trPr>
          <w:trHeight w:val="45" w:hRule="atLeast"/>
        </w:trPr>
        <w:tc>
          <w:tcPr>
            <w:tcW w:w="33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ISD</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informacja o spełnieniu warunków dokładnościowych</w:t>
            </w:r>
          </w:p>
        </w:tc>
      </w:tr>
      <w:tr>
        <w:trPr>
          <w:trHeight w:val="45" w:hRule="atLeast"/>
        </w:trPr>
        <w:tc>
          <w:tcPr>
            <w:tcW w:w="330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STABILIZACJA</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informacja o stabilizacji</w:t>
            </w:r>
          </w:p>
        </w:tc>
      </w:tr>
    </w:tbl>
    <w:p>
      <w:pPr>
        <w:spacing w:before="25" w:after="0"/>
        <w:ind w:left="0"/>
        <w:jc w:val="both"/>
        <w:textAlignment w:val="auto"/>
      </w:pPr>
      <w:r>
        <w:rPr>
          <w:rFonts w:ascii="Times New Roman"/>
          <w:b w:val="false"/>
          <w:i w:val="false"/>
          <w:color w:val="000000"/>
          <w:sz w:val="24"/>
          <w:lang w:val="pl-PL"/>
        </w:rPr>
        <w:t>10. Strukturę odpowiedzi GetFeaturelnfo w formacie XML określa poniższy schemat aplikacyjny.</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val="false"/>
          <w:i w:val="false"/>
          <w:color w:val="000000"/>
          <w:sz w:val="24"/>
          <w:lang w:val="pl-PL"/>
        </w:rPr>
        <w:t>11. Struktura odpowiedzi GetFeature dla usługi WFS jest analogiczna w zakresie atrybutów obiektów jak odpowiedzi GetFeaturelnfo dla usługi WMS.</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8a </w:t>
      </w:r>
    </w:p>
    <w:p>
      <w:pPr>
        <w:spacing w:before="25" w:after="0"/>
        <w:ind w:left="0"/>
        <w:jc w:val="center"/>
        <w:textAlignment w:val="auto"/>
      </w:pPr>
      <w:r>
        <w:rPr>
          <w:rFonts w:ascii="Times New Roman"/>
          <w:b/>
          <w:i w:val="false"/>
          <w:color w:val="000000"/>
          <w:sz w:val="24"/>
          <w:lang w:val="pl-PL"/>
        </w:rPr>
        <w:t>SPECYFIKACJA USŁUG SIECIOWYCH DOTYCZĄCYCH UDOSTĘPNIANIA DANYCH EWIDENCJI GRUNTÓW I BUDYNKÓW DO ZINTEGROWANEGO SYSTEMU INFORMACJI O NIERUCHOMOŚCIACH (ZSIN)</w:t>
      </w:r>
    </w:p>
    <w:p>
      <w:pPr>
        <w:spacing w:after="0"/>
        <w:ind w:left="0"/>
        <w:jc w:val="left"/>
        <w:textAlignment w:val="auto"/>
      </w:pPr>
      <w:r>
        <w:rPr>
          <w:rFonts w:ascii="Times New Roman"/>
          <w:b w:val="false"/>
          <w:i w:val="false"/>
          <w:color w:val="000000"/>
          <w:sz w:val="24"/>
          <w:lang w:val="pl-PL"/>
        </w:rPr>
        <w:t>1. Usługi udostępniające dane z powiatowych baz danych ewidencji gruntów i budynków na potrzeby ZSIN są zgodne ze standardem Web Feature Service (WFS).</w:t>
      </w:r>
    </w:p>
    <w:p>
      <w:pPr>
        <w:spacing w:before="25" w:after="0"/>
        <w:ind w:left="0"/>
        <w:jc w:val="both"/>
        <w:textAlignment w:val="auto"/>
      </w:pPr>
      <w:r>
        <w:rPr>
          <w:rFonts w:ascii="Times New Roman"/>
          <w:b w:val="false"/>
          <w:i w:val="false"/>
          <w:color w:val="000000"/>
          <w:sz w:val="24"/>
          <w:lang w:val="pl-PL"/>
        </w:rPr>
        <w:t xml:space="preserve">2. Schemat aplikacyjny UML dla danych EGiB udostępnianych na potrzeby ZSIN przedstawiają diagramy: </w:t>
      </w:r>
      <w:r>
        <w:rPr>
          <w:rFonts w:ascii="Times New Roman"/>
          <w:b/>
          <w:i w:val="false"/>
          <w:color w:val="000000"/>
          <w:sz w:val="24"/>
          <w:lang w:val="pl-PL"/>
        </w:rPr>
        <w:t>Ogólny obiekt</w:t>
      </w:r>
      <w:r>
        <w:rPr>
          <w:rFonts w:ascii="Times New Roman"/>
          <w:b w:val="false"/>
          <w:i w:val="false"/>
          <w:color w:val="000000"/>
          <w:sz w:val="24"/>
          <w:lang w:val="pl-PL"/>
        </w:rPr>
        <w:t xml:space="preserve">, </w:t>
      </w:r>
      <w:r>
        <w:rPr>
          <w:rFonts w:ascii="Times New Roman"/>
          <w:b/>
          <w:i w:val="false"/>
          <w:color w:val="000000"/>
          <w:sz w:val="24"/>
          <w:lang w:val="pl-PL"/>
        </w:rPr>
        <w:t>Dane przedmiotowe, Dane podmiotowe, Grupowanie podmiotów, Udziały, Adres podmiotu.</w:t>
      </w:r>
    </w:p>
    <w:p>
      <w:pPr>
        <w:spacing w:before="25" w:after="0"/>
        <w:ind w:left="0"/>
        <w:jc w:val="both"/>
        <w:textAlignment w:val="auto"/>
      </w:pPr>
      <w:r>
        <w:rPr>
          <w:rFonts w:ascii="Times New Roman"/>
          <w:b/>
          <w:i w:val="false"/>
          <w:color w:val="000000"/>
          <w:sz w:val="24"/>
          <w:lang w:val="pl-PL"/>
        </w:rPr>
        <w:t>I. Diagram: Ogólny obiekt</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II. Diagram: Dane przedmiotowe</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III. Diagram: Dane podmiotowe</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IV. Diagram: Grupowanie podmiotów</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V. Diagram: Udziały</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VI. Diagram: Adres podmiotu</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i w:val="false"/>
          <w:color w:val="000000"/>
          <w:sz w:val="24"/>
          <w:lang w:val="pl-PL"/>
        </w:rPr>
        <w:t>VII. Diagram: Adres nieruchomości</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val="false"/>
          <w:i w:val="false"/>
          <w:color w:val="000000"/>
          <w:sz w:val="24"/>
          <w:lang w:val="pl-PL"/>
        </w:rPr>
        <w:t>3. Realizacja relacji, zawartych w schemacie aplikacyjnym UML, o którym mowa w ust. 2, odbywa się wg wzoru: xlink:href=" {przestrzenNazw}_{lokalnyId}", gdzie:</w:t>
      </w:r>
    </w:p>
    <w:p>
      <w:pPr>
        <w:spacing w:before="25" w:after="0"/>
        <w:ind w:left="0"/>
        <w:jc w:val="both"/>
        <w:textAlignment w:val="auto"/>
      </w:pPr>
      <w:r>
        <w:rPr>
          <w:rFonts w:ascii="Times New Roman"/>
          <w:b w:val="false"/>
          <w:i w:val="false"/>
          <w:color w:val="000000"/>
          <w:sz w:val="24"/>
          <w:lang w:val="pl-PL"/>
        </w:rPr>
        <w:t>{przestrzenNazw} - część identyfikatora IIP obiektu zawierająca przestrzeń nazw, {lokalnyId} - część identyfikatora IIP obiektu zawierająca identyfikator lokalny.</w:t>
      </w:r>
    </w:p>
    <w:p>
      <w:pPr>
        <w:spacing w:before="25" w:after="0"/>
        <w:ind w:left="0"/>
        <w:jc w:val="both"/>
        <w:textAlignment w:val="auto"/>
      </w:pPr>
      <w:r>
        <w:rPr>
          <w:rFonts w:ascii="Times New Roman"/>
          <w:b w:val="false"/>
          <w:i w:val="false"/>
          <w:color w:val="000000"/>
          <w:sz w:val="24"/>
          <w:lang w:val="pl-PL"/>
        </w:rPr>
        <w:t xml:space="preserve">4. Schemat aplikacyjny GML, zgodny ze schematem pojęciowym, o którym mowa w ust. 2, Główny Geodeta Kraju publikuje w repozytorium interoperacyjności, o którym mowa w przepisach wydanych na podstawie </w:t>
      </w:r>
      <w:r>
        <w:rPr>
          <w:rFonts w:ascii="Times New Roman"/>
          <w:b w:val="false"/>
          <w:i w:val="false"/>
          <w:color w:val="1b1b1b"/>
          <w:sz w:val="24"/>
          <w:lang w:val="pl-PL"/>
        </w:rPr>
        <w:t>art. 18</w:t>
      </w:r>
      <w:r>
        <w:rPr>
          <w:rFonts w:ascii="Times New Roman"/>
          <w:b w:val="false"/>
          <w:i w:val="false"/>
          <w:color w:val="000000"/>
          <w:sz w:val="24"/>
          <w:lang w:val="pl-PL"/>
        </w:rPr>
        <w:t xml:space="preserve"> ustawy z dnia 17 lutego 2005 r. o informatyzacji działalności podmiotów realizujących zadania publiczne.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9</w:t>
      </w:r>
    </w:p>
    <w:p>
      <w:pPr>
        <w:spacing w:before="25" w:after="0"/>
        <w:ind w:left="0"/>
        <w:jc w:val="center"/>
        <w:textAlignment w:val="auto"/>
      </w:pPr>
      <w:r>
        <w:rPr>
          <w:rFonts w:ascii="Times New Roman"/>
          <w:b/>
          <w:i w:val="false"/>
          <w:color w:val="000000"/>
          <w:sz w:val="24"/>
          <w:lang w:val="pl-PL"/>
        </w:rPr>
        <w:t>SPECYFIKACJA POJĘCIOWEGO MODELU DANYCH REJESTRU CEN NIERUCHOMOŚCI (RCN)</w:t>
      </w:r>
    </w:p>
    <w:p>
      <w:pPr>
        <w:spacing w:after="0"/>
        <w:ind w:left="0"/>
        <w:jc w:val="left"/>
        <w:textAlignment w:val="auto"/>
      </w:pPr>
      <w:r>
        <w:rPr>
          <w:rFonts w:ascii="Times New Roman"/>
          <w:b w:val="false"/>
          <w:i w:val="false"/>
          <w:color w:val="000000"/>
          <w:sz w:val="24"/>
          <w:lang w:val="pl-PL"/>
        </w:rPr>
        <w:t>1. Model pojęciowy danych rejestru cen nieruchomości</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val="false"/>
          <w:i w:val="false"/>
          <w:color w:val="000000"/>
          <w:sz w:val="24"/>
          <w:lang w:val="pl-PL"/>
        </w:rPr>
        <w:t>2. Ograniczenia nałożone na atrybuty</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03"/>
        <w:gridCol w:w="9756"/>
      </w:tblGrid>
      <w:tr>
        <w:trPr>
          <w:trHeight w:val="45" w:hRule="atLeast"/>
        </w:trPr>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i w:val="false"/>
                <w:color w:val="000000"/>
                <w:sz w:val="24"/>
                <w:lang w:val="pl-PL"/>
              </w:rPr>
              <w:t>Klasa: RCN_Nieruchomosc</w:t>
            </w:r>
          </w:p>
        </w:tc>
      </w:tr>
      <w:tr>
        <w:trPr>
          <w:trHeight w:val="45" w:hRule="atLeast"/>
        </w:trPr>
        <w:tc>
          <w:tcPr>
            <w:tcW w:w="510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Ograniczenie:</w:t>
            </w:r>
          </w:p>
          <w:p>
            <w:pPr>
              <w:spacing w:before="25" w:after="0"/>
              <w:ind w:left="0"/>
              <w:jc w:val="left"/>
              <w:textAlignment w:val="auto"/>
            </w:pPr>
            <w:r>
              <w:rPr>
                <w:rFonts w:ascii="Times New Roman"/>
                <w:b w:val="false"/>
                <w:i w:val="false"/>
                <w:color w:val="000000"/>
                <w:sz w:val="24"/>
                <w:lang w:val="pl-PL"/>
              </w:rPr>
              <w:t>Nazwa:</w:t>
            </w:r>
          </w:p>
          <w:p>
            <w:pPr>
              <w:spacing w:before="25" w:after="0"/>
              <w:ind w:left="0"/>
              <w:jc w:val="left"/>
              <w:textAlignment w:val="auto"/>
            </w:pPr>
            <w:r>
              <w:rPr>
                <w:rFonts w:ascii="Times New Roman"/>
                <w:b w:val="false"/>
                <w:i w:val="false"/>
                <w:color w:val="000000"/>
                <w:sz w:val="24"/>
                <w:lang w:val="pl-PL"/>
              </w:rPr>
              <w:t>Język naturalny:</w:t>
            </w:r>
          </w:p>
        </w:tc>
        <w:tc>
          <w:tcPr>
            <w:tcW w:w="975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polePowierzchniNieruchomosci Gruntowej</w:t>
            </w:r>
          </w:p>
          <w:p>
            <w:pPr>
              <w:spacing w:before="25" w:after="0"/>
              <w:ind w:left="0"/>
              <w:jc w:val="left"/>
              <w:textAlignment w:val="auto"/>
            </w:pPr>
            <w:r>
              <w:rPr>
                <w:rFonts w:ascii="Times New Roman"/>
                <w:b w:val="false"/>
                <w:i w:val="false"/>
                <w:color w:val="000000"/>
                <w:sz w:val="24"/>
                <w:lang w:val="pl-PL"/>
              </w:rPr>
              <w:t>Atrybut pole powierzchni nieruchomości gruntowej jest sumą powierzchni działek będących przedmiotem transakcji.</w:t>
            </w:r>
          </w:p>
        </w:tc>
      </w:tr>
      <w:tr>
        <w:trPr>
          <w:trHeight w:val="45" w:hRule="atLeast"/>
        </w:trPr>
        <w:tc>
          <w:tcPr>
            <w:tcW w:w="510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Nazwa:</w:t>
            </w:r>
          </w:p>
          <w:p>
            <w:pPr>
              <w:spacing w:before="25" w:after="0"/>
              <w:ind w:left="0"/>
              <w:jc w:val="left"/>
              <w:textAlignment w:val="auto"/>
            </w:pPr>
            <w:r>
              <w:rPr>
                <w:rFonts w:ascii="Times New Roman"/>
                <w:b w:val="false"/>
                <w:i w:val="false"/>
                <w:color w:val="000000"/>
                <w:sz w:val="24"/>
                <w:lang w:val="pl-PL"/>
              </w:rPr>
              <w:t>Język naturalny:</w:t>
            </w:r>
          </w:p>
        </w:tc>
        <w:tc>
          <w:tcPr>
            <w:tcW w:w="975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CenaNieruchomosciBrutto</w:t>
            </w:r>
          </w:p>
          <w:p>
            <w:pPr>
              <w:spacing w:before="25" w:after="0"/>
              <w:ind w:left="0"/>
              <w:jc w:val="left"/>
              <w:textAlignment w:val="auto"/>
            </w:pPr>
            <w:r>
              <w:rPr>
                <w:rFonts w:ascii="Times New Roman"/>
                <w:b w:val="false"/>
                <w:i w:val="false"/>
                <w:color w:val="000000"/>
                <w:sz w:val="24"/>
                <w:lang w:val="pl-PL"/>
              </w:rPr>
              <w:t>Cena nieruchomości brutto nie może być wyższa niż cena transakcji brutto, a także mniejsza niż suma cen brutto działek, budynków i lokali wchodzących w skład nieruchomości.</w:t>
            </w:r>
          </w:p>
        </w:tc>
      </w:tr>
    </w:tbl>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 Nr  10</w:t>
      </w:r>
    </w:p>
    <w:p>
      <w:pPr>
        <w:spacing w:before="25" w:after="0"/>
        <w:ind w:left="0"/>
        <w:jc w:val="center"/>
        <w:textAlignment w:val="auto"/>
      </w:pPr>
      <w:r>
        <w:rPr>
          <w:rFonts w:ascii="Times New Roman"/>
          <w:b/>
          <w:i w:val="false"/>
          <w:color w:val="000000"/>
          <w:sz w:val="24"/>
          <w:lang w:val="pl-PL"/>
        </w:rPr>
        <w:t>SPECYFIKACJA USŁUG SIECIOWYCH DOTYCZĄCYCH UDOSTĘPNIANIA DANYCH Z REJESTRU CEN NIERUCHOMOŚCI</w:t>
      </w:r>
    </w:p>
    <w:p>
      <w:pPr>
        <w:spacing w:after="0"/>
        <w:ind w:left="0"/>
        <w:jc w:val="left"/>
        <w:textAlignment w:val="auto"/>
      </w:pPr>
      <w:r>
        <w:rPr>
          <w:rFonts w:ascii="Times New Roman"/>
          <w:b w:val="false"/>
          <w:i w:val="false"/>
          <w:color w:val="000000"/>
          <w:sz w:val="24"/>
          <w:lang w:val="pl-PL"/>
        </w:rPr>
        <w:t>1. Usługi publikujące dane dotyczące rejestru cen nieruchomości są zgodne ze standardem Web Map Service (WMS) i Web Feature Service (WFS).</w:t>
      </w:r>
    </w:p>
    <w:p>
      <w:pPr>
        <w:spacing w:before="25" w:after="0"/>
        <w:ind w:left="0"/>
        <w:jc w:val="both"/>
        <w:textAlignment w:val="auto"/>
      </w:pPr>
      <w:r>
        <w:rPr>
          <w:rFonts w:ascii="Times New Roman"/>
          <w:b w:val="false"/>
          <w:i w:val="false"/>
          <w:color w:val="000000"/>
          <w:sz w:val="24"/>
          <w:lang w:val="pl-PL"/>
        </w:rPr>
        <w:t>2. Usługi publikują dane w podziale na warstwy i obiekty:</w:t>
      </w:r>
    </w:p>
    <w:p>
      <w:pPr>
        <w:spacing w:before="25" w:after="0"/>
        <w:ind w:left="0"/>
        <w:jc w:val="both"/>
        <w:textAlignment w:val="auto"/>
      </w:pPr>
      <w:r>
        <w:rPr>
          <w:rFonts w:ascii="Times New Roman"/>
          <w:b w:val="false"/>
          <w:i w:val="false"/>
          <w:color w:val="000000"/>
          <w:sz w:val="24"/>
          <w:lang w:val="pl-PL"/>
        </w:rPr>
        <w:t>1) Transakcje,</w:t>
      </w:r>
    </w:p>
    <w:p>
      <w:pPr>
        <w:spacing w:before="25" w:after="0"/>
        <w:ind w:left="0"/>
        <w:jc w:val="both"/>
        <w:textAlignment w:val="auto"/>
      </w:pPr>
      <w:r>
        <w:rPr>
          <w:rFonts w:ascii="Times New Roman"/>
          <w:b w:val="false"/>
          <w:i w:val="false"/>
          <w:color w:val="000000"/>
          <w:sz w:val="24"/>
          <w:lang w:val="pl-PL"/>
        </w:rPr>
        <w:t>2) Grupowanie (tylko WMS).</w:t>
      </w:r>
    </w:p>
    <w:p>
      <w:pPr>
        <w:spacing w:before="25" w:after="0"/>
        <w:ind w:left="0"/>
        <w:jc w:val="both"/>
        <w:textAlignment w:val="auto"/>
      </w:pPr>
      <w:r>
        <w:rPr>
          <w:rFonts w:ascii="Times New Roman"/>
          <w:b w:val="false"/>
          <w:i w:val="false"/>
          <w:color w:val="000000"/>
          <w:sz w:val="24"/>
          <w:lang w:val="pl-PL"/>
        </w:rPr>
        <w:t>3. Warstwa, o której mowa w ust. 2 pkt 1, prezentuje transakcje w postaci sygnatur punktowych zgodnych z tabelą nr 1.</w:t>
      </w:r>
    </w:p>
    <w:p>
      <w:pPr>
        <w:spacing w:before="25" w:after="0"/>
        <w:ind w:left="0"/>
        <w:jc w:val="both"/>
        <w:textAlignment w:val="auto"/>
      </w:pPr>
      <w:r>
        <w:rPr>
          <w:rFonts w:ascii="Times New Roman"/>
          <w:b w:val="false"/>
          <w:i w:val="false"/>
          <w:color w:val="000000"/>
          <w:sz w:val="24"/>
          <w:lang w:val="pl-PL"/>
        </w:rPr>
        <w:t>4. Warstwa, o której mowa w ust. 2 pkt 2, zawiera grupowanie transakcji w zależności od skali, w jakiej usługa generuje mapę, tzn., że bliskie sobie transakcje są łączone w jeden obiekt. Dla dalszych poziomów symbole powinny być łączone w ramach gminy, a następnie powiatu (na mapie powinien być widoczny jeden symbol zbiorczy z etykietą wyświetlającą liczbę transakcji w danej gminie/powiecie). Na poziomie grupowania indywidualnego zaleca się grupowanie obiektów w taki sposób, aby odległość pomiędzy poszczególnymi symbolami wynosiła min. 2,5-krotną wartość ich rozmiaru (tj. pojedyncze symbole 20px powinny być grupowane, jeśli leżą w odległości mniejszej niż 50px).</w:t>
      </w:r>
    </w:p>
    <w:p>
      <w:pPr>
        <w:spacing w:before="25" w:after="0"/>
        <w:ind w:left="0"/>
        <w:jc w:val="both"/>
        <w:textAlignment w:val="auto"/>
      </w:pPr>
      <w:r>
        <w:rPr>
          <w:rFonts w:ascii="Times New Roman"/>
          <w:b w:val="false"/>
          <w:i w:val="false"/>
          <w:color w:val="000000"/>
          <w:sz w:val="24"/>
          <w:lang w:val="pl-PL"/>
        </w:rPr>
        <w:t>5. Szczegółową charakterystykę publikowanych warstw i stosowanych symboli graficznych określa tabela nr 1.</w:t>
      </w:r>
    </w:p>
    <w:p>
      <w:pPr>
        <w:spacing w:before="25" w:after="0"/>
        <w:ind w:left="0"/>
        <w:jc w:val="both"/>
        <w:textAlignment w:val="auto"/>
      </w:pPr>
      <w:r>
        <w:rPr>
          <w:rFonts w:ascii="Times New Roman"/>
          <w:b/>
          <w:i w:val="false"/>
          <w:color w:val="000000"/>
          <w:sz w:val="24"/>
          <w:lang w:val="pl-PL"/>
        </w:rPr>
        <w:t>Tabela nr 1</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02"/>
        <w:gridCol w:w="1702"/>
        <w:gridCol w:w="2166"/>
        <w:gridCol w:w="2630"/>
        <w:gridCol w:w="2631"/>
        <w:gridCol w:w="2322"/>
        <w:gridCol w:w="1703"/>
      </w:tblGrid>
      <w:tr>
        <w:trPr>
          <w:trHeight w:val="45" w:hRule="atLeast"/>
        </w:trPr>
        <w:tc>
          <w:tcPr>
            <w:tcW w:w="170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Tytuł warstwy</w:t>
            </w:r>
          </w:p>
        </w:tc>
        <w:tc>
          <w:tcPr>
            <w:tcW w:w="170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Nazwa warstwy</w:t>
            </w:r>
          </w:p>
        </w:tc>
        <w:tc>
          <w:tcPr>
            <w:tcW w:w="216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Symbol</w:t>
            </w:r>
          </w:p>
        </w:tc>
        <w:tc>
          <w:tcPr>
            <w:tcW w:w="26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Kolor bazowy (RGB)</w:t>
            </w:r>
          </w:p>
        </w:tc>
        <w:tc>
          <w:tcPr>
            <w:tcW w:w="26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Parametry prezentacji</w:t>
            </w:r>
          </w:p>
        </w:tc>
        <w:tc>
          <w:tcPr>
            <w:tcW w:w="232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Uwagi</w:t>
            </w:r>
          </w:p>
        </w:tc>
        <w:tc>
          <w:tcPr>
            <w:tcW w:w="170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Zakres widocznoś</w:t>
            </w:r>
          </w:p>
          <w:p>
            <w:pPr>
              <w:spacing w:before="25" w:after="0"/>
              <w:ind w:left="0"/>
              <w:jc w:val="left"/>
              <w:textAlignment w:val="auto"/>
            </w:pPr>
            <w:r>
              <w:rPr>
                <w:rFonts w:ascii="Times New Roman"/>
                <w:b w:val="false"/>
                <w:i w:val="false"/>
                <w:color w:val="000000"/>
                <w:sz w:val="24"/>
                <w:lang w:val="pl-PL"/>
              </w:rPr>
              <w:t>ci</w:t>
            </w:r>
          </w:p>
          <w:p>
            <w:pPr>
              <w:spacing w:before="25" w:after="0"/>
              <w:ind w:left="0"/>
              <w:jc w:val="left"/>
              <w:textAlignment w:val="auto"/>
            </w:pPr>
            <w:r>
              <w:rPr>
                <w:rFonts w:ascii="Times New Roman"/>
                <w:b w:val="false"/>
                <w:i w:val="false"/>
                <w:color w:val="000000"/>
                <w:sz w:val="24"/>
                <w:lang w:val="pl-PL"/>
              </w:rPr>
              <w:t>min / max</w:t>
            </w:r>
          </w:p>
        </w:tc>
      </w:tr>
      <w:tr>
        <w:trPr>
          <w:trHeight w:val="45" w:hRule="atLeast"/>
        </w:trPr>
        <w:tc>
          <w:tcPr>
            <w:tcW w:w="170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Grupy transakcji</w:t>
            </w:r>
          </w:p>
        </w:tc>
        <w:tc>
          <w:tcPr>
            <w:tcW w:w="170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grupowanie</w:t>
            </w:r>
          </w:p>
        </w:tc>
        <w:tc>
          <w:tcPr>
            <w:tcW w:w="216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drawing>
                <wp:inline distT="0" distB="0" distL="0" distR="0">
                  <wp:extent cx="799465" cy="9652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799465" cy="965200"/>
                          </a:xfrm>
                          <a:prstGeom prst="rect">
                            <a:avLst/>
                          </a:prstGeom>
                        </pic:spPr>
                      </pic:pic>
                    </a:graphicData>
                  </a:graphic>
                </wp:inline>
              </w:drawing>
            </w:r>
          </w:p>
        </w:tc>
        <w:tc>
          <w:tcPr>
            <w:tcW w:w="26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obrys 32 160 255 wypełnienie 0 0 0 czcionka 255 255 255</w:t>
            </w:r>
          </w:p>
        </w:tc>
        <w:tc>
          <w:tcPr>
            <w:tcW w:w="26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Wymiar dopasowany do liczby grupowanych transakcji (min32x32 px) czcionka 12 px obrys 4px.</w:t>
            </w:r>
          </w:p>
        </w:tc>
        <w:tc>
          <w:tcPr>
            <w:tcW w:w="232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Liczba w sygnaturze wskazuje liczbę obiektów, które zostały zgrupowane w ramach danego symbolu.</w:t>
            </w:r>
          </w:p>
        </w:tc>
        <w:tc>
          <w:tcPr>
            <w:tcW w:w="170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r>
      <w:tr>
        <w:trPr>
          <w:trHeight w:val="45" w:hRule="atLeast"/>
        </w:trPr>
        <w:tc>
          <w:tcPr>
            <w:tcW w:w="170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Transakcje</w:t>
            </w:r>
          </w:p>
        </w:tc>
        <w:tc>
          <w:tcPr>
            <w:tcW w:w="170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transakcje</w:t>
            </w:r>
          </w:p>
        </w:tc>
        <w:tc>
          <w:tcPr>
            <w:tcW w:w="216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drawing>
                <wp:inline distT="0" distB="0" distL="0" distR="0">
                  <wp:extent cx="647065" cy="787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647065" cy="787400"/>
                          </a:xfrm>
                          <a:prstGeom prst="rect">
                            <a:avLst/>
                          </a:prstGeom>
                        </pic:spPr>
                      </pic:pic>
                    </a:graphicData>
                  </a:graphic>
                </wp:inline>
              </w:drawing>
            </w:r>
          </w:p>
        </w:tc>
        <w:tc>
          <w:tcPr>
            <w:tcW w:w="26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obrys 0 0 0 wypełnienie (zależne od rodzaju nieruchomości) czcionka 0 0 0</w:t>
            </w:r>
          </w:p>
        </w:tc>
        <w:tc>
          <w:tcPr>
            <w:tcW w:w="263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symbol min. 24 px</w:t>
            </w:r>
          </w:p>
        </w:tc>
        <w:tc>
          <w:tcPr>
            <w:tcW w:w="232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Etykieta wskazuje na rodzaj nieruchomości:</w:t>
            </w:r>
          </w:p>
          <w:p>
            <w:pPr>
              <w:spacing w:before="25" w:after="0"/>
              <w:ind w:left="0"/>
              <w:jc w:val="left"/>
              <w:textAlignment w:val="auto"/>
            </w:pPr>
            <w:r>
              <w:rPr>
                <w:rFonts w:ascii="Times New Roman"/>
                <w:b w:val="false"/>
                <w:i w:val="false"/>
                <w:color w:val="000000"/>
                <w:sz w:val="24"/>
                <w:lang w:val="pl-PL"/>
              </w:rPr>
              <w:t>G - gruntowa niezbudowana Z - gruntowa zabudowana L - lokalowa B - budynkowa</w:t>
            </w:r>
          </w:p>
        </w:tc>
        <w:tc>
          <w:tcPr>
            <w:tcW w:w="170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25px/m do 0.1px/m</w:t>
            </w:r>
          </w:p>
        </w:tc>
      </w:tr>
    </w:tbl>
    <w:p>
      <w:pPr>
        <w:spacing w:before="25" w:after="0"/>
        <w:ind w:left="0"/>
        <w:jc w:val="both"/>
        <w:textAlignment w:val="auto"/>
      </w:pPr>
      <w:r>
        <w:rPr>
          <w:rFonts w:ascii="Times New Roman"/>
          <w:b w:val="false"/>
          <w:i w:val="false"/>
          <w:color w:val="000000"/>
          <w:sz w:val="24"/>
          <w:lang w:val="pl-PL"/>
        </w:rPr>
        <w:t>6. Zasady prezentacji warstw w zależności od skali generowanej mapy określa tabela nr 2.</w:t>
      </w:r>
    </w:p>
    <w:p>
      <w:pPr>
        <w:spacing w:before="25" w:after="0"/>
        <w:ind w:left="0"/>
        <w:jc w:val="both"/>
        <w:textAlignment w:val="auto"/>
      </w:pPr>
      <w:r>
        <w:rPr>
          <w:rFonts w:ascii="Times New Roman"/>
          <w:b/>
          <w:i w:val="false"/>
          <w:color w:val="000000"/>
          <w:sz w:val="24"/>
          <w:lang w:val="pl-PL"/>
        </w:rPr>
        <w:t>Tabela nr 2</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8"/>
        <w:gridCol w:w="3189"/>
        <w:gridCol w:w="3038"/>
        <w:gridCol w:w="5620"/>
      </w:tblGrid>
      <w:tr>
        <w:trPr>
          <w:trHeight w:val="45" w:hRule="atLeast"/>
        </w:trPr>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Zakres widoczności</w:t>
            </w:r>
          </w:p>
        </w:tc>
        <w:tc>
          <w:tcPr>
            <w:tcW w:w="318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Przybliżony poziom skalowy</w:t>
            </w:r>
          </w:p>
        </w:tc>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grupowanie</w:t>
            </w:r>
          </w:p>
        </w:tc>
        <w:tc>
          <w:tcPr>
            <w:tcW w:w="562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Liczba widocznych symboli</w:t>
            </w:r>
          </w:p>
        </w:tc>
      </w:tr>
      <w:tr>
        <w:trPr>
          <w:trHeight w:val="45" w:hRule="atLeast"/>
        </w:trPr>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1024m/px - 64m/px</w:t>
            </w:r>
          </w:p>
        </w:tc>
        <w:tc>
          <w:tcPr>
            <w:tcW w:w="318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1:4 000 000- 1:250 000</w:t>
            </w:r>
          </w:p>
        </w:tc>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Powiat</w:t>
            </w:r>
          </w:p>
        </w:tc>
        <w:tc>
          <w:tcPr>
            <w:tcW w:w="562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r>
      <w:tr>
        <w:trPr>
          <w:trHeight w:val="45" w:hRule="atLeast"/>
        </w:trPr>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64m/px - 64m/px</w:t>
            </w:r>
          </w:p>
        </w:tc>
        <w:tc>
          <w:tcPr>
            <w:tcW w:w="318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1:250 000- 1:50 000</w:t>
            </w:r>
          </w:p>
        </w:tc>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Gmina</w:t>
            </w:r>
          </w:p>
        </w:tc>
        <w:tc>
          <w:tcPr>
            <w:tcW w:w="562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(równa liczbie gmin widocznych na mapie)</w:t>
            </w:r>
          </w:p>
        </w:tc>
      </w:tr>
      <w:tr>
        <w:trPr>
          <w:trHeight w:val="45" w:hRule="atLeast"/>
        </w:trPr>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!2m/px</w:t>
            </w:r>
          </w:p>
        </w:tc>
        <w:tc>
          <w:tcPr>
            <w:tcW w:w="318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50 000</w:t>
            </w:r>
          </w:p>
        </w:tc>
        <w:tc>
          <w:tcPr>
            <w:tcW w:w="3038"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Indywidualne transakcje</w:t>
            </w:r>
          </w:p>
        </w:tc>
        <w:tc>
          <w:tcPr>
            <w:tcW w:w="562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Symbol pojedynczej transakcji lub symbol zgrupowanych transakcji</w:t>
            </w:r>
          </w:p>
        </w:tc>
      </w:tr>
    </w:tbl>
    <w:p>
      <w:pPr>
        <w:spacing w:before="25" w:after="0"/>
        <w:ind w:left="0"/>
        <w:jc w:val="both"/>
        <w:textAlignment w:val="auto"/>
      </w:pPr>
      <w:r>
        <w:rPr>
          <w:rFonts w:ascii="Times New Roman"/>
          <w:b w:val="false"/>
          <w:i w:val="false"/>
          <w:color w:val="000000"/>
          <w:sz w:val="24"/>
          <w:lang w:val="pl-PL"/>
        </w:rPr>
        <w:t>7. Szczegółową charakterystykę parametrów funkcji GetMap usługi WMS określa tabela nr 3.</w:t>
      </w:r>
    </w:p>
    <w:p>
      <w:pPr>
        <w:spacing w:before="25" w:after="0"/>
        <w:ind w:left="0"/>
        <w:jc w:val="both"/>
        <w:textAlignment w:val="auto"/>
      </w:pPr>
      <w:r>
        <w:rPr>
          <w:rFonts w:ascii="Times New Roman"/>
          <w:b/>
          <w:i w:val="false"/>
          <w:color w:val="000000"/>
          <w:sz w:val="24"/>
          <w:lang w:val="pl-PL"/>
        </w:rPr>
        <w:t>Tabela nr 3</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1"/>
        <w:gridCol w:w="5070"/>
        <w:gridCol w:w="7530"/>
      </w:tblGrid>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Parametr</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Opis lub wartość</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Uwagi</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VERSION</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1.3.0</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może wspierać starsze wersje standardu WMS.</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LAYERS</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Nazwy warstw z tabeli 1</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może publikować także dodatkowe warstwy.</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STYLES</w:t>
            </w:r>
          </w:p>
        </w:tc>
        <w:tc>
          <w:tcPr>
            <w:tcW w:w="5070" w:type="dxa"/>
            <w:tcBorders>
              <w:bottom w:val="single" w:color="000000" w:sz="8"/>
              <w:right w:val="single" w:color="000000" w:sz="8"/>
            </w:tcBorders>
            <w:tcMar>
              <w:top w:w="15" w:type="dxa"/>
              <w:left w:w="15" w:type="dxa"/>
              <w:bottom w:w="15" w:type="dxa"/>
              <w:right w:w="15" w:type="dxa"/>
            </w:tcMar>
            <w:vAlign w:val="center"/>
          </w:tcP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jako domyślne wspiera style przedstawione w tabeli nr 1. Dopuszczalna jest obsługa dodatkowych stylów.</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SRS</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Oznaczenie układu współrzędnych</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wspiera co najmniej układy współrzędnych PL-1992, układ geograficzny WGS84 (EPSG:2180, EPSG:4326) oraz PL-2000, przy czym w przypadku układu PL-2000 usługa musi wspierać tę strefę układu, w której zostały określone współrzędne publikowanych obiektów, tj.: EPSG:2176 lub EPSG:2177 lub EPSG:2178 lub EPSG:2179.</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BBOX</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minX, minY, maxX, maxY</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Współrzędne ograniczające zakres przestrzenny zapytania.</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WIDTH</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Szerokość obrazu w pikselach</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Serwer może odrzucić żądanie utworzenia obrazu o rozmiarze przekraczającym 4096 pikseli</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HEIGHT</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Wysokość obrazu w pikselach</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Serwer może odrzucić żądanie utworzenia obrazu o rozmiarze przekraczającym 4096 pikseli</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FORMAT</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image/png</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Usługa może wspierać inne formaty zapisu obrazu</w:t>
            </w:r>
          </w:p>
        </w:tc>
      </w:tr>
      <w:tr>
        <w:trPr>
          <w:trHeight w:val="45" w:hRule="atLeast"/>
        </w:trPr>
        <w:tc>
          <w:tcPr>
            <w:tcW w:w="2611"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TRANSPARENT</w:t>
            </w:r>
          </w:p>
        </w:tc>
        <w:tc>
          <w:tcPr>
            <w:tcW w:w="507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TRUE</w:t>
            </w:r>
          </w:p>
        </w:tc>
        <w:tc>
          <w:tcPr>
            <w:tcW w:w="7530"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Tło obrazka wyświetla się jako przezroczyste</w:t>
            </w:r>
          </w:p>
        </w:tc>
      </w:tr>
    </w:tbl>
    <w:p>
      <w:pPr>
        <w:spacing w:before="25" w:after="0"/>
        <w:ind w:left="0"/>
        <w:jc w:val="both"/>
        <w:textAlignment w:val="auto"/>
      </w:pPr>
      <w:r>
        <w:rPr>
          <w:rFonts w:ascii="Times New Roman"/>
          <w:b w:val="false"/>
          <w:i w:val="false"/>
          <w:color w:val="000000"/>
          <w:sz w:val="24"/>
          <w:lang w:val="pl-PL"/>
        </w:rPr>
        <w:t>8. Podstawowe parametry wykorzystywane przez funkcję GetFeaturelnfo usługi WMS określa tabela nr 4, a pozostałe wymagane parametry nieujęte w tabeli nr 4 są tożsame z parametrami funkcji GetMap określonymi w tabeli nr 3.</w:t>
      </w:r>
    </w:p>
    <w:p>
      <w:pPr>
        <w:spacing w:before="25" w:after="0"/>
        <w:ind w:left="0"/>
        <w:jc w:val="both"/>
        <w:textAlignment w:val="auto"/>
      </w:pPr>
      <w:r>
        <w:rPr>
          <w:rFonts w:ascii="Times New Roman"/>
          <w:b/>
          <w:i w:val="false"/>
          <w:color w:val="000000"/>
          <w:sz w:val="24"/>
          <w:lang w:val="pl-PL"/>
        </w:rPr>
        <w:t>Tabela nr 4</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9"/>
        <w:gridCol w:w="5377"/>
        <w:gridCol w:w="6915"/>
      </w:tblGrid>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Parametr</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Wymagane wartości parametru</w:t>
            </w:r>
          </w:p>
        </w:tc>
        <w:tc>
          <w:tcPr>
            <w:tcW w:w="691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Uwagi</w:t>
            </w: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QUERY_LAYERS</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Nazwy warstw z tabeli nr 1</w:t>
            </w:r>
          </w:p>
        </w:tc>
        <w:tc>
          <w:tcPr>
            <w:tcW w:w="691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INF O_F ORMÁT</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text/xml</w:t>
            </w:r>
          </w:p>
        </w:tc>
        <w:tc>
          <w:tcPr>
            <w:tcW w:w="691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Dopuszcza się również wsparcie dla innych formatów, np. HTML, przy zachowaniu co najmniej tego samego zakresu treści odpowiedzi.</w:t>
            </w: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FEATURE_COUNT</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Liczba obiektów, dla których zwrócone zostaną atrybuty</w:t>
            </w:r>
          </w:p>
        </w:tc>
        <w:tc>
          <w:tcPr>
            <w:tcW w:w="691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I</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kolumny piksela</w:t>
            </w:r>
          </w:p>
        </w:tc>
        <w:tc>
          <w:tcPr>
            <w:tcW w:w="6915" w:type="dxa"/>
            <w:tcBorders>
              <w:bottom w:val="single" w:color="000000" w:sz="8"/>
              <w:right w:val="single" w:color="000000" w:sz="8"/>
            </w:tcBorders>
            <w:tcMar>
              <w:top w:w="15" w:type="dxa"/>
              <w:left w:w="15" w:type="dxa"/>
              <w:bottom w:w="15" w:type="dxa"/>
              <w:right w:w="15" w:type="dxa"/>
            </w:tcMar>
            <w:vAlign w:val="center"/>
          </w:tcPr>
          <w:p/>
        </w:tc>
      </w:tr>
      <w:tr>
        <w:trPr>
          <w:trHeight w:val="45" w:hRule="atLeast"/>
        </w:trPr>
        <w:tc>
          <w:tcPr>
            <w:tcW w:w="291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J</w:t>
            </w:r>
          </w:p>
        </w:tc>
        <w:tc>
          <w:tcPr>
            <w:tcW w:w="53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Numer wiersza piksela</w:t>
            </w:r>
          </w:p>
        </w:tc>
        <w:tc>
          <w:tcPr>
            <w:tcW w:w="6915" w:type="dxa"/>
            <w:tcBorders>
              <w:bottom w:val="single" w:color="000000" w:sz="8"/>
              <w:right w:val="single" w:color="000000" w:sz="8"/>
            </w:tcBorders>
            <w:tcMar>
              <w:top w:w="15" w:type="dxa"/>
              <w:left w:w="15" w:type="dxa"/>
              <w:bottom w:w="15" w:type="dxa"/>
              <w:right w:w="15" w:type="dxa"/>
            </w:tcMar>
            <w:vAlign w:val="center"/>
          </w:tcPr>
          <w:p/>
        </w:tc>
      </w:tr>
    </w:tbl>
    <w:p>
      <w:pPr>
        <w:spacing w:before="25" w:after="0"/>
        <w:ind w:left="0"/>
        <w:jc w:val="both"/>
        <w:textAlignment w:val="auto"/>
      </w:pPr>
      <w:r>
        <w:rPr>
          <w:rFonts w:ascii="Times New Roman"/>
          <w:b w:val="false"/>
          <w:i w:val="false"/>
          <w:color w:val="000000"/>
          <w:sz w:val="24"/>
          <w:lang w:val="pl-PL"/>
        </w:rPr>
        <w:t>9. Funkcja GetFeaturelnfo dla warstwy "Transakcje" zwraca standardowo wartości atrybutów:</w:t>
      </w:r>
    </w:p>
    <w:p>
      <w:pPr>
        <w:spacing w:before="25" w:after="0"/>
        <w:ind w:left="0"/>
        <w:jc w:val="both"/>
        <w:textAlignment w:val="auto"/>
      </w:pPr>
      <w:r>
        <w:rPr>
          <w:rFonts w:ascii="Times New Roman"/>
          <w:b w:val="false"/>
          <w:i w:val="false"/>
          <w:color w:val="000000"/>
          <w:sz w:val="24"/>
          <w:lang w:val="pl-PL"/>
        </w:rPr>
        <w:t>*</w:t>
      </w:r>
      <w:r>
        <w:rPr>
          <w:rFonts w:ascii="Times New Roman"/>
          <w:b/>
          <w:i w:val="false"/>
          <w:color w:val="000000"/>
          <w:sz w:val="24"/>
          <w:lang w:val="pl-PL"/>
        </w:rPr>
        <w:t xml:space="preserve"> serwis_rcn </w:t>
      </w:r>
      <w:r>
        <w:rPr>
          <w:rFonts w:ascii="Times New Roman"/>
          <w:b w:val="false"/>
          <w:i w:val="false"/>
          <w:color w:val="000000"/>
          <w:sz w:val="24"/>
          <w:lang w:val="pl-PL"/>
        </w:rPr>
        <w:t>- adres URL serwisu, z którego pochodzi transakcja,</w:t>
      </w:r>
    </w:p>
    <w:p>
      <w:pPr>
        <w:spacing w:before="25" w:after="0"/>
        <w:ind w:left="0"/>
        <w:jc w:val="both"/>
        <w:textAlignment w:val="auto"/>
      </w:pPr>
      <w:r>
        <w:rPr>
          <w:rFonts w:ascii="Times New Roman"/>
          <w:b w:val="false"/>
          <w:i w:val="false"/>
          <w:color w:val="000000"/>
          <w:sz w:val="24"/>
          <w:lang w:val="pl-PL"/>
        </w:rPr>
        <w:t>* teryt - teryt powiatu,</w:t>
      </w:r>
    </w:p>
    <w:p>
      <w:pPr>
        <w:spacing w:before="25" w:after="0"/>
        <w:ind w:left="0"/>
        <w:jc w:val="both"/>
        <w:textAlignment w:val="auto"/>
      </w:pPr>
      <w:r>
        <w:rPr>
          <w:rFonts w:ascii="Times New Roman"/>
          <w:b w:val="false"/>
          <w:i w:val="false"/>
          <w:color w:val="000000"/>
          <w:sz w:val="24"/>
          <w:lang w:val="pl-PL"/>
        </w:rPr>
        <w:t>*</w:t>
      </w:r>
      <w:r>
        <w:rPr>
          <w:rFonts w:ascii="Times New Roman"/>
          <w:b/>
          <w:i w:val="false"/>
          <w:color w:val="000000"/>
          <w:sz w:val="24"/>
          <w:lang w:val="pl-PL"/>
        </w:rPr>
        <w:t xml:space="preserve"> lokalnyld </w:t>
      </w:r>
      <w:r>
        <w:rPr>
          <w:rFonts w:ascii="Times New Roman"/>
          <w:b w:val="false"/>
          <w:i w:val="false"/>
          <w:color w:val="000000"/>
          <w:sz w:val="24"/>
          <w:lang w:val="pl-PL"/>
        </w:rPr>
        <w:t>- identyfikator "lokalny" transakcji z serwisu powiatowego,</w:t>
      </w:r>
    </w:p>
    <w:p>
      <w:pPr>
        <w:spacing w:before="25" w:after="0"/>
        <w:ind w:left="0"/>
        <w:jc w:val="both"/>
        <w:textAlignment w:val="auto"/>
      </w:pPr>
      <w:r>
        <w:rPr>
          <w:rFonts w:ascii="Times New Roman"/>
          <w:b w:val="false"/>
          <w:i w:val="false"/>
          <w:color w:val="000000"/>
          <w:sz w:val="24"/>
          <w:lang w:val="pl-PL"/>
        </w:rPr>
        <w:t>*</w:t>
      </w:r>
      <w:r>
        <w:rPr>
          <w:rFonts w:ascii="Times New Roman"/>
          <w:b/>
          <w:i w:val="false"/>
          <w:color w:val="000000"/>
          <w:sz w:val="24"/>
          <w:lang w:val="pl-PL"/>
        </w:rPr>
        <w:t xml:space="preserve"> dataTransakcji </w:t>
      </w:r>
      <w:r>
        <w:rPr>
          <w:rFonts w:ascii="Times New Roman"/>
          <w:b w:val="false"/>
          <w:i w:val="false"/>
          <w:color w:val="000000"/>
          <w:sz w:val="24"/>
          <w:lang w:val="pl-PL"/>
        </w:rPr>
        <w:t>- data zawarcia transakcji,</w:t>
      </w:r>
    </w:p>
    <w:p>
      <w:pPr>
        <w:spacing w:before="25" w:after="0"/>
        <w:ind w:left="0"/>
        <w:jc w:val="both"/>
        <w:textAlignment w:val="auto"/>
      </w:pPr>
      <w:r>
        <w:rPr>
          <w:rFonts w:ascii="Times New Roman"/>
          <w:b/>
          <w:i w:val="false"/>
          <w:color w:val="000000"/>
          <w:sz w:val="24"/>
          <w:lang w:val="pl-PL"/>
        </w:rPr>
        <w:t xml:space="preserve">* rodzajTransakcji </w:t>
      </w:r>
      <w:r>
        <w:rPr>
          <w:rFonts w:ascii="Times New Roman"/>
          <w:b w:val="false"/>
          <w:i w:val="false"/>
          <w:color w:val="000000"/>
          <w:sz w:val="24"/>
          <w:lang w:val="pl-PL"/>
        </w:rPr>
        <w:t>- rodzaj zawartej transakcji,</w:t>
      </w:r>
    </w:p>
    <w:p>
      <w:pPr>
        <w:spacing w:before="25" w:after="0"/>
        <w:ind w:left="0"/>
        <w:jc w:val="both"/>
        <w:textAlignment w:val="auto"/>
      </w:pPr>
      <w:r>
        <w:rPr>
          <w:rFonts w:ascii="Times New Roman"/>
          <w:b/>
          <w:i w:val="false"/>
          <w:color w:val="000000"/>
          <w:sz w:val="24"/>
          <w:lang w:val="pl-PL"/>
        </w:rPr>
        <w:t xml:space="preserve">* rodzajNieruchomosci </w:t>
      </w:r>
      <w:r>
        <w:rPr>
          <w:rFonts w:ascii="Times New Roman"/>
          <w:b w:val="false"/>
          <w:i w:val="false"/>
          <w:color w:val="000000"/>
          <w:sz w:val="24"/>
          <w:lang w:val="pl-PL"/>
        </w:rPr>
        <w:t>- rodzaj sprzedawanej nieruchomości,</w:t>
      </w:r>
    </w:p>
    <w:p>
      <w:pPr>
        <w:spacing w:before="25" w:after="0"/>
        <w:ind w:left="0"/>
        <w:jc w:val="both"/>
        <w:textAlignment w:val="auto"/>
      </w:pPr>
      <w:r>
        <w:rPr>
          <w:rFonts w:ascii="Times New Roman"/>
          <w:b/>
          <w:i w:val="false"/>
          <w:color w:val="000000"/>
          <w:sz w:val="24"/>
          <w:lang w:val="pl-PL"/>
        </w:rPr>
        <w:t xml:space="preserve">* link </w:t>
      </w:r>
      <w:r>
        <w:rPr>
          <w:rFonts w:ascii="Times New Roman"/>
          <w:b w:val="false"/>
          <w:i w:val="false"/>
          <w:color w:val="000000"/>
          <w:sz w:val="24"/>
          <w:lang w:val="pl-PL"/>
        </w:rPr>
        <w:t>- bezpośredni link do podglądu i zakupu pojedynczej transakcji, parametr opcjonalny.</w:t>
      </w:r>
    </w:p>
    <w:p>
      <w:pPr>
        <w:spacing w:before="25" w:after="0"/>
        <w:ind w:left="0"/>
        <w:jc w:val="both"/>
        <w:textAlignment w:val="auto"/>
      </w:pPr>
      <w:r>
        <w:rPr>
          <w:rFonts w:ascii="Times New Roman"/>
          <w:b w:val="false"/>
          <w:i w:val="false"/>
          <w:color w:val="000000"/>
          <w:sz w:val="24"/>
          <w:lang w:val="pl-PL"/>
        </w:rPr>
        <w:t>Usługa powiatowa przekazuje adres URL serwisu obsługującego zamawianie on-line danych rejestru cen, na który mogą być przesyłane identyfikatory wybranych transakcji celem ich zakupu. Adres ma postać:</w:t>
      </w:r>
    </w:p>
    <w:p>
      <w:pPr>
        <w:spacing w:before="25" w:after="0"/>
        <w:ind w:left="0"/>
        <w:jc w:val="both"/>
        <w:textAlignment w:val="auto"/>
      </w:pPr>
      <w:r>
        <w:rPr>
          <w:rFonts w:ascii="Times New Roman"/>
          <w:b w:val="false"/>
          <w:i w:val="false"/>
          <w:color w:val="1b1b1b"/>
          <w:sz w:val="24"/>
          <w:lang w:val="pl-PL"/>
        </w:rPr>
        <w:t>https://serwis.powiatowyrejestrcen.pl/zakupy/?identyfikatory=%id%&amp;token=%token%</w:t>
      </w:r>
    </w:p>
    <w:p>
      <w:pPr>
        <w:spacing w:before="25" w:after="0"/>
        <w:ind w:left="0"/>
        <w:jc w:val="both"/>
        <w:textAlignment w:val="auto"/>
      </w:pPr>
      <w:r>
        <w:rPr>
          <w:rFonts w:ascii="Times New Roman"/>
          <w:b w:val="false"/>
          <w:i w:val="false"/>
          <w:color w:val="000000"/>
          <w:sz w:val="24"/>
          <w:lang w:val="pl-PL"/>
        </w:rPr>
        <w:t>gdzie poniższe elementy są zastępowane odpowiednio</w:t>
      </w:r>
    </w:p>
    <w:p>
      <w:pPr>
        <w:spacing w:before="25" w:after="0"/>
        <w:ind w:left="0"/>
        <w:jc w:val="both"/>
        <w:textAlignment w:val="auto"/>
      </w:pPr>
      <w:r>
        <w:rPr>
          <w:rFonts w:ascii="Times New Roman"/>
          <w:b w:val="false"/>
          <w:i w:val="false"/>
          <w:color w:val="000000"/>
          <w:sz w:val="24"/>
          <w:lang w:val="pl-PL"/>
        </w:rPr>
        <w:t>* %id% - rozdzielone przecinkami identyfikatory transakcji przesyłane w odpowiedzi GetFeaturelnfo w polu "lokalnyld"</w:t>
      </w:r>
    </w:p>
    <w:p>
      <w:pPr>
        <w:spacing w:before="25" w:after="0"/>
        <w:ind w:left="0"/>
        <w:jc w:val="both"/>
        <w:textAlignment w:val="auto"/>
      </w:pPr>
      <w:r>
        <w:rPr>
          <w:rFonts w:ascii="Times New Roman"/>
          <w:b w:val="false"/>
          <w:i w:val="false"/>
          <w:color w:val="000000"/>
          <w:sz w:val="24"/>
          <w:lang w:val="pl-PL"/>
        </w:rPr>
        <w:t>* %token% - unikalny token reprezentujący dane zlecenie zakupu, generowany przez serwis geoportal.gov.pl Przykład takiego adresu po uzupełnieniu danych:</w:t>
      </w:r>
    </w:p>
    <w:p>
      <w:pPr>
        <w:spacing w:before="25" w:after="0"/>
        <w:ind w:left="0"/>
        <w:jc w:val="both"/>
        <w:textAlignment w:val="auto"/>
      </w:pPr>
      <w:r>
        <w:rPr>
          <w:rFonts w:ascii="Times New Roman"/>
          <w:b w:val="false"/>
          <w:i w:val="false"/>
          <w:color w:val="1b1b1b"/>
          <w:sz w:val="24"/>
          <w:lang w:val="pl-PL"/>
        </w:rPr>
        <w:t>https://www.powiatrciwn.pl/zakupy/?identyfikatory=l</w:t>
      </w:r>
      <w:r>
        <w:rPr>
          <w:rFonts w:ascii="Times New Roman"/>
          <w:b w:val="false"/>
          <w:i w:val="false"/>
          <w:color w:val="000000"/>
          <w:sz w:val="24"/>
          <w:lang w:val="pl-PL"/>
        </w:rPr>
        <w:t xml:space="preserve"> 2634,22443&amp;token=4512da34ca78a Obsługa zgłoszenia w zakresie płatności, znajduje się po stronie portalu powiatowego.</w:t>
      </w:r>
    </w:p>
    <w:p>
      <w:pPr>
        <w:spacing w:before="25" w:after="0"/>
        <w:ind w:left="0"/>
        <w:jc w:val="both"/>
        <w:textAlignment w:val="auto"/>
      </w:pPr>
      <w:r>
        <w:rPr>
          <w:rFonts w:ascii="Times New Roman"/>
          <w:b w:val="false"/>
          <w:i w:val="false"/>
          <w:color w:val="000000"/>
          <w:sz w:val="24"/>
          <w:lang w:val="pl-PL"/>
        </w:rPr>
        <w:t>10. Strukturę odpowiedzi GetFeaturelnfo w formacie XML określa poniższy schemat aplikacyjny.</w:t>
      </w:r>
    </w:p>
    <w:p>
      <w:pPr>
        <w:spacing w:before="25" w:after="0"/>
        <w:ind w:left="0"/>
        <w:jc w:val="left"/>
        <w:textAlignment w:val="auto"/>
      </w:pPr>
      <w:r>
        <w:rPr>
          <w:rFonts w:ascii="Times New Roman"/>
          <w:b w:val="false"/>
          <w:i w:val="false"/>
          <w:color w:val="1b1b1b"/>
          <w:sz w:val="24"/>
          <w:lang w:val="pl-PL"/>
        </w:rPr>
        <w:t>wzór</w:t>
      </w:r>
    </w:p>
    <w:p>
      <w:pPr>
        <w:spacing w:before="25" w:after="0"/>
        <w:ind w:left="0"/>
        <w:jc w:val="both"/>
        <w:textAlignment w:val="auto"/>
      </w:pPr>
      <w:r>
        <w:rPr>
          <w:rFonts w:ascii="Times New Roman"/>
          <w:b w:val="false"/>
          <w:i w:val="false"/>
          <w:color w:val="000000"/>
          <w:sz w:val="24"/>
          <w:lang w:val="pl-PL"/>
        </w:rPr>
        <w:t>11. Struktura odpowiedzi GetFeature dla usługi WFS jest analogiczna w zakresie atrybutów obiektów jak odpowiedzi GetFeaturelnfo dla usługi WMS.</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imes New Roman" w:hAnsi="Times New Roman" w:eastAsia="Times New Roman" w:cs="Times New Roman" w:asciiTheme="minorHAnsi" w:hAnsiTheme="minorHAnsi" w:eastAsiaTheme="minorHAnsi" w:cstheme="minorBidi"/>
        <w:sz w:val="24"/>
        <w:szCs w:val="22"/>
        <w:lang w:val="pl-PL"/>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pl-PL"/>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png" Type="http://schemas.openxmlformats.org/officeDocument/2006/relationships/image" Id="rId4"/>
    <Relationship Target="media/document_image_rId5.png" Type="http://schemas.openxmlformats.org/officeDocument/2006/relationships/image" Id="rId5"/>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