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77A63">
        <w:rPr>
          <w:rFonts w:ascii="Times New Roman" w:hAnsi="Times New Roman" w:cs="Times New Roman"/>
          <w:b/>
          <w:bCs/>
          <w:color w:val="00000A"/>
          <w:sz w:val="28"/>
          <w:szCs w:val="28"/>
        </w:rPr>
        <w:t>ВВЕДЕНИЕ</w:t>
      </w:r>
    </w:p>
    <w:p w:rsidR="00A77A63" w:rsidRDefault="00A77A63" w:rsidP="00A77A63">
      <w:pPr>
        <w:autoSpaceDE w:val="0"/>
        <w:autoSpaceDN w:val="0"/>
        <w:adjustRightInd w:val="0"/>
        <w:spacing w:after="0"/>
        <w:jc w:val="center"/>
        <w:rPr>
          <w:rFonts w:ascii="Times New Roman,Bold" w:hAnsi="Times New Roman,Bold" w:cs="Times New Roman,Bold"/>
          <w:b/>
          <w:bCs/>
          <w:color w:val="00000A"/>
          <w:sz w:val="28"/>
          <w:szCs w:val="28"/>
        </w:rPr>
      </w:pP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Большинство экспериментальных измерений, выполняемых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над</w:t>
      </w:r>
      <w:proofErr w:type="gramEnd"/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антеннами,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связаны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с определением таких </w:t>
      </w:r>
      <w:r>
        <w:rPr>
          <w:rFonts w:ascii="Times New Roman" w:hAnsi="Times New Roman" w:cs="Times New Roman"/>
          <w:color w:val="00000A"/>
          <w:sz w:val="28"/>
          <w:szCs w:val="28"/>
        </w:rPr>
        <w:t>параметров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антенн как входное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сопротивление, диаграмма направленности антенны в дальней зоне и усиление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антенны. Однако возникают ситуации, когда требуется знать более глубокие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свойства, а именно информацию о распределении тока и заряда на антенне или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информацию распределении поля в ближней зоне, то есть поля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в</w:t>
      </w:r>
      <w:proofErr w:type="gramEnd"/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непосредственной близости от антенны.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Поле в ближней зоне антенны разделяется на «зону индукции» и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«промежуточную зону». Первую зону можно рассматривать как область,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непосредственно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окружающая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антенну, с внешней границей равной обычно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длине волны или меньше. Вторая зона – это область, находящаяся за зоной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индукции, в которой диаграмма излучения зависит от расстояния до антенны.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Эта область обычно распространяется до расстояния </w:t>
      </w:r>
      <w:r>
        <w:rPr>
          <w:rFonts w:ascii="Times New Roman" w:hAnsi="Times New Roman" w:cs="Times New Roman"/>
          <w:color w:val="000000"/>
          <w:sz w:val="29"/>
          <w:szCs w:val="29"/>
        </w:rPr>
        <w:t>2</w:t>
      </w:r>
      <w:r>
        <w:rPr>
          <w:rFonts w:ascii="Times New Roman" w:hAnsi="Times New Roman" w:cs="Times New Roman"/>
          <w:i/>
          <w:iCs/>
          <w:color w:val="000000"/>
          <w:sz w:val="29"/>
          <w:szCs w:val="29"/>
        </w:rPr>
        <w:t>D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2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/ </w:t>
      </w:r>
      <w:r>
        <w:rPr>
          <w:rFonts w:ascii="Symbol" w:hAnsi="Symbol" w:cs="Symbol"/>
          <w:color w:val="000000"/>
          <w:sz w:val="29"/>
          <w:szCs w:val="29"/>
        </w:rPr>
        <w:t></w:t>
      </w:r>
      <w:r>
        <w:rPr>
          <w:rFonts w:ascii="Symbol" w:hAnsi="Symbol" w:cs="Symbol"/>
          <w:color w:val="000000"/>
          <w:sz w:val="29"/>
          <w:szCs w:val="29"/>
        </w:rPr>
        <w:t>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равномерно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облучаемой излучающей апертуры диаметра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D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Эти две области могут представлять разные измерительные задачи.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Измерение распределения тока или поверхностного заряда на поверхности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антенны включает в себя измерение нормальной составляющей электрического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поля и тангенциальной составляющей магнитного поля очень близко к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поверхности антенны. Аналогично, измерение распределения поля в апертуре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обычно выполняется в пределах апертуры или очень близко к ней. Таким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образом, эти измерения обычно выполняются в зоне индукции, и требование,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чтобы они выполнялись в непосредственной близости к антенне, приводит к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использованию очень малых зондов-антенн для измерения поля.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Существует большой класс измерений, которые могут выполняться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на</w:t>
      </w:r>
      <w:proofErr w:type="gramEnd"/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несколько больших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расстояниях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от антенны, но по-прежнему в пределах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промежуточной зоны. К таким измерениям можно отнести, к примеру,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измерения излучения, выполняемые для очень больших апертур или антенных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решеток, когда оказывается невозможным или непрактичным выполнять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измерения на расстояниях достаточно больших, ч</w:t>
      </w:r>
      <w:bookmarkStart w:id="0" w:name="_GoBack"/>
      <w:bookmarkEnd w:id="0"/>
      <w:r>
        <w:rPr>
          <w:rFonts w:ascii="Times New Roman" w:hAnsi="Times New Roman" w:cs="Times New Roman"/>
          <w:color w:val="00000A"/>
          <w:sz w:val="28"/>
          <w:szCs w:val="28"/>
        </w:rPr>
        <w:t>тобы находиться в дальней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зоне.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Для аттестации фазированной антенной решетки (ФАР), как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антенного</w:t>
      </w:r>
      <w:proofErr w:type="gramEnd"/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устройства используются в основном традиционные характеристики –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диаграмма направленности, коэффициент усиления и др. </w:t>
      </w:r>
    </w:p>
    <w:p w:rsidR="0001656D" w:rsidRP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Целью данной работы является исследование источников погрешностей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измерения, возникающих при измерении фазового распределения поля АФАР с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помощью измерительного стенда, разработанного в НИЛ 1.6 БГУИР, и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разработка методики выполнения измерения данной характеристики.</w:t>
      </w:r>
    </w:p>
    <w:sectPr w:rsidR="0001656D" w:rsidRPr="00A77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3B"/>
    <w:rsid w:val="0001656D"/>
    <w:rsid w:val="00240583"/>
    <w:rsid w:val="00562A3B"/>
    <w:rsid w:val="00A77A63"/>
    <w:rsid w:val="00D23BD7"/>
    <w:rsid w:val="00EB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2017-05-07T13:41:00Z</dcterms:created>
  <dcterms:modified xsi:type="dcterms:W3CDTF">2017-05-17T18:25:00Z</dcterms:modified>
</cp:coreProperties>
</file>