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3B" w:rsidRDefault="0076503B">
      <w:r w:rsidRPr="0076503B">
        <w:t>1. Wynik finansowy ustala się na poziomie wyniku netto</w:t>
      </w:r>
      <w:bookmarkStart w:id="0" w:name="_GoBack"/>
      <w:bookmarkEnd w:id="0"/>
    </w:p>
    <w:sectPr w:rsidR="0076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3B"/>
    <w:rsid w:val="0076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88B6D-5F64-4AEC-84DC-D52A3C3B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2020-03-04T19:46:00Z</dcterms:created>
  <dcterms:modified xsi:type="dcterms:W3CDTF">2020-03-04T19:46:00Z</dcterms:modified>
</cp:coreProperties>
</file>