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D5" w:rsidRDefault="000F79D5" w:rsidP="000F79D5">
      <w:bookmarkStart w:id="0" w:name="_GoBack"/>
      <w:r>
        <w:t>METODY WYCENY AKTYWÓW I PASYWÓW</w:t>
      </w:r>
    </w:p>
    <w:bookmarkEnd w:id="0"/>
    <w:p w:rsidR="000F79D5" w:rsidRDefault="000F79D5" w:rsidP="000F79D5">
      <w:r>
        <w:t xml:space="preserve">Spółka dokonuje wyceny aktywów i pasywów zgodnie z postanowieniami Ustawy o rachunkowości przy założeniu, że Spółka będzie kontynuowała działalność gospodarczą, w oparciu o poniższe zasady stosowane w sposób ciągły:  </w:t>
      </w:r>
    </w:p>
    <w:p w:rsidR="000F79D5" w:rsidRDefault="000F79D5" w:rsidP="000F79D5">
      <w:r>
        <w:t>1. ŚRODKI TRWAŁE I WARTOŚCI NIEMATERIALNE I PRAWNE</w:t>
      </w:r>
    </w:p>
    <w:p w:rsidR="000F79D5" w:rsidRDefault="000F79D5" w:rsidP="000F79D5">
      <w:r>
        <w:t>Środki trwałe ujmowane są według ceny nabycia lub kosztów wytworzenia. W przypadku trwałej utraty wartości dokonywane są odpisy z tytułu trwałej utraty wartości. Środki trwałe amortyzowane są metodą liniową według  stawek  KŚT (Klasyfikacji Środków Trwałych) Amortyzacja środków trwałych o wartości nieprzekraczającej 10 000 zł odpisywana jest jednorazowo w koszty w miesiącu przekazania do użytkowania.</w:t>
      </w:r>
    </w:p>
    <w:p w:rsidR="000F79D5" w:rsidRDefault="000F79D5" w:rsidP="000F79D5">
      <w:r>
        <w:t xml:space="preserve">Środki trwałe w budowie wyceniane są w wysokości ogółu kosztów pozostających w bezpośrednim związku z ich nabyciem lub wytworzeniem, w tym również kosztów finansowania zewnętrznego pomniejszonych o odpisy z tytułu trwałej utraty wartości. </w:t>
      </w:r>
    </w:p>
    <w:p w:rsidR="000F79D5" w:rsidRDefault="000F79D5" w:rsidP="000F79D5">
      <w:r>
        <w:t xml:space="preserve">Spółka jako „mały podatnik” ma prawo do  korzystania z amortyzacji jednorazowej w ramach pomocy „de </w:t>
      </w:r>
      <w:proofErr w:type="spellStart"/>
      <w:r>
        <w:t>minimis</w:t>
      </w:r>
      <w:proofErr w:type="spellEnd"/>
      <w:r>
        <w:t>”.</w:t>
      </w:r>
    </w:p>
    <w:p w:rsidR="000F79D5" w:rsidRDefault="000F79D5" w:rsidP="000F79D5">
      <w:r>
        <w:t>Wartości niematerialne i prawne wyceniane są według cen nabycia lub kosztów wytworzenia, pomniejszonych o odpisy amortyzacyjne lub umorzeniowe, a także o odpisy z tytułu trwałej utraty wartości. Wartości niematerialne i prawne amortyzowane są metodą liniową według następujących stawek:</w:t>
      </w:r>
    </w:p>
    <w:p w:rsidR="000F79D5" w:rsidRDefault="000F79D5" w:rsidP="000F79D5">
      <w:r>
        <w:t>Amortyzacja wartości niematerialnych i prawnych o wartości do 10.000 zł :</w:t>
      </w:r>
    </w:p>
    <w:p w:rsidR="000F79D5" w:rsidRDefault="000F79D5" w:rsidP="000F79D5">
      <w:r>
        <w:t xml:space="preserve">zastosować amortyzację jednorazową i tym samym ująć odpis amortyzacyjny w miesiącu przyjęcia </w:t>
      </w:r>
      <w:proofErr w:type="spellStart"/>
      <w:r>
        <w:t>WNiP</w:t>
      </w:r>
      <w:proofErr w:type="spellEnd"/>
      <w:r>
        <w:t xml:space="preserve"> do użytkowania</w:t>
      </w:r>
    </w:p>
    <w:p w:rsidR="000F79D5" w:rsidRDefault="000F79D5" w:rsidP="000F79D5"/>
    <w:p w:rsidR="000F79D5" w:rsidRDefault="000F79D5" w:rsidP="000F79D5">
      <w:r>
        <w:t>Amortyzacja wartości niematerialnych i prawnych o wartości powyżej 10.000 zł :</w:t>
      </w:r>
    </w:p>
    <w:p w:rsidR="000F79D5" w:rsidRDefault="000F79D5" w:rsidP="000F79D5">
      <w:r>
        <w:t>licencji (sublicencji) na programy komputerowe oraz od praw autorskich - 24 miesiące (max. roczna stawka amortyzacji 50%);</w:t>
      </w:r>
    </w:p>
    <w:p w:rsidR="000F79D5" w:rsidRDefault="000F79D5" w:rsidP="000F79D5">
      <w:r>
        <w:t>licencji na wyświetlanie filmów oraz na emisję programów radiowych i telewizyjnych - 24 miesiące (max. roczna stawka amortyzacji 50%);</w:t>
      </w:r>
    </w:p>
    <w:p w:rsidR="000F79D5" w:rsidRDefault="000F79D5" w:rsidP="000F79D5">
      <w:r>
        <w:t>poniesionych kosztów zakończonych prac rozwojowych - 12 miesięcy;</w:t>
      </w:r>
    </w:p>
    <w:p w:rsidR="000F79D5" w:rsidRDefault="000F79D5" w:rsidP="000F79D5">
      <w:r>
        <w:t>pozostałych wartości niematerialnych i prawnych - 60 miesięcy (max. roczna stawka amortyzacji 20%).</w:t>
      </w:r>
    </w:p>
    <w:p w:rsidR="000F79D5" w:rsidRDefault="000F79D5" w:rsidP="000F79D5">
      <w:r>
        <w:t xml:space="preserve">Środki trwałe i wartości niematerialne i prawne o wartości równej lub niższej niż 3.500,00 zł są amortyzowane jednorazowo w momencie oddania do użytkowania. </w:t>
      </w:r>
    </w:p>
    <w:p w:rsidR="000F79D5" w:rsidRDefault="000F79D5" w:rsidP="000F79D5">
      <w:r>
        <w:t>Odpisy z tytułu trwałej utraty wartości środków trwałych, środków trwałych w budowie oraz wartości niematerialnych i prawnych dokonywane są w ciężar pozostałych kosztów operacyjnych.</w:t>
      </w:r>
    </w:p>
    <w:p w:rsidR="000F79D5" w:rsidRDefault="000F79D5" w:rsidP="000F79D5"/>
    <w:p w:rsidR="000F79D5" w:rsidRDefault="000F79D5" w:rsidP="000F79D5">
      <w:r>
        <w:t>2. RZECZOWE SKŁADNIKI AKTYWÓW OBROTOWYCH</w:t>
      </w:r>
    </w:p>
    <w:p w:rsidR="000F79D5" w:rsidRDefault="000F79D5" w:rsidP="000F79D5">
      <w:r>
        <w:lastRenderedPageBreak/>
        <w:t>Wycena metodą cen przeciętnych, tak zwaną metoda AVCO. Polega ona na ustaleniu wysokości średniej ważonej cen (kosztów) danego składnika aktywów.</w:t>
      </w:r>
    </w:p>
    <w:p w:rsidR="000F79D5" w:rsidRDefault="000F79D5" w:rsidP="000F79D5"/>
    <w:p w:rsidR="000F79D5" w:rsidRDefault="000F79D5" w:rsidP="000F79D5">
      <w:r>
        <w:t>3. NALEŻNOŚCI</w:t>
      </w:r>
    </w:p>
    <w:p w:rsidR="000F79D5" w:rsidRDefault="000F79D5" w:rsidP="000F79D5">
      <w:r>
        <w:t>Należności wycenia się w kwocie wymaganej zapłaty, z zachowaniem zasady ostrożnej wyceny i wykazuje w wartości netto po pomniejszeniu o odpisy aktualizujące.</w:t>
      </w:r>
    </w:p>
    <w:p w:rsidR="000F79D5" w:rsidRDefault="000F79D5" w:rsidP="000F79D5">
      <w:r>
        <w:t>Należności w walucie obcej wycenia się przy pierwszym ujęciu używając średniego kursu NBP z dnia poprzedzającego dzień wystawienia faktury, chyba że w zgłoszeniu celnym lub innym wiążącym Spółkę dokumencie ustalono inny kurs wymiany. Na dzień bilansowy należności walutowe wyceniane są po średnim kursie NBP ogłaszanym w tym dniu.</w:t>
      </w:r>
    </w:p>
    <w:p w:rsidR="000F79D5" w:rsidRDefault="000F79D5" w:rsidP="000F79D5">
      <w:r>
        <w:t>Wartość należności podlega aktualizacji wyceny przy uwzględnieniu stopnia prawdopodobieństwa ich zapłaty poprzez dokonanie odpisu aktualizującego.</w:t>
      </w:r>
    </w:p>
    <w:p w:rsidR="000F79D5" w:rsidRDefault="000F79D5" w:rsidP="000F79D5">
      <w:r>
        <w:t xml:space="preserve">Różnice kursowe od należności wyrażanych w walutach obcych ujmuje się w księgach rachunkowych na dzień ich zapłaty oraz na dzień ich wyceny odpowiednio: ujemne do kosztów finansowych a dodatnie do przychodów finansowych.  </w:t>
      </w:r>
    </w:p>
    <w:p w:rsidR="000F79D5" w:rsidRDefault="000F79D5" w:rsidP="000F79D5"/>
    <w:p w:rsidR="000F79D5" w:rsidRDefault="000F79D5" w:rsidP="000F79D5"/>
    <w:p w:rsidR="000F79D5" w:rsidRDefault="000F79D5" w:rsidP="000F79D5">
      <w:r>
        <w:t>4. INWESTYCJE KRÓTKOTERMINOWE</w:t>
      </w:r>
    </w:p>
    <w:p w:rsidR="000F79D5" w:rsidRDefault="000F79D5" w:rsidP="000F79D5">
      <w:r>
        <w:t xml:space="preserve">Krótkoterminowe inwestycje finansowe ujmuje się w księgach rachunkowych według ceny nabycia lub kosztów zakupu jeżeli koszty przeprowadzenia transakcji zakupu są nieistotne. </w:t>
      </w:r>
    </w:p>
    <w:p w:rsidR="000F79D5" w:rsidRDefault="000F79D5" w:rsidP="000F79D5"/>
    <w:p w:rsidR="000F79D5" w:rsidRDefault="000F79D5" w:rsidP="000F79D5">
      <w:r>
        <w:t>5. ŚRODKI PIENIĘŻNE</w:t>
      </w:r>
    </w:p>
    <w:p w:rsidR="000F79D5" w:rsidRDefault="000F79D5" w:rsidP="000F79D5">
      <w:r>
        <w:t xml:space="preserve">Środki pieniężne wykazuje się w wartości nominalnej.  </w:t>
      </w:r>
    </w:p>
    <w:p w:rsidR="000F79D5" w:rsidRDefault="000F79D5" w:rsidP="000F79D5">
      <w:r>
        <w:t xml:space="preserve">Środki pieniężne wyrażone w walutach obcych na dzień bilansowy wycenia się po obowiązującym na ten dzień kursie średnim ustalonym dla danej waluty przez NBP. </w:t>
      </w:r>
    </w:p>
    <w:p w:rsidR="000F79D5" w:rsidRDefault="000F79D5" w:rsidP="000F79D5">
      <w:r>
        <w:t xml:space="preserve">Różnice kursowe powstałe w związku z wyceną na dzień bilansowy środków pieniężnych wyrażonych w walutach obcych zarachowuje się odpowiednio na przychody lub koszty finansowe. </w:t>
      </w:r>
    </w:p>
    <w:p w:rsidR="000F79D5" w:rsidRDefault="000F79D5" w:rsidP="000F79D5"/>
    <w:p w:rsidR="000F79D5" w:rsidRDefault="000F79D5" w:rsidP="000F79D5">
      <w:r>
        <w:t>6. ROZLICZENIA MIĘDZYOKRESOWE CZYNNE</w:t>
      </w:r>
    </w:p>
    <w:p w:rsidR="000F79D5" w:rsidRDefault="000F79D5" w:rsidP="000F79D5">
      <w:r>
        <w:t xml:space="preserve">Rozliczenia międzyokresowe czynne dokonywane są, jeżeli koszty poniesione dotyczą przyszłych okresów sprawozdawczych. </w:t>
      </w:r>
    </w:p>
    <w:p w:rsidR="000F79D5" w:rsidRDefault="000F79D5" w:rsidP="000F79D5">
      <w:r>
        <w:t xml:space="preserve">Odpisy czynnych rozliczeń międzyokresowych kosztów następują stosowanie do upływu czasu i sposób rozliczenia jest uzasadniony charakterem rozliczanych kosztów, z zachowaniem zasady ostrożnej wyceny. </w:t>
      </w:r>
    </w:p>
    <w:p w:rsidR="000F79D5" w:rsidRDefault="000F79D5" w:rsidP="000F79D5"/>
    <w:p w:rsidR="000F79D5" w:rsidRDefault="000F79D5" w:rsidP="000F79D5">
      <w:r>
        <w:t>7. KAPITAŁY WŁASNE</w:t>
      </w:r>
    </w:p>
    <w:p w:rsidR="000F79D5" w:rsidRDefault="000F79D5" w:rsidP="000F79D5">
      <w:r>
        <w:lastRenderedPageBreak/>
        <w:t>Kapitały własne ujmuje się w księgach rachunkowych w wartości nominalnej według ich rodzajów i zasad określonych przepisami prawa i Umowy Spółki.</w:t>
      </w:r>
    </w:p>
    <w:p w:rsidR="000F79D5" w:rsidRDefault="000F79D5" w:rsidP="000F79D5"/>
    <w:p w:rsidR="000F79D5" w:rsidRDefault="000F79D5" w:rsidP="000F79D5"/>
    <w:p w:rsidR="000F79D5" w:rsidRDefault="000F79D5" w:rsidP="000F79D5">
      <w:r>
        <w:t>8. ZOBOWIĄZANIA</w:t>
      </w:r>
    </w:p>
    <w:p w:rsidR="000F79D5" w:rsidRDefault="000F79D5" w:rsidP="000F79D5">
      <w:r>
        <w:t>Na dzień powstania zobowiązania ujmuje się według wartości nominalnej. Na dzień bilansowy zobowiązania wycenia się w kwocie wymagającej zapłaty.</w:t>
      </w:r>
    </w:p>
    <w:p w:rsidR="000F79D5" w:rsidRDefault="000F79D5" w:rsidP="000F79D5">
      <w:r>
        <w:t xml:space="preserve">Zobowiązania wyrażone w walutach obcych wycenia się na dzień bilansowy po kursie średnim ustalonym dla danej waluty przez Narodowy Bank Polski na ten dzień. Różnice kursowe dotyczące zobowiązań wyrażonych w walutach obcych powstałe na dzień wyceny i przy uregulowaniu zalicza się odpowiednio do kosztów finansowych lub do przychodów finansowych. </w:t>
      </w:r>
    </w:p>
    <w:p w:rsidR="000F79D5" w:rsidRDefault="000F79D5" w:rsidP="000F79D5"/>
    <w:p w:rsidR="000F79D5" w:rsidRDefault="000F79D5" w:rsidP="000F79D5">
      <w:r>
        <w:t>9. ROZLICZENIA MIĘDZYOKRESOWE KOSZTÓW BIERNE</w:t>
      </w:r>
    </w:p>
    <w:p w:rsidR="000F79D5" w:rsidRDefault="000F79D5" w:rsidP="000F79D5">
      <w:r>
        <w:t xml:space="preserve">Bierne rozliczenia międzyokresowe kosztów dokonywane są w wysokości prawdopodobnych zobowiązań przypadających na bieżący okres sprawozdawczy, wynikających w szczególności: </w:t>
      </w:r>
    </w:p>
    <w:p w:rsidR="000F79D5" w:rsidRDefault="000F79D5" w:rsidP="000F79D5">
      <w:r>
        <w:t>- ze świadczeń wykonanych na rzecz jednostki przez kontrahentów jednostki, gdy kwotę zobowiązania można oszacować w sposób wiarygodny,</w:t>
      </w:r>
    </w:p>
    <w:p w:rsidR="000F79D5" w:rsidRDefault="000F79D5" w:rsidP="000F79D5">
      <w:r>
        <w:t xml:space="preserve">- z obowiązku wykonania, związanych z bieżącą działalnością, przyszłych świadczeń wobec nieznanych osób, których kwotę można oszacować, mimo że data powstania zobowiązania nie jest jeszcze znana, w tym z tytułu napraw gwarancyjnych i rękojmi za sprzedane produkty długotrwałego użytku. </w:t>
      </w:r>
    </w:p>
    <w:p w:rsidR="000F79D5" w:rsidRDefault="000F79D5" w:rsidP="000F79D5">
      <w:r>
        <w:t xml:space="preserve">Odpisy biernych rozliczeń międzyokresowych kosztów następują stosownie do upływu czasu. Czas i sposób rozliczenia jest uzasadniony charakterem rozliczanych kosztów, z zachowaniem zasady ostrożności. </w:t>
      </w:r>
    </w:p>
    <w:p w:rsidR="000F79D5" w:rsidRDefault="000F79D5" w:rsidP="000F79D5"/>
    <w:p w:rsidR="000F79D5" w:rsidRDefault="000F79D5" w:rsidP="000F79D5"/>
    <w:p w:rsidR="000F79D5" w:rsidRDefault="000F79D5" w:rsidP="000F79D5"/>
    <w:p w:rsidR="000F79D5" w:rsidRDefault="000F79D5" w:rsidP="000F79D5"/>
    <w:p w:rsidR="000F79D5" w:rsidRDefault="000F79D5" w:rsidP="000F79D5"/>
    <w:p w:rsidR="000F79D5" w:rsidRDefault="000F79D5" w:rsidP="000F79D5">
      <w:r>
        <w:t>10. PRZYCHODY I KOSZTY</w:t>
      </w:r>
    </w:p>
    <w:p w:rsidR="000F79D5" w:rsidRDefault="000F79D5" w:rsidP="000F79D5">
      <w:r>
        <w:t xml:space="preserve">Przychody i koszty są rozpoznawane według zasady memoriałowej, tj. w okresach których dotyczą, niezależnie od daty otrzymania lub dokonania płatności. Dla zapewnienia współmierności przychodów i związanych z nimi kosztów do aktywów lub pasywów danego okresu sprawozdawczego zaliczane będą koszty lub przychody dotyczące przyszłych okresów oraz przypadające na ten okres sprawozdawczy koszty, które jeszcze nie zostały poniesione. </w:t>
      </w:r>
    </w:p>
    <w:p w:rsidR="000F79D5" w:rsidRDefault="000F79D5" w:rsidP="000F79D5">
      <w:r>
        <w:t>Spółka prowadzi ewidencję kosztów w układzie rodzajowym oraz sporządza porównawczy wariant rachunku zysków i strat.</w:t>
      </w:r>
    </w:p>
    <w:p w:rsidR="000F79D5" w:rsidRDefault="000F79D5" w:rsidP="000F79D5"/>
    <w:p w:rsidR="000F79D5" w:rsidRDefault="000F79D5" w:rsidP="000F79D5">
      <w:r>
        <w:t>11. WYCENA TRANSKACJI W WALUTACH OBCYCH</w:t>
      </w:r>
    </w:p>
    <w:p w:rsidR="000F79D5" w:rsidRDefault="000F79D5" w:rsidP="000F79D5">
      <w:r>
        <w:t>Wyrażone w walutach obcych operacje gospodarcze ujmuje się w księgach rachunkowych na dzień ich przeprowadzenia odpowiednio po kursie:</w:t>
      </w:r>
    </w:p>
    <w:p w:rsidR="000F79D5" w:rsidRDefault="000F79D5" w:rsidP="000F79D5">
      <w:r>
        <w:t>art. 31a ust. 1 ustawy o podatku od towarów i usług. Zgodnie z jego treścią w przypadku, gdy kwoty stosowane do określenia podstawy opodatkowania są określone w walucie obcej, przeliczenia na złote dokonuje się według:</w:t>
      </w:r>
    </w:p>
    <w:p w:rsidR="000F79D5" w:rsidRDefault="000F79D5" w:rsidP="000F79D5">
      <w:r>
        <w:t>kursu średniego danej waluty obcej ogłoszonego przez Narodowy Bank Polski na ostatni dzień roboczy poprzedzający dzień powstania obowiązku podatkowego lub</w:t>
      </w:r>
    </w:p>
    <w:p w:rsidR="000F79D5" w:rsidRDefault="000F79D5" w:rsidP="000F79D5">
      <w:r>
        <w:t>ostatniego kursu wymiany opublikowanego przez Europejski Bank Centralny na ostatni dzień poprzedzający dzień powstania obowiązku podatkowego (w przypadku waluty innej niż euro przelicza się z zastosowaniem kursu wymiany każdej z nich względem euro).</w:t>
      </w:r>
    </w:p>
    <w:p w:rsidR="000F79D5" w:rsidRDefault="000F79D5" w:rsidP="000F79D5">
      <w:r>
        <w:t>Brak pozycji w walucie obcej do wyceny bilansowej na dzień 31 grudnia 2018 roku</w:t>
      </w:r>
    </w:p>
    <w:p w:rsidR="000F79D5" w:rsidRDefault="000F79D5" w:rsidP="000F79D5"/>
    <w:p w:rsidR="000F79D5" w:rsidRDefault="000F79D5" w:rsidP="000F79D5">
      <w:r>
        <w:t>12 Wynik finansowy</w:t>
      </w:r>
    </w:p>
    <w:p w:rsidR="000F79D5" w:rsidRDefault="000F79D5" w:rsidP="000F79D5">
      <w:r>
        <w:t>1. Wynik finansowy ustala się na poziomie wyniku netto.</w:t>
      </w:r>
    </w:p>
    <w:p w:rsidR="000F79D5" w:rsidRDefault="000F79D5"/>
    <w:sectPr w:rsidR="000F7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D5"/>
    <w:rsid w:val="000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A23F"/>
  <w15:chartTrackingRefBased/>
  <w15:docId w15:val="{3C98660B-8A38-4EAF-B617-752BD6BB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6395</Characters>
  <Application>Microsoft Office Word</Application>
  <DocSecurity>0</DocSecurity>
  <Lines>53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2020-03-04T19:43:00Z</dcterms:created>
  <dcterms:modified xsi:type="dcterms:W3CDTF">2020-03-04T19:43:00Z</dcterms:modified>
</cp:coreProperties>
</file>