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83F53"/>
          <w:sz w:val="60"/>
        </w:rPr>
        <w:t>BIOINFORMATYKA</w:t>
        <w:br/>
        <w:t>W PROTEOMICE</w:t>
      </w:r>
    </w:p>
    <w:p>
      <w:pPr>
        <w:spacing w:before="360"/>
        <w:jc w:val="center"/>
      </w:pPr>
      <w:r>
        <w:rPr>
          <w:b/>
          <w:color w:val="24576E"/>
          <w:sz w:val="36"/>
        </w:rPr>
        <w:t>Pełny skrypt do nauki</w:t>
      </w:r>
    </w:p>
    <w:p>
      <w:pPr>
        <w:spacing w:before="700"/>
        <w:jc w:val="center"/>
      </w:pPr>
      <w:r>
        <w:rPr>
          <w:i/>
        </w:rPr>
        <w:t>Na podstawie podręcznika „Bioinformatyka w proteomice”, wersja 2025/26_2</w:t>
        <w:br/>
      </w:r>
      <w:r>
        <w:t>Układ: definicje • procesy • narzędzia • pułapki • pytania kontrolne</w:t>
      </w:r>
    </w:p>
    <w:p>
      <w:r>
        <w:br w:type="page"/>
      </w:r>
    </w:p>
    <w:p>
      <w:pPr>
        <w:pStyle w:val="Heading1"/>
      </w:pPr>
      <w:r>
        <w:t>Spis treści</w:t>
      </w:r>
    </w:p>
    <w:p>
      <w:r>
        <w:t>Jak korzystać ze skryptu</w:t>
      </w:r>
    </w:p>
    <w:p>
      <w:r>
        <w:t>1. Podstawy proteomiki i białek (podręcznik: s. 7-19)</w:t>
      </w:r>
    </w:p>
    <w:p>
      <w:r>
        <w:t>2. Bazy danych białkowych (podręcznik: s. 20-23)</w:t>
      </w:r>
    </w:p>
    <w:p>
      <w:r>
        <w:t>3. Formaty danych i przetwarzanie danych surowych (podręcznik: s. 24-30)</w:t>
      </w:r>
    </w:p>
    <w:p>
      <w:r>
        <w:t>4. Identyfikacja białek (podręcznik: s. 31-39)</w:t>
      </w:r>
    </w:p>
    <w:p>
      <w:r>
        <w:t>5. Kwantyfikacja białek (podręcznik: s. 40-46)</w:t>
      </w:r>
    </w:p>
    <w:p>
      <w:r>
        <w:t>6. Modyfikacje potranslacyjne (PTM) (podręcznik: s. 47-52)</w:t>
      </w:r>
    </w:p>
    <w:p>
      <w:r>
        <w:t>7. Interakcje i sieci białkowe (podręcznik: s. 53-57)</w:t>
      </w:r>
    </w:p>
    <w:p>
      <w:r>
        <w:t>8. Struktura białek: eksperyment i predykcja (podręcznik: s. 58-66)</w:t>
      </w:r>
    </w:p>
    <w:p>
      <w:r>
        <w:t>9. Uczenie maszynowe w proteomice (podręcznik: s. 67-70)</w:t>
      </w:r>
    </w:p>
    <w:p>
      <w:r>
        <w:t>10. Wizualizacja danych proteomicznych (podręcznik: s. 71-79)</w:t>
      </w:r>
    </w:p>
    <w:p>
      <w:r>
        <w:t>11. Integracja proteomiki z NGS (podręcznik: s. 80-84)</w:t>
      </w:r>
    </w:p>
    <w:p>
      <w:r>
        <w:t>12. Dalsza nauka i rozwój (podręcznik: s. 85-88)</w:t>
      </w:r>
    </w:p>
    <w:p>
      <w:r>
        <w:t>Zadania projektowe</w:t>
      </w:r>
    </w:p>
    <w:p>
      <w:r>
        <w:t>Lista kontrolna przed testem</w:t>
      </w:r>
    </w:p>
    <w:p>
      <w:r>
        <w:br w:type="page"/>
      </w:r>
    </w:p>
    <w:p>
      <w:pPr>
        <w:pStyle w:val="Heading1"/>
      </w:pPr>
      <w:r>
        <w:t>Jak korzystać ze skryptu</w:t>
      </w:r>
    </w:p>
    <w:p>
      <w:r>
        <w:t>Skrypt porządkuje materiał źródłowy bez rozszerzania go o zewnętrzne informacje. Najpierw przeczytaj „Sedno rozdziału”, następnie przeanalizuj tabelę pojęć i pułapki. Na końcu odpowiedz ustnie na pytania kontrolne. Oryginalny podręcznik pozostaje źródłem zadań praktycznych, ilustracji i szczegółowych instrukcji.</w:t>
      </w:r>
    </w:p>
    <w:p>
      <w:pPr>
        <w:pStyle w:val="Zapamiętaj"/>
      </w:pPr>
      <w:r>
        <w:t>Najważniejszy ogólny przepływ analizy:</w:t>
      </w:r>
    </w:p>
    <w:p>
      <w:pPr>
        <w:jc w:val="center"/>
      </w:pPr>
      <w:r>
        <w:rPr>
          <w:b/>
          <w:sz w:val="22"/>
        </w:rPr>
        <w:t>próbka biologiczna → przygotowanie i rozdział → pomiar → dane surowe → identyfikacja → kwantyfikacja/PTM → integracja i wizualizacja → wniosek biologiczny</w:t>
      </w:r>
    </w:p>
    <w:p>
      <w:r>
        <w:br w:type="page"/>
      </w:r>
    </w:p>
    <w:p>
      <w:pPr>
        <w:pStyle w:val="Heading1"/>
      </w:pPr>
      <w:r>
        <w:t>1. Podstawy proteomiki i białek</w:t>
      </w:r>
    </w:p>
    <w:p>
      <w:r>
        <w:rPr>
          <w:i/>
        </w:rPr>
        <w:t>Zakres w podręczniku: strony 7-19</w:t>
      </w:r>
    </w:p>
    <w:p>
      <w:pPr>
        <w:pStyle w:val="Heading2"/>
      </w:pPr>
      <w:r>
        <w:t>Cele nauki</w:t>
      </w:r>
    </w:p>
    <w:p>
      <w:pPr>
        <w:pStyle w:val="ListBullet"/>
      </w:pPr>
      <w:r>
        <w:t>Wyjaśnić różnicę między białkiem, proteomem i proteomiką.</w:t>
      </w:r>
    </w:p>
    <w:p>
      <w:pPr>
        <w:pStyle w:val="ListBullet"/>
      </w:pPr>
      <w:r>
        <w:t>Rozpoznawać poziomy organizacji struktury białka i podstawowe parametry fizykochemiczne.</w:t>
      </w:r>
    </w:p>
    <w:p>
      <w:pPr>
        <w:pStyle w:val="ListBullet"/>
      </w:pPr>
      <w:r>
        <w:t>Rozróżniać metody globalnej analizy proteomu od metod skupionych na pojedynczym białku.</w:t>
      </w:r>
    </w:p>
    <w:p>
      <w:pPr>
        <w:pStyle w:val="Heading2"/>
      </w:pPr>
      <w:r>
        <w:t>Sedno rozdziału</w:t>
      </w:r>
    </w:p>
    <w:p>
      <w:pPr>
        <w:pStyle w:val="Heading3"/>
      </w:pPr>
      <w:r>
        <w:t>Od biochemii do bioinformatyki proteomicznej</w:t>
      </w:r>
    </w:p>
    <w:p>
      <w:r>
        <w:t>Proteomika powstała wraz z rozwojem metod badania białek, spektrometrii mas oraz mocy obliczeniowej. Jej przedmiotem nie jest wyłącznie pojedyncza cząsteczka, lecz całe zestawy białek obecne w określonej komórce, tkance lub organizmie w danym czasie i warunkach.</w:t>
      </w:r>
    </w:p>
    <w:p>
      <w:pPr>
        <w:pStyle w:val="Heading3"/>
      </w:pPr>
      <w:r>
        <w:t>Białko i enzym</w:t>
      </w:r>
    </w:p>
    <w:p>
      <w:r>
        <w:t>Białko jest biopolimerem aminokwasowym, który pełni funkcję biologiczną po uzyskaniu właściwego kształtu przestrzennego. Nie każde białko jest enzymem. Enzym jest szczególnym rodzajem białka katalizującym reakcję biochemiczną bez trwałego zużycia własnej struktury.</w:t>
      </w:r>
    </w:p>
    <w:p>
      <w:pPr>
        <w:pStyle w:val="Heading3"/>
      </w:pPr>
      <w:r>
        <w:t>Centralny dogmat</w:t>
      </w:r>
    </w:p>
    <w:p>
      <w:r>
        <w:t>Informacja o sekwencji białka jest zapisana w DNA, przepisywana na mRNA, a następnie tłumaczona przez rybosom na sekwencję aminokwasów. Sam polipeptyd zwykle nie wystarcza do uzyskania pełnej funkcji: potrzebne są fałdowanie, czasem kofaktory oraz obróbka potranslacyjna.</w:t>
      </w:r>
    </w:p>
    <w:p>
      <w:pPr>
        <w:pStyle w:val="Heading3"/>
      </w:pPr>
      <w:r>
        <w:t>Poziomy struktury</w:t>
      </w:r>
    </w:p>
    <w:p>
      <w:r>
        <w:t>Struktura pierwszorzędowa to sekwencja aminokwasów. Drugorzędowa obejmuje lokalne elementy, głównie alfa-helisy i beta-kartki. Trzeciorzędowa opisuje trójwymiarowe ułożenie jednego łańcucha, a czwartorzędowa - organizację kilku podjednostek w kompleks.</w:t>
      </w:r>
    </w:p>
    <w:p>
      <w:pPr>
        <w:pStyle w:val="Heading3"/>
      </w:pPr>
      <w:r>
        <w:t>Kofaktory</w:t>
      </w:r>
    </w:p>
    <w:p>
      <w:r>
        <w:t>Cząsteczka niebiałkowa konieczna do aktywności enzymu jest kofaktorem. Kofaktor trwale związany to grupa prostetyczna, nietrwale związany - koenzym. Apoenzym wraz z kofaktorem tworzy aktywny holoenzym.</w:t>
      </w:r>
    </w:p>
    <w:p>
      <w:pPr>
        <w:pStyle w:val="Heading3"/>
      </w:pPr>
      <w:r>
        <w:t>Proteom i proteomika</w:t>
      </w:r>
    </w:p>
    <w:p>
      <w:r>
        <w:t>Proteom jest pełnym zestawem białek występujących w określonym układzie biologicznym, czasie i warunkach. W przeciwieństwie do względnie stałego genomu jest dynamiczny. Proteomika obejmuje identyfikację białek, ich charakterystykę strukturalną i funkcjonalną, analizę ilościową oraz badanie interakcji.</w:t>
      </w:r>
    </w:p>
    <w:p>
      <w:pPr>
        <w:pStyle w:val="Heading3"/>
      </w:pPr>
      <w:r>
        <w:t>Techniki globalne i ukierunkowane</w:t>
      </w:r>
    </w:p>
    <w:p>
      <w:r>
        <w:t>Do metod globalnych należą 2D-PAGE, spektrometria mas, chromatografia cieczowa, mikromacierze białkowe i analiza bioinformatyczna. Do metod ukierunkowanych zaliczono Western blot, ELISA, immunoprecypitację, heterologiczną ekspresję, chromatografię oczyszczającą, krystalografię, NMR, Cryo-EM, spektroskopię Ramana i FTIR.</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Sekwencja</w:t>
            </w:r>
          </w:p>
        </w:tc>
        <w:tc>
          <w:tcPr>
            <w:tcW w:type="dxa" w:w="5100"/>
            <w:vAlign w:val="center"/>
          </w:tcPr>
          <w:p>
            <w:pPr>
              <w:spacing w:after="0"/>
            </w:pPr>
            <w:r/>
            <w:r>
              <w:rPr>
                <w:b w:val="0"/>
                <w:sz w:val="18"/>
              </w:rPr>
              <w:t>Zapis jedno- lub trzyliterowy, od N-końca do C-końca.</w:t>
            </w:r>
          </w:p>
        </w:tc>
      </w:tr>
      <w:tr>
        <w:tc>
          <w:tcPr>
            <w:tcW w:type="dxa" w:w="5100"/>
            <w:vAlign w:val="center"/>
          </w:tcPr>
          <w:p>
            <w:pPr>
              <w:spacing w:after="0"/>
            </w:pPr>
            <w:r/>
            <w:r>
              <w:rPr>
                <w:b/>
                <w:sz w:val="18"/>
              </w:rPr>
              <w:t>Masa molekularna</w:t>
            </w:r>
          </w:p>
        </w:tc>
        <w:tc>
          <w:tcPr>
            <w:tcW w:type="dxa" w:w="5100"/>
            <w:vAlign w:val="center"/>
          </w:tcPr>
          <w:p>
            <w:pPr>
              <w:spacing w:after="0"/>
            </w:pPr>
            <w:r/>
            <w:r>
              <w:rPr>
                <w:b w:val="0"/>
                <w:sz w:val="18"/>
              </w:rPr>
              <w:t>Najczęściej podawana w Da, kDa lub MDa.</w:t>
            </w:r>
          </w:p>
        </w:tc>
      </w:tr>
      <w:tr>
        <w:tc>
          <w:tcPr>
            <w:tcW w:type="dxa" w:w="5100"/>
            <w:vAlign w:val="center"/>
          </w:tcPr>
          <w:p>
            <w:pPr>
              <w:spacing w:after="0"/>
            </w:pPr>
            <w:r/>
            <w:r>
              <w:rPr>
                <w:b/>
                <w:sz w:val="18"/>
              </w:rPr>
              <w:t>Współczynnik absorpcji</w:t>
            </w:r>
          </w:p>
        </w:tc>
        <w:tc>
          <w:tcPr>
            <w:tcW w:type="dxa" w:w="5100"/>
            <w:vAlign w:val="center"/>
          </w:tcPr>
          <w:p>
            <w:pPr>
              <w:spacing w:after="0"/>
            </w:pPr>
            <w:r/>
            <w:r>
              <w:rPr>
                <w:b w:val="0"/>
                <w:sz w:val="18"/>
              </w:rPr>
              <w:t>Zależy od składu aminokwasowego i służy m.in. do wyznaczania stężenia.</w:t>
            </w:r>
          </w:p>
        </w:tc>
      </w:tr>
      <w:tr>
        <w:tc>
          <w:tcPr>
            <w:tcW w:type="dxa" w:w="5100"/>
            <w:vAlign w:val="center"/>
          </w:tcPr>
          <w:p>
            <w:pPr>
              <w:spacing w:after="0"/>
            </w:pPr>
            <w:r/>
            <w:r>
              <w:rPr>
                <w:b/>
                <w:sz w:val="18"/>
              </w:rPr>
              <w:t>Punkt izoelektryczny (pI)</w:t>
            </w:r>
          </w:p>
        </w:tc>
        <w:tc>
          <w:tcPr>
            <w:tcW w:type="dxa" w:w="5100"/>
            <w:vAlign w:val="center"/>
          </w:tcPr>
          <w:p>
            <w:pPr>
              <w:spacing w:after="0"/>
            </w:pPr>
            <w:r/>
            <w:r>
              <w:rPr>
                <w:b w:val="0"/>
                <w:sz w:val="18"/>
              </w:rPr>
              <w:t>pH, przy którym ładunki dodatnie i ujemne białka się równoważą.</w:t>
            </w:r>
          </w:p>
        </w:tc>
      </w:tr>
      <w:tr>
        <w:tc>
          <w:tcPr>
            <w:tcW w:type="dxa" w:w="5100"/>
            <w:vAlign w:val="center"/>
          </w:tcPr>
          <w:p>
            <w:pPr>
              <w:spacing w:after="0"/>
            </w:pPr>
            <w:r/>
            <w:r>
              <w:rPr>
                <w:b/>
                <w:sz w:val="18"/>
              </w:rPr>
              <w:t>Struktura przestrzenna</w:t>
            </w:r>
          </w:p>
        </w:tc>
        <w:tc>
          <w:tcPr>
            <w:tcW w:type="dxa" w:w="5100"/>
            <w:vAlign w:val="center"/>
          </w:tcPr>
          <w:p>
            <w:pPr>
              <w:spacing w:after="0"/>
            </w:pPr>
            <w:r/>
            <w:r>
              <w:rPr>
                <w:b w:val="0"/>
                <w:sz w:val="18"/>
              </w:rPr>
              <w:t>Model trójwymiarowy opisujący ułożenie atomów i podjednostek.</w:t>
            </w:r>
          </w:p>
        </w:tc>
      </w:tr>
    </w:tbl>
    <w:p/>
    <w:p>
      <w:pPr>
        <w:pStyle w:val="Heading2"/>
      </w:pPr>
      <w:r>
        <w:t>Pułapki interpretacyjne</w:t>
      </w:r>
    </w:p>
    <w:p>
      <w:pPr>
        <w:pStyle w:val="ListBullet"/>
      </w:pPr>
      <w:r>
        <w:t>Genom nie jest tym samym co proteom: proteom zależy od czasu, tkanki, warunków i modyfikacji.</w:t>
      </w:r>
    </w:p>
    <w:p>
      <w:pPr>
        <w:pStyle w:val="ListBullet"/>
      </w:pPr>
      <w:r>
        <w:t>Nie każde białko jest enzymem.</w:t>
      </w:r>
    </w:p>
    <w:p>
      <w:pPr>
        <w:pStyle w:val="ListBullet"/>
      </w:pPr>
      <w:r>
        <w:t>Denaturacja niszczy strukturę przestrzenną i funkcję, ale nie musi rozrywać wiązań peptydowych.</w:t>
      </w:r>
    </w:p>
    <w:p>
      <w:pPr>
        <w:pStyle w:val="Heading2"/>
      </w:pPr>
      <w:r>
        <w:t>Pytania kontrolne</w:t>
      </w:r>
    </w:p>
    <w:p>
      <w:r>
        <w:t>1. Dlaczego liczba form białkowych może być większa od liczby genów?</w:t>
      </w:r>
    </w:p>
    <w:p>
      <w:r>
        <w:t>2. Czym różnią się apoenzym i holoenzym?</w:t>
      </w:r>
    </w:p>
    <w:p>
      <w:r>
        <w:t>3. Które techniki dają obraz globalny, a które badają konkretne białko?</w:t>
      </w:r>
    </w:p>
    <w:p>
      <w:pPr>
        <w:pStyle w:val="Zapamiętaj"/>
      </w:pPr>
      <w:r>
        <w:t>Wróć do podręcznika, aby wykonać przypisane zadania praktyczne i case studies.</w:t>
      </w:r>
    </w:p>
    <w:p>
      <w:r>
        <w:br w:type="page"/>
      </w:r>
    </w:p>
    <w:p>
      <w:pPr>
        <w:pStyle w:val="Heading1"/>
      </w:pPr>
      <w:r>
        <w:t>2. Bazy danych białkowych</w:t>
      </w:r>
    </w:p>
    <w:p>
      <w:r>
        <w:rPr>
          <w:i/>
        </w:rPr>
        <w:t>Zakres w podręczniku: strony 20-23</w:t>
      </w:r>
    </w:p>
    <w:p>
      <w:pPr>
        <w:pStyle w:val="Heading2"/>
      </w:pPr>
      <w:r>
        <w:t>Cele nauki</w:t>
      </w:r>
    </w:p>
    <w:p>
      <w:pPr>
        <w:pStyle w:val="ListBullet"/>
      </w:pPr>
      <w:r>
        <w:t>Klasyfikować bazy według rodzaju przechowywanych danych.</w:t>
      </w:r>
    </w:p>
    <w:p>
      <w:pPr>
        <w:pStyle w:val="ListBullet"/>
      </w:pPr>
      <w:r>
        <w:t>Dobrać bazę do pytania o sekwencję, PTM, interakcję, lokalizację lub dane MS.</w:t>
      </w:r>
    </w:p>
    <w:p>
      <w:pPr>
        <w:pStyle w:val="Heading2"/>
      </w:pPr>
      <w:r>
        <w:t>Sedno rozdziału</w:t>
      </w:r>
    </w:p>
    <w:p>
      <w:pPr>
        <w:pStyle w:val="Heading3"/>
      </w:pPr>
      <w:r>
        <w:t>Znaczenie baz</w:t>
      </w:r>
    </w:p>
    <w:p>
      <w:r>
        <w:t>Bazy danych organizują informacje potrzebne na każdym etapie proteomiki: od sekwencji i funkcji, przez surowe dane spektrometryczne, po modyfikacje, interakcje, ekspresję i lokalizację.</w:t>
      </w:r>
    </w:p>
    <w:p>
      <w:pPr>
        <w:pStyle w:val="Heading3"/>
      </w:pPr>
      <w:r>
        <w:t>Bazy sekwencyjne i funkcjonalne</w:t>
      </w:r>
    </w:p>
    <w:p>
      <w:r>
        <w:t>UniProt integruje sekwencję, funkcję, strukturę i PTM; Swiss-Prot jest adnotowany ręcznie, a TrEMBL automatycznie. RefSeq dostarcza referencyjne sekwencje, a Ensembl łączy dane genomowe z izoformami i alternatywnym splicingiem.</w:t>
      </w:r>
    </w:p>
    <w:p>
      <w:pPr>
        <w:pStyle w:val="Heading3"/>
      </w:pPr>
      <w:r>
        <w:t>Repozytoria spektrometryczne</w:t>
      </w:r>
    </w:p>
    <w:p>
      <w:r>
        <w:t>PRIDE i MassIVE przechowują publiczne zestawy danych proteomicznych. PeptideAtlas agreguje identyfikacje peptydów i wspiera budowę zasobów dla DIA. ProteomeXchange integruje repozytoria i ułatwia wymianę danych.</w:t>
      </w:r>
    </w:p>
    <w:p>
      <w:pPr>
        <w:pStyle w:val="Heading3"/>
      </w:pPr>
      <w:r>
        <w:t>PTM i interakcje</w:t>
      </w:r>
    </w:p>
    <w:p>
      <w:r>
        <w:t>PhosphoSitePlus i dbPTM gromadzą modyfikacje potranslacyjne. STRING łączy dane eksperymentalne i przewidywane, a BioGRID i IntAct bazują silnie na literaturze.</w:t>
      </w:r>
    </w:p>
    <w:p>
      <w:pPr>
        <w:pStyle w:val="Heading3"/>
      </w:pPr>
      <w:r>
        <w:t>Ekspresja i lokalizacja</w:t>
      </w:r>
    </w:p>
    <w:p>
      <w:r>
        <w:t>Human Protein Atlas łączy dane transkryptomiczne i proteomiczne dotyczące tkanek, komórek i lokalizacji subkomórkowej. PaxDb dostarcza informacje o abundancji białek.</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Pytanie o sekwencję/funkcję</w:t>
            </w:r>
          </w:p>
        </w:tc>
        <w:tc>
          <w:tcPr>
            <w:tcW w:type="dxa" w:w="5100"/>
            <w:vAlign w:val="center"/>
          </w:tcPr>
          <w:p>
            <w:pPr>
              <w:spacing w:after="0"/>
            </w:pPr>
            <w:r/>
            <w:r>
              <w:rPr>
                <w:b w:val="0"/>
                <w:sz w:val="18"/>
              </w:rPr>
              <w:t>UniProt, RefSeq, Ensembl</w:t>
            </w:r>
          </w:p>
        </w:tc>
      </w:tr>
      <w:tr>
        <w:tc>
          <w:tcPr>
            <w:tcW w:type="dxa" w:w="5100"/>
            <w:vAlign w:val="center"/>
          </w:tcPr>
          <w:p>
            <w:pPr>
              <w:spacing w:after="0"/>
            </w:pPr>
            <w:r/>
            <w:r>
              <w:rPr>
                <w:b/>
                <w:sz w:val="18"/>
              </w:rPr>
              <w:t>Surowe dane MS</w:t>
            </w:r>
          </w:p>
        </w:tc>
        <w:tc>
          <w:tcPr>
            <w:tcW w:type="dxa" w:w="5100"/>
            <w:vAlign w:val="center"/>
          </w:tcPr>
          <w:p>
            <w:pPr>
              <w:spacing w:after="0"/>
            </w:pPr>
            <w:r/>
            <w:r>
              <w:rPr>
                <w:b w:val="0"/>
                <w:sz w:val="18"/>
              </w:rPr>
              <w:t>PRIDE, MassIVE, ProteomeXchange</w:t>
            </w:r>
          </w:p>
        </w:tc>
      </w:tr>
      <w:tr>
        <w:tc>
          <w:tcPr>
            <w:tcW w:type="dxa" w:w="5100"/>
            <w:vAlign w:val="center"/>
          </w:tcPr>
          <w:p>
            <w:pPr>
              <w:spacing w:after="0"/>
            </w:pPr>
            <w:r/>
            <w:r>
              <w:rPr>
                <w:b/>
                <w:sz w:val="18"/>
              </w:rPr>
              <w:t>Modyfikacje PTM</w:t>
            </w:r>
          </w:p>
        </w:tc>
        <w:tc>
          <w:tcPr>
            <w:tcW w:type="dxa" w:w="5100"/>
            <w:vAlign w:val="center"/>
          </w:tcPr>
          <w:p>
            <w:pPr>
              <w:spacing w:after="0"/>
            </w:pPr>
            <w:r/>
            <w:r>
              <w:rPr>
                <w:b w:val="0"/>
                <w:sz w:val="18"/>
              </w:rPr>
              <w:t>PhosphoSitePlus, dbPTM</w:t>
            </w:r>
          </w:p>
        </w:tc>
      </w:tr>
      <w:tr>
        <w:tc>
          <w:tcPr>
            <w:tcW w:type="dxa" w:w="5100"/>
            <w:vAlign w:val="center"/>
          </w:tcPr>
          <w:p>
            <w:pPr>
              <w:spacing w:after="0"/>
            </w:pPr>
            <w:r/>
            <w:r>
              <w:rPr>
                <w:b/>
                <w:sz w:val="18"/>
              </w:rPr>
              <w:t>Interakcje PPI</w:t>
            </w:r>
          </w:p>
        </w:tc>
        <w:tc>
          <w:tcPr>
            <w:tcW w:type="dxa" w:w="5100"/>
            <w:vAlign w:val="center"/>
          </w:tcPr>
          <w:p>
            <w:pPr>
              <w:spacing w:after="0"/>
            </w:pPr>
            <w:r/>
            <w:r>
              <w:rPr>
                <w:b w:val="0"/>
                <w:sz w:val="18"/>
              </w:rPr>
              <w:t>STRING, BioGRID, IntAct</w:t>
            </w:r>
          </w:p>
        </w:tc>
      </w:tr>
      <w:tr>
        <w:tc>
          <w:tcPr>
            <w:tcW w:type="dxa" w:w="5100"/>
            <w:vAlign w:val="center"/>
          </w:tcPr>
          <w:p>
            <w:pPr>
              <w:spacing w:after="0"/>
            </w:pPr>
            <w:r/>
            <w:r>
              <w:rPr>
                <w:b/>
                <w:sz w:val="18"/>
              </w:rPr>
              <w:t>Tkanka/lokalizacja/abundancja</w:t>
            </w:r>
          </w:p>
        </w:tc>
        <w:tc>
          <w:tcPr>
            <w:tcW w:type="dxa" w:w="5100"/>
            <w:vAlign w:val="center"/>
          </w:tcPr>
          <w:p>
            <w:pPr>
              <w:spacing w:after="0"/>
            </w:pPr>
            <w:r/>
            <w:r>
              <w:rPr>
                <w:b w:val="0"/>
                <w:sz w:val="18"/>
              </w:rPr>
              <w:t>Human Protein Atlas, Cell Atlas, PaxDb</w:t>
            </w:r>
          </w:p>
        </w:tc>
      </w:tr>
    </w:tbl>
    <w:p/>
    <w:p>
      <w:pPr>
        <w:pStyle w:val="Heading2"/>
      </w:pPr>
      <w:r>
        <w:t>Pułapki interpretacyjne</w:t>
      </w:r>
    </w:p>
    <w:p>
      <w:pPr>
        <w:pStyle w:val="ListBullet"/>
      </w:pPr>
      <w:r>
        <w:t>Wynik przewidywany w STRING nie ma tej samej rangi co interakcja potwierdzona eksperymentalnie.</w:t>
      </w:r>
    </w:p>
    <w:p>
      <w:pPr>
        <w:pStyle w:val="ListBullet"/>
      </w:pPr>
      <w:r>
        <w:t>TrEMBL zawiera adnotacje automatyczne, więc wymaga ostrożniejszej interpretacji niż Swiss-Prot.</w:t>
      </w:r>
    </w:p>
    <w:p>
      <w:pPr>
        <w:pStyle w:val="Heading2"/>
      </w:pPr>
      <w:r>
        <w:t>Pytania kontrolne</w:t>
      </w:r>
    </w:p>
    <w:p>
      <w:r>
        <w:t>1. W której bazie szukać publicznego eksperymentu MS?</w:t>
      </w:r>
    </w:p>
    <w:p>
      <w:r>
        <w:t>2. Jak odróżnić bazę interakcji od bazy PTM?</w:t>
      </w:r>
    </w:p>
    <w:p>
      <w:r>
        <w:t>3. Jaką informację wnosi Human Protein Atlas?</w:t>
      </w:r>
    </w:p>
    <w:p>
      <w:pPr>
        <w:pStyle w:val="Zapamiętaj"/>
      </w:pPr>
      <w:r>
        <w:t>Wróć do podręcznika, aby wykonać przypisane zadania praktyczne i case studies.</w:t>
      </w:r>
    </w:p>
    <w:p>
      <w:r>
        <w:br w:type="page"/>
      </w:r>
    </w:p>
    <w:p>
      <w:pPr>
        <w:pStyle w:val="Heading1"/>
      </w:pPr>
      <w:r>
        <w:t>3. Formaty danych i przetwarzanie danych surowych</w:t>
      </w:r>
    </w:p>
    <w:p>
      <w:r>
        <w:rPr>
          <w:i/>
        </w:rPr>
        <w:t>Zakres w podręczniku: strony 24-30</w:t>
      </w:r>
    </w:p>
    <w:p>
      <w:pPr>
        <w:pStyle w:val="Heading2"/>
      </w:pPr>
      <w:r>
        <w:t>Cele nauki</w:t>
      </w:r>
    </w:p>
    <w:p>
      <w:pPr>
        <w:pStyle w:val="ListBullet"/>
      </w:pPr>
      <w:r>
        <w:t>Rozróżniać formaty firmowe, otwarte, sekwencyjne i strukturalne.</w:t>
      </w:r>
    </w:p>
    <w:p>
      <w:pPr>
        <w:pStyle w:val="ListBullet"/>
      </w:pPr>
      <w:r>
        <w:t>Zbudować prosty pipeline konwersji i przygotowania danych.</w:t>
      </w:r>
    </w:p>
    <w:p>
      <w:pPr>
        <w:pStyle w:val="Heading2"/>
      </w:pPr>
      <w:r>
        <w:t>Sedno rozdziału</w:t>
      </w:r>
    </w:p>
    <w:p>
      <w:pPr>
        <w:pStyle w:val="Heading3"/>
      </w:pPr>
      <w:r>
        <w:t>Dane surowe</w:t>
      </w:r>
    </w:p>
    <w:p>
      <w:r>
        <w:t>Najczęściej pochodzą ze spektrometrii mas, ale podręcznik uwzględnia też spektroskopię, fluorescencję i metody strukturalne. Standaryzacja jest konieczna, aby dane można było analizować, integrować i udostępniać.</w:t>
      </w:r>
    </w:p>
    <w:p>
      <w:pPr>
        <w:pStyle w:val="Heading3"/>
      </w:pPr>
      <w:r>
        <w:t>Formaty firmowe</w:t>
      </w:r>
    </w:p>
    <w:p>
      <w:r>
        <w:t>RAW, WIFF, D i TDF są generowane przez oprogramowanie aparatu i zawierają szczegółowe widma, metadane oraz parametry instrumentu. Ich ograniczeniem jest zależność od bibliotek i narzędzi producenta.</w:t>
      </w:r>
    </w:p>
    <w:p>
      <w:pPr>
        <w:pStyle w:val="Heading3"/>
      </w:pPr>
      <w:r>
        <w:t>Formaty otwarte MS</w:t>
      </w:r>
    </w:p>
    <w:p>
      <w:r>
        <w:t>mzML jest zalecanym, wszechstronnym standardem opartym na XML. mzXML jest starszy, mzData praktycznie wyparty. MGF jest prostym formatem tekstowym dla widm MS/MS. netCDF/ANDI-MS stosuje się rzadziej.</w:t>
      </w:r>
    </w:p>
    <w:p>
      <w:pPr>
        <w:pStyle w:val="Heading3"/>
      </w:pPr>
      <w:r>
        <w:t>Narzędzia</w:t>
      </w:r>
    </w:p>
    <w:p>
      <w:r>
        <w:t>ProteoWizard/MSConvert konwertuje formaty firmowe do mzML, mzXML lub MGF i wykonuje filtrację oraz centroidyzację. ThermoRawFileParser konwertuje pliki Thermo RAW. OpenMS oferuje modułowy pipeline. MaxQuant przetwarza RAW i zawiera Andromedę. Skyline wspiera analizy celowane. MSFragger/FragPipe szybko przeszukuje bazy i współpracuje z IonQuant.</w:t>
      </w:r>
    </w:p>
    <w:p>
      <w:pPr>
        <w:pStyle w:val="Heading3"/>
      </w:pPr>
      <w:r>
        <w:t>FASTA</w:t>
      </w:r>
    </w:p>
    <w:p>
      <w:r>
        <w:t>FASTA przechowuje sekwencje białek używane jako baza odniesienia do dopasowania peptydów. Każdy rekord zaczyna się od znaku &gt; i nagłówka, po którym następuje sekwencja.</w:t>
      </w:r>
    </w:p>
    <w:p>
      <w:pPr>
        <w:pStyle w:val="Heading3"/>
      </w:pPr>
      <w:r>
        <w:t>Dane strukturalne</w:t>
      </w:r>
    </w:p>
    <w:p>
      <w:r>
        <w:t>PDB i mmCIF zapisują współrzędne atomów oraz adnotacje strukturalne; mmCIF jest nowszy i lepiej obsługuje duże kompleksy. MRC/MAP przechowuje mapy gęstości Cryo-EM.</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RAW/WIFF/D/TDF</w:t>
            </w:r>
          </w:p>
        </w:tc>
        <w:tc>
          <w:tcPr>
            <w:tcW w:type="dxa" w:w="5100"/>
            <w:vAlign w:val="center"/>
          </w:tcPr>
          <w:p>
            <w:pPr>
              <w:spacing w:after="0"/>
            </w:pPr>
            <w:r/>
            <w:r>
              <w:rPr>
                <w:b w:val="0"/>
                <w:sz w:val="18"/>
              </w:rPr>
              <w:t>Formaty producentów instrumentów.</w:t>
            </w:r>
          </w:p>
        </w:tc>
      </w:tr>
      <w:tr>
        <w:tc>
          <w:tcPr>
            <w:tcW w:type="dxa" w:w="5100"/>
            <w:vAlign w:val="center"/>
          </w:tcPr>
          <w:p>
            <w:pPr>
              <w:spacing w:after="0"/>
            </w:pPr>
            <w:r/>
            <w:r>
              <w:rPr>
                <w:b/>
                <w:sz w:val="18"/>
              </w:rPr>
              <w:t>mzML</w:t>
            </w:r>
          </w:p>
        </w:tc>
        <w:tc>
          <w:tcPr>
            <w:tcW w:type="dxa" w:w="5100"/>
            <w:vAlign w:val="center"/>
          </w:tcPr>
          <w:p>
            <w:pPr>
              <w:spacing w:after="0"/>
            </w:pPr>
            <w:r/>
            <w:r>
              <w:rPr>
                <w:b w:val="0"/>
                <w:sz w:val="18"/>
              </w:rPr>
              <w:t>Główny otwarty format danych MS.</w:t>
            </w:r>
          </w:p>
        </w:tc>
      </w:tr>
      <w:tr>
        <w:tc>
          <w:tcPr>
            <w:tcW w:type="dxa" w:w="5100"/>
            <w:vAlign w:val="center"/>
          </w:tcPr>
          <w:p>
            <w:pPr>
              <w:spacing w:after="0"/>
            </w:pPr>
            <w:r/>
            <w:r>
              <w:rPr>
                <w:b/>
                <w:sz w:val="18"/>
              </w:rPr>
              <w:t>MGF</w:t>
            </w:r>
          </w:p>
        </w:tc>
        <w:tc>
          <w:tcPr>
            <w:tcW w:type="dxa" w:w="5100"/>
            <w:vAlign w:val="center"/>
          </w:tcPr>
          <w:p>
            <w:pPr>
              <w:spacing w:after="0"/>
            </w:pPr>
            <w:r/>
            <w:r>
              <w:rPr>
                <w:b w:val="0"/>
                <w:sz w:val="18"/>
              </w:rPr>
              <w:t>Tekstowy eksport widm MS/MS.</w:t>
            </w:r>
          </w:p>
        </w:tc>
      </w:tr>
      <w:tr>
        <w:tc>
          <w:tcPr>
            <w:tcW w:type="dxa" w:w="5100"/>
            <w:vAlign w:val="center"/>
          </w:tcPr>
          <w:p>
            <w:pPr>
              <w:spacing w:after="0"/>
            </w:pPr>
            <w:r/>
            <w:r>
              <w:rPr>
                <w:b/>
                <w:sz w:val="18"/>
              </w:rPr>
              <w:t>FASTA</w:t>
            </w:r>
          </w:p>
        </w:tc>
        <w:tc>
          <w:tcPr>
            <w:tcW w:type="dxa" w:w="5100"/>
            <w:vAlign w:val="center"/>
          </w:tcPr>
          <w:p>
            <w:pPr>
              <w:spacing w:after="0"/>
            </w:pPr>
            <w:r/>
            <w:r>
              <w:rPr>
                <w:b w:val="0"/>
                <w:sz w:val="18"/>
              </w:rPr>
              <w:t>Sekwencje używane do identyfikacji.</w:t>
            </w:r>
          </w:p>
        </w:tc>
      </w:tr>
      <w:tr>
        <w:tc>
          <w:tcPr>
            <w:tcW w:type="dxa" w:w="5100"/>
            <w:vAlign w:val="center"/>
          </w:tcPr>
          <w:p>
            <w:pPr>
              <w:spacing w:after="0"/>
            </w:pPr>
            <w:r/>
            <w:r>
              <w:rPr>
                <w:b/>
                <w:sz w:val="18"/>
              </w:rPr>
              <w:t>PDB/mmCIF</w:t>
            </w:r>
          </w:p>
        </w:tc>
        <w:tc>
          <w:tcPr>
            <w:tcW w:type="dxa" w:w="5100"/>
            <w:vAlign w:val="center"/>
          </w:tcPr>
          <w:p>
            <w:pPr>
              <w:spacing w:after="0"/>
            </w:pPr>
            <w:r/>
            <w:r>
              <w:rPr>
                <w:b w:val="0"/>
                <w:sz w:val="18"/>
              </w:rPr>
              <w:t>Modele atomowe struktur.</w:t>
            </w:r>
          </w:p>
        </w:tc>
      </w:tr>
      <w:tr>
        <w:tc>
          <w:tcPr>
            <w:tcW w:type="dxa" w:w="5100"/>
            <w:vAlign w:val="center"/>
          </w:tcPr>
          <w:p>
            <w:pPr>
              <w:spacing w:after="0"/>
            </w:pPr>
            <w:r/>
            <w:r>
              <w:rPr>
                <w:b/>
                <w:sz w:val="18"/>
              </w:rPr>
              <w:t>MRC/MAP</w:t>
            </w:r>
          </w:p>
        </w:tc>
        <w:tc>
          <w:tcPr>
            <w:tcW w:type="dxa" w:w="5100"/>
            <w:vAlign w:val="center"/>
          </w:tcPr>
          <w:p>
            <w:pPr>
              <w:spacing w:after="0"/>
            </w:pPr>
            <w:r/>
            <w:r>
              <w:rPr>
                <w:b w:val="0"/>
                <w:sz w:val="18"/>
              </w:rPr>
              <w:t>Mapy gęstości elektronowej Cryo-EM.</w:t>
            </w:r>
          </w:p>
        </w:tc>
      </w:tr>
    </w:tbl>
    <w:p/>
    <w:p>
      <w:pPr>
        <w:pStyle w:val="Heading2"/>
      </w:pPr>
      <w:r>
        <w:t>Pułapki interpretacyjne</w:t>
      </w:r>
    </w:p>
    <w:p>
      <w:pPr>
        <w:pStyle w:val="ListBullet"/>
      </w:pPr>
      <w:r>
        <w:t>MaxQuant według podręcznika przyjmuje pliki RAW i nie obsługuje mzML.</w:t>
      </w:r>
    </w:p>
    <w:p>
      <w:pPr>
        <w:pStyle w:val="ListBullet"/>
      </w:pPr>
      <w:r>
        <w:t>FASTA nie zawiera widm, ale jest niezbędny przy identyfikacji peptydów.</w:t>
      </w:r>
    </w:p>
    <w:p>
      <w:pPr>
        <w:pStyle w:val="ListBullet"/>
      </w:pPr>
      <w:r>
        <w:t>Mapa gęstości Cryo-EM nie jest tym samym co dopasowany model atomowy.</w:t>
      </w:r>
    </w:p>
    <w:p>
      <w:pPr>
        <w:pStyle w:val="Heading2"/>
      </w:pPr>
      <w:r>
        <w:t>Pytania kontrolne</w:t>
      </w:r>
    </w:p>
    <w:p>
      <w:r>
        <w:t>1. Dlaczego konwertuje się RAW do mzML?</w:t>
      </w:r>
    </w:p>
    <w:p>
      <w:r>
        <w:t>2. Jaką rolę pełni FASTA w analizie MS?</w:t>
      </w:r>
    </w:p>
    <w:p>
      <w:r>
        <w:t>3. Czym różnią się PDB/mmCIF od MRC?</w:t>
      </w:r>
    </w:p>
    <w:p>
      <w:pPr>
        <w:pStyle w:val="Zapamiętaj"/>
      </w:pPr>
      <w:r>
        <w:t>Wróć do podręcznika, aby wykonać przypisane zadania praktyczne i case studies.</w:t>
      </w:r>
    </w:p>
    <w:p>
      <w:r>
        <w:br w:type="page"/>
      </w:r>
    </w:p>
    <w:p>
      <w:pPr>
        <w:pStyle w:val="Heading1"/>
      </w:pPr>
      <w:r>
        <w:t>4. Identyfikacja białek</w:t>
      </w:r>
    </w:p>
    <w:p>
      <w:r>
        <w:rPr>
          <w:i/>
        </w:rPr>
        <w:t>Zakres w podręczniku: strony 31-39</w:t>
      </w:r>
    </w:p>
    <w:p>
      <w:pPr>
        <w:pStyle w:val="Heading2"/>
      </w:pPr>
      <w:r>
        <w:t>Cele nauki</w:t>
      </w:r>
    </w:p>
    <w:p>
      <w:pPr>
        <w:pStyle w:val="ListBullet"/>
      </w:pPr>
      <w:r>
        <w:t>Opisać przebieg identyfikacji bottom-up.</w:t>
      </w:r>
    </w:p>
    <w:p>
      <w:pPr>
        <w:pStyle w:val="ListBullet"/>
      </w:pPr>
      <w:r>
        <w:t>Wyjaśnić problem inferencji białek.</w:t>
      </w:r>
    </w:p>
    <w:p>
      <w:pPr>
        <w:pStyle w:val="ListBullet"/>
      </w:pPr>
      <w:r>
        <w:t>Rozumieć rolę Cryo-EM i integracji danych.</w:t>
      </w:r>
    </w:p>
    <w:p>
      <w:pPr>
        <w:pStyle w:val="Heading2"/>
      </w:pPr>
      <w:r>
        <w:t>Sedno rozdziału</w:t>
      </w:r>
    </w:p>
    <w:p>
      <w:pPr>
        <w:pStyle w:val="Heading3"/>
      </w:pPr>
      <w:r>
        <w:t>Bottom-up LC-MS/MS</w:t>
      </w:r>
    </w:p>
    <w:p>
      <w:r>
        <w:t>Białka są trawione, zwykle trypsyną, do peptydów. Peptydy rozdziela chromatografia, następnie są jonizowane, mierzone i fragmentowane. Widma MS/MS porównuje się z teoretycznymi widmami wynikającymi z sekwencji bazodanowych.</w:t>
      </w:r>
    </w:p>
    <w:p>
      <w:pPr>
        <w:pStyle w:val="Heading3"/>
      </w:pPr>
      <w:r>
        <w:t>Silniki wyszukiwania</w:t>
      </w:r>
    </w:p>
    <w:p>
      <w:r>
        <w:t>W podręczniku wymieniono m.in. Mascot, Sequest, Andromedę, MS-GF+ i MSFragger. Wynikiem są dopasowania widmo-peptyd, które następnie agreguje się na poziomie białek.</w:t>
      </w:r>
    </w:p>
    <w:p>
      <w:pPr>
        <w:pStyle w:val="Heading3"/>
      </w:pPr>
      <w:r>
        <w:t>Inferencja białek</w:t>
      </w:r>
    </w:p>
    <w:p>
      <w:r>
        <w:t>Ten sam peptyd może występować w kilku białkach lub izoformach. Peptydy unikatowe jednoznacznie wspierają identyfikację, a peptydy współdzielone prowadzą do grup białkowych i niepewności przypisania.</w:t>
      </w:r>
    </w:p>
    <w:p>
      <w:pPr>
        <w:pStyle w:val="Heading3"/>
      </w:pPr>
      <w:r>
        <w:t>FDR</w:t>
      </w:r>
    </w:p>
    <w:p>
      <w:r>
        <w:t>Wiarygodność identyfikacji ocenia się statystycznie, m.in. z wykorzystaniem strategii target-decoy i kontroli false discovery rate. Niski FDR ogranicza liczbę fałszywie dodatnich identyfikacji.</w:t>
      </w:r>
    </w:p>
    <w:p>
      <w:pPr>
        <w:pStyle w:val="Heading3"/>
      </w:pPr>
      <w:r>
        <w:t>Cryo-EM i CryoET</w:t>
      </w:r>
    </w:p>
    <w:p>
      <w:r>
        <w:t>Cryo-EM pozwala analizować struktury kompleksów, a CryoET - struktury in situ w tomogramach komórek. Template matching porównuje model referencyjny z różnymi pozycjami i orientacjami w tomogramie, aby wykryć miejsca najlepszego dopasowania.</w:t>
      </w:r>
    </w:p>
    <w:p>
      <w:pPr>
        <w:pStyle w:val="Heading3"/>
      </w:pPr>
      <w:r>
        <w:t>Integracja</w:t>
      </w:r>
    </w:p>
    <w:p>
      <w:r>
        <w:t>Dane MS mogą potwierdzać obecność białek w strukturach, a modele strukturalne mogą pomagać interpretować identyfikacje. Kierunek rozwoju prowadzi od listy białek do rozumienia funkcji w kontekście struktury i interakcji.</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Trawienie</w:t>
            </w:r>
          </w:p>
        </w:tc>
        <w:tc>
          <w:tcPr>
            <w:tcW w:type="dxa" w:w="5100"/>
            <w:vAlign w:val="center"/>
          </w:tcPr>
          <w:p>
            <w:pPr>
              <w:spacing w:after="0"/>
            </w:pPr>
            <w:r/>
            <w:r>
              <w:rPr>
                <w:b w:val="0"/>
                <w:sz w:val="18"/>
              </w:rPr>
              <w:t>Generowanie peptydów, najczęściej trypsyną.</w:t>
            </w:r>
          </w:p>
        </w:tc>
      </w:tr>
      <w:tr>
        <w:tc>
          <w:tcPr>
            <w:tcW w:type="dxa" w:w="5100"/>
            <w:vAlign w:val="center"/>
          </w:tcPr>
          <w:p>
            <w:pPr>
              <w:spacing w:after="0"/>
            </w:pPr>
            <w:r/>
            <w:r>
              <w:rPr>
                <w:b/>
                <w:sz w:val="18"/>
              </w:rPr>
              <w:t>m/z</w:t>
            </w:r>
          </w:p>
        </w:tc>
        <w:tc>
          <w:tcPr>
            <w:tcW w:type="dxa" w:w="5100"/>
            <w:vAlign w:val="center"/>
          </w:tcPr>
          <w:p>
            <w:pPr>
              <w:spacing w:after="0"/>
            </w:pPr>
            <w:r/>
            <w:r>
              <w:rPr>
                <w:b w:val="0"/>
                <w:sz w:val="18"/>
              </w:rPr>
              <w:t>Stosunek masy do ładunku jonu.</w:t>
            </w:r>
          </w:p>
        </w:tc>
      </w:tr>
      <w:tr>
        <w:tc>
          <w:tcPr>
            <w:tcW w:type="dxa" w:w="5100"/>
            <w:vAlign w:val="center"/>
          </w:tcPr>
          <w:p>
            <w:pPr>
              <w:spacing w:after="0"/>
            </w:pPr>
            <w:r/>
            <w:r>
              <w:rPr>
                <w:b/>
                <w:sz w:val="18"/>
              </w:rPr>
              <w:t>MS/MS</w:t>
            </w:r>
          </w:p>
        </w:tc>
        <w:tc>
          <w:tcPr>
            <w:tcW w:type="dxa" w:w="5100"/>
            <w:vAlign w:val="center"/>
          </w:tcPr>
          <w:p>
            <w:pPr>
              <w:spacing w:after="0"/>
            </w:pPr>
            <w:r/>
            <w:r>
              <w:rPr>
                <w:b w:val="0"/>
                <w:sz w:val="18"/>
              </w:rPr>
              <w:t>Fragmentacja peptydu i widmo informujące o sekwencji.</w:t>
            </w:r>
          </w:p>
        </w:tc>
      </w:tr>
      <w:tr>
        <w:tc>
          <w:tcPr>
            <w:tcW w:type="dxa" w:w="5100"/>
            <w:vAlign w:val="center"/>
          </w:tcPr>
          <w:p>
            <w:pPr>
              <w:spacing w:after="0"/>
            </w:pPr>
            <w:r/>
            <w:r>
              <w:rPr>
                <w:b/>
                <w:sz w:val="18"/>
              </w:rPr>
              <w:t>PSM</w:t>
            </w:r>
          </w:p>
        </w:tc>
        <w:tc>
          <w:tcPr>
            <w:tcW w:type="dxa" w:w="5100"/>
            <w:vAlign w:val="center"/>
          </w:tcPr>
          <w:p>
            <w:pPr>
              <w:spacing w:after="0"/>
            </w:pPr>
            <w:r/>
            <w:r>
              <w:rPr>
                <w:b w:val="0"/>
                <w:sz w:val="18"/>
              </w:rPr>
              <w:t>Dopasowanie widma do peptydu.</w:t>
            </w:r>
          </w:p>
        </w:tc>
      </w:tr>
      <w:tr>
        <w:tc>
          <w:tcPr>
            <w:tcW w:type="dxa" w:w="5100"/>
            <w:vAlign w:val="center"/>
          </w:tcPr>
          <w:p>
            <w:pPr>
              <w:spacing w:after="0"/>
            </w:pPr>
            <w:r/>
            <w:r>
              <w:rPr>
                <w:b/>
                <w:sz w:val="18"/>
              </w:rPr>
              <w:t>Peptyd unikatowy</w:t>
            </w:r>
          </w:p>
        </w:tc>
        <w:tc>
          <w:tcPr>
            <w:tcW w:type="dxa" w:w="5100"/>
            <w:vAlign w:val="center"/>
          </w:tcPr>
          <w:p>
            <w:pPr>
              <w:spacing w:after="0"/>
            </w:pPr>
            <w:r/>
            <w:r>
              <w:rPr>
                <w:b w:val="0"/>
                <w:sz w:val="18"/>
              </w:rPr>
              <w:t>Wspiera jednoznaczną identyfikację białka.</w:t>
            </w:r>
          </w:p>
        </w:tc>
      </w:tr>
      <w:tr>
        <w:tc>
          <w:tcPr>
            <w:tcW w:type="dxa" w:w="5100"/>
            <w:vAlign w:val="center"/>
          </w:tcPr>
          <w:p>
            <w:pPr>
              <w:spacing w:after="0"/>
            </w:pPr>
            <w:r/>
            <w:r>
              <w:rPr>
                <w:b/>
                <w:sz w:val="18"/>
              </w:rPr>
              <w:t>FDR</w:t>
            </w:r>
          </w:p>
        </w:tc>
        <w:tc>
          <w:tcPr>
            <w:tcW w:type="dxa" w:w="5100"/>
            <w:vAlign w:val="center"/>
          </w:tcPr>
          <w:p>
            <w:pPr>
              <w:spacing w:after="0"/>
            </w:pPr>
            <w:r/>
            <w:r>
              <w:rPr>
                <w:b w:val="0"/>
                <w:sz w:val="18"/>
              </w:rPr>
              <w:t>Kontrola odsetka fałszywych odkryć.</w:t>
            </w:r>
          </w:p>
        </w:tc>
      </w:tr>
    </w:tbl>
    <w:p/>
    <w:p>
      <w:pPr>
        <w:pStyle w:val="Heading2"/>
      </w:pPr>
      <w:r>
        <w:t>Pułapki interpretacyjne</w:t>
      </w:r>
    </w:p>
    <w:p>
      <w:pPr>
        <w:pStyle w:val="ListBullet"/>
      </w:pPr>
      <w:r>
        <w:t>Identyfikacja peptydu nie zawsze jednoznacznie identyfikuje pojedyncze białko.</w:t>
      </w:r>
    </w:p>
    <w:p>
      <w:pPr>
        <w:pStyle w:val="ListBullet"/>
      </w:pPr>
      <w:r>
        <w:t>Wysoka korelacja w template matching jest kandydatem, nie automatycznym dowodem biologicznym.</w:t>
      </w:r>
    </w:p>
    <w:p>
      <w:pPr>
        <w:pStyle w:val="Heading2"/>
      </w:pPr>
      <w:r>
        <w:t>Pytania kontrolne</w:t>
      </w:r>
    </w:p>
    <w:p>
      <w:r>
        <w:t>1. Jak przechodzi się od białka do widma MS/MS?</w:t>
      </w:r>
    </w:p>
    <w:p>
      <w:r>
        <w:t>2. Dlaczego izoformy komplikują inferencję?</w:t>
      </w:r>
    </w:p>
    <w:p>
      <w:r>
        <w:t>3. Co daje integracja MS i danych strukturalnych?</w:t>
      </w:r>
    </w:p>
    <w:p>
      <w:pPr>
        <w:pStyle w:val="Zapamiętaj"/>
      </w:pPr>
      <w:r>
        <w:t>Wróć do podręcznika, aby wykonać przypisane zadania praktyczne i case studies.</w:t>
      </w:r>
    </w:p>
    <w:p>
      <w:r>
        <w:br w:type="page"/>
      </w:r>
    </w:p>
    <w:p>
      <w:pPr>
        <w:pStyle w:val="Heading1"/>
      </w:pPr>
      <w:r>
        <w:t>5. Kwantyfikacja białek</w:t>
      </w:r>
    </w:p>
    <w:p>
      <w:r>
        <w:rPr>
          <w:i/>
        </w:rPr>
        <w:t>Zakres w podręczniku: strony 40-46</w:t>
      </w:r>
    </w:p>
    <w:p>
      <w:pPr>
        <w:pStyle w:val="Heading2"/>
      </w:pPr>
      <w:r>
        <w:t>Cele nauki</w:t>
      </w:r>
    </w:p>
    <w:p>
      <w:pPr>
        <w:pStyle w:val="ListBullet"/>
      </w:pPr>
      <w:r>
        <w:t>Rozróżniać kwantyfikację względną i bezwzględną.</w:t>
      </w:r>
    </w:p>
    <w:p>
      <w:pPr>
        <w:pStyle w:val="ListBullet"/>
      </w:pPr>
      <w:r>
        <w:t>Porównywać metody znakowane i label-free.</w:t>
      </w:r>
    </w:p>
    <w:p>
      <w:pPr>
        <w:pStyle w:val="Heading2"/>
      </w:pPr>
      <w:r>
        <w:t>Sedno rozdziału</w:t>
      </w:r>
    </w:p>
    <w:p>
      <w:pPr>
        <w:pStyle w:val="Heading3"/>
      </w:pPr>
      <w:r>
        <w:t>Cel kwantyfikacji</w:t>
      </w:r>
    </w:p>
    <w:p>
      <w:r>
        <w:t>Kwantyfikacja odpowiada na pytanie, ile białka znajduje się w próbce i jak jego poziom zmienia się między warunkami. Może mieć charakter względny lub bezwzględny.</w:t>
      </w:r>
    </w:p>
    <w:p>
      <w:pPr>
        <w:pStyle w:val="Heading3"/>
      </w:pPr>
      <w:r>
        <w:t>SILAC</w:t>
      </w:r>
    </w:p>
    <w:p>
      <w:r>
        <w:t>Ciężkie izotopy są wbudowywane do białek podczas hodowli komórkowej. Próbki różnią się masą, ale zachowują podobne właściwości chemiczne. Metoda jest precyzyjna, lecz ograniczona głównie do kontrolowanych hodowli.</w:t>
      </w:r>
    </w:p>
    <w:p>
      <w:pPr>
        <w:pStyle w:val="Heading3"/>
      </w:pPr>
      <w:r>
        <w:t>TMT i iTRAQ</w:t>
      </w:r>
    </w:p>
    <w:p>
      <w:r>
        <w:t>Znaczniki izobaryczne umożliwiają multipleksowanie wielu próbek. Po fragmentacji pojawiają się jony reporterowe, których intensywności służą do porównań ilościowych.</w:t>
      </w:r>
    </w:p>
    <w:p>
      <w:pPr>
        <w:pStyle w:val="Heading3"/>
      </w:pPr>
      <w:r>
        <w:t>Label-free</w:t>
      </w:r>
    </w:p>
    <w:p>
      <w:r>
        <w:t>W podejściu bez znakowania porównuje się intensywności pików lub liczbę widm/peptydów między oddzielnymi analizami. Metoda jest elastyczna i tańsza, ale bardziej podatna na zmienność między pomiarami.</w:t>
      </w:r>
    </w:p>
    <w:p>
      <w:pPr>
        <w:pStyle w:val="Heading3"/>
      </w:pPr>
      <w:r>
        <w:t>Kwantyfikacja bezwzględna</w:t>
      </w:r>
    </w:p>
    <w:p>
      <w:r>
        <w:t>Wykorzystuje standardy o znanym stężeniu, np. peptydy izotopowo znakowane, aby oszacować rzeczywistą ilość analitu.</w:t>
      </w:r>
    </w:p>
    <w:p>
      <w:pPr>
        <w:pStyle w:val="Heading3"/>
      </w:pPr>
      <w:r>
        <w:t>Techniki alternatywne</w:t>
      </w:r>
    </w:p>
    <w:p>
      <w:r>
        <w:t>Western blot, ELISA, mikromacierze i metody fluorescencyjne mogą oznaczać wybrane białka. Są zwykle bardziej ukierunkowane niż proteomika MS.</w:t>
      </w:r>
    </w:p>
    <w:p>
      <w:pPr>
        <w:pStyle w:val="Heading3"/>
      </w:pPr>
      <w:r>
        <w:t>Narzędzia</w:t>
      </w:r>
    </w:p>
    <w:p>
      <w:r>
        <w:t>MaxQuant/Perseus, Skyline, OpenMS, Proteome Discoverer, FragPipe/IonQuant i biblioteki statystyczne wspierają ekstrakcję sygnału, normalizację, testowanie i wizualizację.</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Względna</w:t>
            </w:r>
          </w:p>
        </w:tc>
        <w:tc>
          <w:tcPr>
            <w:tcW w:type="dxa" w:w="5100"/>
            <w:vAlign w:val="center"/>
          </w:tcPr>
          <w:p>
            <w:pPr>
              <w:spacing w:after="0"/>
            </w:pPr>
            <w:r/>
            <w:r>
              <w:rPr>
                <w:b w:val="0"/>
                <w:sz w:val="18"/>
              </w:rPr>
              <w:t>Porównuje próbki lub warunki.</w:t>
            </w:r>
          </w:p>
        </w:tc>
      </w:tr>
      <w:tr>
        <w:tc>
          <w:tcPr>
            <w:tcW w:type="dxa" w:w="5100"/>
            <w:vAlign w:val="center"/>
          </w:tcPr>
          <w:p>
            <w:pPr>
              <w:spacing w:after="0"/>
            </w:pPr>
            <w:r/>
            <w:r>
              <w:rPr>
                <w:b/>
                <w:sz w:val="18"/>
              </w:rPr>
              <w:t>Bezwzględna</w:t>
            </w:r>
          </w:p>
        </w:tc>
        <w:tc>
          <w:tcPr>
            <w:tcW w:type="dxa" w:w="5100"/>
            <w:vAlign w:val="center"/>
          </w:tcPr>
          <w:p>
            <w:pPr>
              <w:spacing w:after="0"/>
            </w:pPr>
            <w:r/>
            <w:r>
              <w:rPr>
                <w:b w:val="0"/>
                <w:sz w:val="18"/>
              </w:rPr>
              <w:t>Daje ilość w jednostkach dzięki standardowi.</w:t>
            </w:r>
          </w:p>
        </w:tc>
      </w:tr>
      <w:tr>
        <w:tc>
          <w:tcPr>
            <w:tcW w:type="dxa" w:w="5100"/>
            <w:vAlign w:val="center"/>
          </w:tcPr>
          <w:p>
            <w:pPr>
              <w:spacing w:after="0"/>
            </w:pPr>
            <w:r/>
            <w:r>
              <w:rPr>
                <w:b/>
                <w:sz w:val="18"/>
              </w:rPr>
              <w:t>Label-based</w:t>
            </w:r>
          </w:p>
        </w:tc>
        <w:tc>
          <w:tcPr>
            <w:tcW w:type="dxa" w:w="5100"/>
            <w:vAlign w:val="center"/>
          </w:tcPr>
          <w:p>
            <w:pPr>
              <w:spacing w:after="0"/>
            </w:pPr>
            <w:r/>
            <w:r>
              <w:rPr>
                <w:b w:val="0"/>
                <w:sz w:val="18"/>
              </w:rPr>
              <w:t>Próbki rozróżniane znacznikiem.</w:t>
            </w:r>
          </w:p>
        </w:tc>
      </w:tr>
      <w:tr>
        <w:tc>
          <w:tcPr>
            <w:tcW w:type="dxa" w:w="5100"/>
            <w:vAlign w:val="center"/>
          </w:tcPr>
          <w:p>
            <w:pPr>
              <w:spacing w:after="0"/>
            </w:pPr>
            <w:r/>
            <w:r>
              <w:rPr>
                <w:b/>
                <w:sz w:val="18"/>
              </w:rPr>
              <w:t>Label-free</w:t>
            </w:r>
          </w:p>
        </w:tc>
        <w:tc>
          <w:tcPr>
            <w:tcW w:type="dxa" w:w="5100"/>
            <w:vAlign w:val="center"/>
          </w:tcPr>
          <w:p>
            <w:pPr>
              <w:spacing w:after="0"/>
            </w:pPr>
            <w:r/>
            <w:r>
              <w:rPr>
                <w:b w:val="0"/>
                <w:sz w:val="18"/>
              </w:rPr>
              <w:t>Oddzielne przebiegi porównywane obliczeniowo.</w:t>
            </w:r>
          </w:p>
        </w:tc>
      </w:tr>
      <w:tr>
        <w:tc>
          <w:tcPr>
            <w:tcW w:type="dxa" w:w="5100"/>
            <w:vAlign w:val="center"/>
          </w:tcPr>
          <w:p>
            <w:pPr>
              <w:spacing w:after="0"/>
            </w:pPr>
            <w:r/>
            <w:r>
              <w:rPr>
                <w:b/>
                <w:sz w:val="18"/>
              </w:rPr>
              <w:t>Multipleksowanie</w:t>
            </w:r>
          </w:p>
        </w:tc>
        <w:tc>
          <w:tcPr>
            <w:tcW w:type="dxa" w:w="5100"/>
            <w:vAlign w:val="center"/>
          </w:tcPr>
          <w:p>
            <w:pPr>
              <w:spacing w:after="0"/>
            </w:pPr>
            <w:r/>
            <w:r>
              <w:rPr>
                <w:b w:val="0"/>
                <w:sz w:val="18"/>
              </w:rPr>
              <w:t>Jednoczesna analiza wielu próbek w jednym eksperymencie.</w:t>
            </w:r>
          </w:p>
        </w:tc>
      </w:tr>
    </w:tbl>
    <w:p/>
    <w:p>
      <w:pPr>
        <w:pStyle w:val="Heading2"/>
      </w:pPr>
      <w:r>
        <w:t>Pułapki interpretacyjne</w:t>
      </w:r>
    </w:p>
    <w:p>
      <w:pPr>
        <w:pStyle w:val="ListBullet"/>
      </w:pPr>
      <w:r>
        <w:t>Większy sygnał nie zawsze oznacza biologicznie istotną zmianę - potrzebne są normalizacja i statystyka.</w:t>
      </w:r>
    </w:p>
    <w:p>
      <w:pPr>
        <w:pStyle w:val="ListBullet"/>
      </w:pPr>
      <w:r>
        <w:t>Label-free wymaga dobrej porównywalności przebiegów.</w:t>
      </w:r>
    </w:p>
    <w:p>
      <w:pPr>
        <w:pStyle w:val="Heading2"/>
      </w:pPr>
      <w:r>
        <w:t>Pytania kontrolne</w:t>
      </w:r>
    </w:p>
    <w:p>
      <w:r>
        <w:t>1. Kiedy wybrać SILAC, a kiedy TMT?</w:t>
      </w:r>
    </w:p>
    <w:p>
      <w:r>
        <w:t>2. Co odróżnia kwantyfikację bezwzględną od względnej?</w:t>
      </w:r>
    </w:p>
    <w:p>
      <w:r>
        <w:t>3. Jakie są główne źródła zmienności label-free?</w:t>
      </w:r>
    </w:p>
    <w:p>
      <w:pPr>
        <w:pStyle w:val="Zapamiętaj"/>
      </w:pPr>
      <w:r>
        <w:t>Wróć do podręcznika, aby wykonać przypisane zadania praktyczne i case studies.</w:t>
      </w:r>
    </w:p>
    <w:p>
      <w:r>
        <w:br w:type="page"/>
      </w:r>
    </w:p>
    <w:p>
      <w:pPr>
        <w:pStyle w:val="Heading1"/>
      </w:pPr>
      <w:r>
        <w:t>6. Modyfikacje potranslacyjne (PTM)</w:t>
      </w:r>
    </w:p>
    <w:p>
      <w:r>
        <w:rPr>
          <w:i/>
        </w:rPr>
        <w:t>Zakres w podręczniku: strony 47-52</w:t>
      </w:r>
    </w:p>
    <w:p>
      <w:pPr>
        <w:pStyle w:val="Heading2"/>
      </w:pPr>
      <w:r>
        <w:t>Cele nauki</w:t>
      </w:r>
    </w:p>
    <w:p>
      <w:pPr>
        <w:pStyle w:val="ListBullet"/>
      </w:pPr>
      <w:r>
        <w:t>Wymienić główne PTM i ich funkcje.</w:t>
      </w:r>
    </w:p>
    <w:p>
      <w:pPr>
        <w:pStyle w:val="ListBullet"/>
      </w:pPr>
      <w:r>
        <w:t>Opisać eksperymentalny i bioinformatyczny workflow analizy PTM.</w:t>
      </w:r>
    </w:p>
    <w:p>
      <w:pPr>
        <w:pStyle w:val="Heading2"/>
      </w:pPr>
      <w:r>
        <w:t>Sedno rozdziału</w:t>
      </w:r>
    </w:p>
    <w:p>
      <w:pPr>
        <w:pStyle w:val="Heading3"/>
      </w:pPr>
      <w:r>
        <w:t>Znaczenie PTM</w:t>
      </w:r>
    </w:p>
    <w:p>
      <w:r>
        <w:t>PTM zachodzą po translacji i zwiększają różnorodność funkcjonalną proteomu. Regulują sygnalizację, cykl komórkowy, odpowiedź immunologiczną i procesy chorobowe.</w:t>
      </w:r>
    </w:p>
    <w:p>
      <w:pPr>
        <w:pStyle w:val="Heading3"/>
      </w:pPr>
      <w:r>
        <w:t>Przykłady</w:t>
      </w:r>
    </w:p>
    <w:p>
      <w:r>
        <w:t>Podręcznik wymienia fosforylację, acetylację, ubikwitynację, metylację, glikozylację, nitrozylację, sumoilację, cięcia proteolityczne i mostki disiarczkowe.</w:t>
      </w:r>
    </w:p>
    <w:p>
      <w:pPr>
        <w:pStyle w:val="Heading3"/>
      </w:pPr>
      <w:r>
        <w:t>Trudności</w:t>
      </w:r>
    </w:p>
    <w:p>
      <w:r>
        <w:t>PTM mogą być substechiometryczne, przejściowe i niestabilne. Zmiana masy bywa niewielka, a lokalizacja na konkretnym aminokwasie wymaga wysokiej rozdzielczości i odpowiedniej fragmentacji.</w:t>
      </w:r>
    </w:p>
    <w:p>
      <w:pPr>
        <w:pStyle w:val="Heading3"/>
      </w:pPr>
      <w:r>
        <w:t>Workflow eksperymentalny</w:t>
      </w:r>
    </w:p>
    <w:p>
      <w:r>
        <w:t>Obejmuje wzbogacenie zmodyfikowanych peptydów lub białek, trawienie, MS/MS i dobór fragmentacji, np. ETD lub HCD.</w:t>
      </w:r>
    </w:p>
    <w:p>
      <w:pPr>
        <w:pStyle w:val="Heading3"/>
      </w:pPr>
      <w:r>
        <w:t>Workflow bioinformatyczny</w:t>
      </w:r>
    </w:p>
    <w:p>
      <w:r>
        <w:t>Wyszukiwanie uwzględnia modyfikacje stałe i zmienne, następnie ocenia lokalizację miejsca PTM i wiarygodność przypisania.</w:t>
      </w:r>
    </w:p>
    <w:p>
      <w:pPr>
        <w:pStyle w:val="Heading3"/>
      </w:pPr>
      <w:r>
        <w:t>Narzędzia i bazy</w:t>
      </w:r>
    </w:p>
    <w:p>
      <w:r>
        <w:t>MaxQuant/Andromeda, Mascot, PEAKS, PTMProphet i MSFragger/FragPipe wspierają identyfikację. PhosphoSitePlus, dbPTM i UniProt przechowują adnotacje.</w:t>
      </w:r>
    </w:p>
    <w:p>
      <w:pPr>
        <w:pStyle w:val="Heading3"/>
      </w:pPr>
      <w:r>
        <w:t>Interpretacja</w:t>
      </w:r>
    </w:p>
    <w:p>
      <w:r>
        <w:t>Położenie PTM względem domen, miejsc aktywnych i interfejsów może sugerować wpływ na aktywność, stabilność, lokalizację lub interakcje.</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Fosforylacja</w:t>
            </w:r>
          </w:p>
        </w:tc>
        <w:tc>
          <w:tcPr>
            <w:tcW w:type="dxa" w:w="5100"/>
            <w:vAlign w:val="center"/>
          </w:tcPr>
          <w:p>
            <w:pPr>
              <w:spacing w:after="0"/>
            </w:pPr>
            <w:r/>
            <w:r>
              <w:rPr>
                <w:b w:val="0"/>
                <w:sz w:val="18"/>
              </w:rPr>
              <w:t>Często dynamiczna regulacja sygnalizacji.</w:t>
            </w:r>
          </w:p>
        </w:tc>
      </w:tr>
      <w:tr>
        <w:tc>
          <w:tcPr>
            <w:tcW w:type="dxa" w:w="5100"/>
            <w:vAlign w:val="center"/>
          </w:tcPr>
          <w:p>
            <w:pPr>
              <w:spacing w:after="0"/>
            </w:pPr>
            <w:r/>
            <w:r>
              <w:rPr>
                <w:b/>
                <w:sz w:val="18"/>
              </w:rPr>
              <w:t>Acetylacja</w:t>
            </w:r>
          </w:p>
        </w:tc>
        <w:tc>
          <w:tcPr>
            <w:tcW w:type="dxa" w:w="5100"/>
            <w:vAlign w:val="center"/>
          </w:tcPr>
          <w:p>
            <w:pPr>
              <w:spacing w:after="0"/>
            </w:pPr>
            <w:r/>
            <w:r>
              <w:rPr>
                <w:b w:val="0"/>
                <w:sz w:val="18"/>
              </w:rPr>
              <w:t>Może wpływać na aktywność, chromatynę i interakcje.</w:t>
            </w:r>
          </w:p>
        </w:tc>
      </w:tr>
      <w:tr>
        <w:tc>
          <w:tcPr>
            <w:tcW w:type="dxa" w:w="5100"/>
            <w:vAlign w:val="center"/>
          </w:tcPr>
          <w:p>
            <w:pPr>
              <w:spacing w:after="0"/>
            </w:pPr>
            <w:r/>
            <w:r>
              <w:rPr>
                <w:b/>
                <w:sz w:val="18"/>
              </w:rPr>
              <w:t>Ubikwitynacja</w:t>
            </w:r>
          </w:p>
        </w:tc>
        <w:tc>
          <w:tcPr>
            <w:tcW w:type="dxa" w:w="5100"/>
            <w:vAlign w:val="center"/>
          </w:tcPr>
          <w:p>
            <w:pPr>
              <w:spacing w:after="0"/>
            </w:pPr>
            <w:r/>
            <w:r>
              <w:rPr>
                <w:b w:val="0"/>
                <w:sz w:val="18"/>
              </w:rPr>
              <w:t>Może kierować białko do degradacji lub zmieniać sygnalizację.</w:t>
            </w:r>
          </w:p>
        </w:tc>
      </w:tr>
      <w:tr>
        <w:tc>
          <w:tcPr>
            <w:tcW w:type="dxa" w:w="5100"/>
            <w:vAlign w:val="center"/>
          </w:tcPr>
          <w:p>
            <w:pPr>
              <w:spacing w:after="0"/>
            </w:pPr>
            <w:r/>
            <w:r>
              <w:rPr>
                <w:b/>
                <w:sz w:val="18"/>
              </w:rPr>
              <w:t>Glikozylacja</w:t>
            </w:r>
          </w:p>
        </w:tc>
        <w:tc>
          <w:tcPr>
            <w:tcW w:type="dxa" w:w="5100"/>
            <w:vAlign w:val="center"/>
          </w:tcPr>
          <w:p>
            <w:pPr>
              <w:spacing w:after="0"/>
            </w:pPr>
            <w:r/>
            <w:r>
              <w:rPr>
                <w:b w:val="0"/>
                <w:sz w:val="18"/>
              </w:rPr>
              <w:t>Wpływa m.in. na białka sekrecyjne i błonowe.</w:t>
            </w:r>
          </w:p>
        </w:tc>
      </w:tr>
      <w:tr>
        <w:tc>
          <w:tcPr>
            <w:tcW w:type="dxa" w:w="5100"/>
            <w:vAlign w:val="center"/>
          </w:tcPr>
          <w:p>
            <w:pPr>
              <w:spacing w:after="0"/>
            </w:pPr>
            <w:r/>
            <w:r>
              <w:rPr>
                <w:b/>
                <w:sz w:val="18"/>
              </w:rPr>
              <w:t>Lokalizacja PTM</w:t>
            </w:r>
          </w:p>
        </w:tc>
        <w:tc>
          <w:tcPr>
            <w:tcW w:type="dxa" w:w="5100"/>
            <w:vAlign w:val="center"/>
          </w:tcPr>
          <w:p>
            <w:pPr>
              <w:spacing w:after="0"/>
            </w:pPr>
            <w:r/>
            <w:r>
              <w:rPr>
                <w:b w:val="0"/>
                <w:sz w:val="18"/>
              </w:rPr>
              <w:t>Przypisanie modyfikacji do konkretnej reszty aminokwasowej.</w:t>
            </w:r>
          </w:p>
        </w:tc>
      </w:tr>
    </w:tbl>
    <w:p/>
    <w:p>
      <w:pPr>
        <w:pStyle w:val="Heading2"/>
      </w:pPr>
      <w:r>
        <w:t>Pułapki interpretacyjne</w:t>
      </w:r>
    </w:p>
    <w:p>
      <w:pPr>
        <w:pStyle w:val="ListBullet"/>
      </w:pPr>
      <w:r>
        <w:t>Wykrycie przesunięcia masy nie zawsze wystarcza do jednoznacznej lokalizacji PTM.</w:t>
      </w:r>
    </w:p>
    <w:p>
      <w:pPr>
        <w:pStyle w:val="ListBullet"/>
      </w:pPr>
      <w:r>
        <w:t>Brak wykrycia PTM nie dowodzi jej biologicznego braku - może wynikać z niskiej obfitości lub przygotowania próbki.</w:t>
      </w:r>
    </w:p>
    <w:p>
      <w:pPr>
        <w:pStyle w:val="Heading2"/>
      </w:pPr>
      <w:r>
        <w:t>Pytania kontrolne</w:t>
      </w:r>
    </w:p>
    <w:p>
      <w:r>
        <w:t>1. Dlaczego wzbogacanie jest potrzebne?</w:t>
      </w:r>
    </w:p>
    <w:p>
      <w:r>
        <w:t>2. Co oznacza substechiometryczność?</w:t>
      </w:r>
    </w:p>
    <w:p>
      <w:r>
        <w:t>3. Jak baza PTM pomaga w interpretacji biologicznej?</w:t>
      </w:r>
    </w:p>
    <w:p>
      <w:pPr>
        <w:pStyle w:val="Zapamiętaj"/>
      </w:pPr>
      <w:r>
        <w:t>Wróć do podręcznika, aby wykonać przypisane zadania praktyczne i case studies.</w:t>
      </w:r>
    </w:p>
    <w:p>
      <w:r>
        <w:br w:type="page"/>
      </w:r>
    </w:p>
    <w:p>
      <w:pPr>
        <w:pStyle w:val="Heading1"/>
      </w:pPr>
      <w:r>
        <w:t>7. Interakcje i sieci białkowe</w:t>
      </w:r>
    </w:p>
    <w:p>
      <w:r>
        <w:rPr>
          <w:i/>
        </w:rPr>
        <w:t>Zakres w podręczniku: strony 53-57</w:t>
      </w:r>
    </w:p>
    <w:p>
      <w:pPr>
        <w:pStyle w:val="Heading2"/>
      </w:pPr>
      <w:r>
        <w:t>Cele nauki</w:t>
      </w:r>
    </w:p>
    <w:p>
      <w:pPr>
        <w:pStyle w:val="ListBullet"/>
      </w:pPr>
      <w:r>
        <w:t>Rozróżniać rodzaje i metody wykrywania interakcji.</w:t>
      </w:r>
    </w:p>
    <w:p>
      <w:pPr>
        <w:pStyle w:val="ListBullet"/>
      </w:pPr>
      <w:r>
        <w:t>Interpretować podstawowe elementy sieci PPI.</w:t>
      </w:r>
    </w:p>
    <w:p>
      <w:pPr>
        <w:pStyle w:val="Heading2"/>
      </w:pPr>
      <w:r>
        <w:t>Sedno rozdziału</w:t>
      </w:r>
    </w:p>
    <w:p>
      <w:pPr>
        <w:pStyle w:val="Heading3"/>
      </w:pPr>
      <w:r>
        <w:t>PPI</w:t>
      </w:r>
    </w:p>
    <w:p>
      <w:r>
        <w:t>Funkcja, lokalizacja i stabilność białka zależą od interakcji z białkami, DNA, RNA, metabolitami i błonami. Proteomika bada zarówno pojedyncze pary, jak i całe sieci oddziaływań.</w:t>
      </w:r>
    </w:p>
    <w:p>
      <w:pPr>
        <w:pStyle w:val="Heading3"/>
      </w:pPr>
      <w:r>
        <w:t>Rodzaje interakcji</w:t>
      </w:r>
    </w:p>
    <w:p>
      <w:r>
        <w:t>Interakcje mogą być trwałe lub przejściowe, specyficzne lub niespecyficzne, bezpośrednie lub pośrednie. Ich znaczenie zależy od kontekstu komórkowego.</w:t>
      </w:r>
    </w:p>
    <w:p>
      <w:pPr>
        <w:pStyle w:val="Heading3"/>
      </w:pPr>
      <w:r>
        <w:t>Metody eksperymentalne</w:t>
      </w:r>
    </w:p>
    <w:p>
      <w:r>
        <w:t>Wymieniono m.in. yeast two-hybrid, koimmunoprecypitację, affinity purification-MS, proximity labeling, cross-linking MS i metody strukturalne.</w:t>
      </w:r>
    </w:p>
    <w:p>
      <w:pPr>
        <w:pStyle w:val="Heading3"/>
      </w:pPr>
      <w:r>
        <w:t>Sieć jako graf</w:t>
      </w:r>
    </w:p>
    <w:p>
      <w:r>
        <w:t>Białka są węzłami, a interakcje krawędziami. Analiza obejmuje stopień węzła, centralność, huby, klastry/moduły i nadreprezentację funkcji.</w:t>
      </w:r>
    </w:p>
    <w:p>
      <w:pPr>
        <w:pStyle w:val="Heading3"/>
      </w:pPr>
      <w:r>
        <w:t>Bazy i narzędzia</w:t>
      </w:r>
    </w:p>
    <w:p>
      <w:r>
        <w:t>STRING, BioGRID, IntAct, MINT i HPRD dostarczają danych. Cytoscape służy do wizualizacji i analizy; wymieniono też NAViGaTOR, Gephi, NetworkAnalyst i iRefIndex.</w:t>
      </w:r>
    </w:p>
    <w:p>
      <w:pPr>
        <w:pStyle w:val="Heading3"/>
      </w:pPr>
      <w:r>
        <w:t>Interpretacja</w:t>
      </w:r>
    </w:p>
    <w:p>
      <w:r>
        <w:t>Hub może być ważnym regulatorem, a moduł może odpowiadać kompleksowi lub procesowi. Należy jednak uwzględniać jakość dowodów, stronniczość literatury i kontekst tkankowy.</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Węzeł</w:t>
            </w:r>
          </w:p>
        </w:tc>
        <w:tc>
          <w:tcPr>
            <w:tcW w:type="dxa" w:w="5100"/>
            <w:vAlign w:val="center"/>
          </w:tcPr>
          <w:p>
            <w:pPr>
              <w:spacing w:after="0"/>
            </w:pPr>
            <w:r/>
            <w:r>
              <w:rPr>
                <w:b w:val="0"/>
                <w:sz w:val="18"/>
              </w:rPr>
              <w:t>Białko lub inna cząsteczka.</w:t>
            </w:r>
          </w:p>
        </w:tc>
      </w:tr>
      <w:tr>
        <w:tc>
          <w:tcPr>
            <w:tcW w:type="dxa" w:w="5100"/>
            <w:vAlign w:val="center"/>
          </w:tcPr>
          <w:p>
            <w:pPr>
              <w:spacing w:after="0"/>
            </w:pPr>
            <w:r/>
            <w:r>
              <w:rPr>
                <w:b/>
                <w:sz w:val="18"/>
              </w:rPr>
              <w:t>Krawędź</w:t>
            </w:r>
          </w:p>
        </w:tc>
        <w:tc>
          <w:tcPr>
            <w:tcW w:type="dxa" w:w="5100"/>
            <w:vAlign w:val="center"/>
          </w:tcPr>
          <w:p>
            <w:pPr>
              <w:spacing w:after="0"/>
            </w:pPr>
            <w:r/>
            <w:r>
              <w:rPr>
                <w:b w:val="0"/>
                <w:sz w:val="18"/>
              </w:rPr>
              <w:t>Relacja/interakcja.</w:t>
            </w:r>
          </w:p>
        </w:tc>
      </w:tr>
      <w:tr>
        <w:tc>
          <w:tcPr>
            <w:tcW w:type="dxa" w:w="5100"/>
            <w:vAlign w:val="center"/>
          </w:tcPr>
          <w:p>
            <w:pPr>
              <w:spacing w:after="0"/>
            </w:pPr>
            <w:r/>
            <w:r>
              <w:rPr>
                <w:b/>
                <w:sz w:val="18"/>
              </w:rPr>
              <w:t>Hub</w:t>
            </w:r>
          </w:p>
        </w:tc>
        <w:tc>
          <w:tcPr>
            <w:tcW w:type="dxa" w:w="5100"/>
            <w:vAlign w:val="center"/>
          </w:tcPr>
          <w:p>
            <w:pPr>
              <w:spacing w:after="0"/>
            </w:pPr>
            <w:r/>
            <w:r>
              <w:rPr>
                <w:b w:val="0"/>
                <w:sz w:val="18"/>
              </w:rPr>
              <w:t>Węzeł o wielu połączeniach.</w:t>
            </w:r>
          </w:p>
        </w:tc>
      </w:tr>
      <w:tr>
        <w:tc>
          <w:tcPr>
            <w:tcW w:type="dxa" w:w="5100"/>
            <w:vAlign w:val="center"/>
          </w:tcPr>
          <w:p>
            <w:pPr>
              <w:spacing w:after="0"/>
            </w:pPr>
            <w:r/>
            <w:r>
              <w:rPr>
                <w:b/>
                <w:sz w:val="18"/>
              </w:rPr>
              <w:t>Moduł/klaster</w:t>
            </w:r>
          </w:p>
        </w:tc>
        <w:tc>
          <w:tcPr>
            <w:tcW w:type="dxa" w:w="5100"/>
            <w:vAlign w:val="center"/>
          </w:tcPr>
          <w:p>
            <w:pPr>
              <w:spacing w:after="0"/>
            </w:pPr>
            <w:r/>
            <w:r>
              <w:rPr>
                <w:b w:val="0"/>
                <w:sz w:val="18"/>
              </w:rPr>
              <w:t>Gęsto połączona grupa elementów.</w:t>
            </w:r>
          </w:p>
        </w:tc>
      </w:tr>
      <w:tr>
        <w:tc>
          <w:tcPr>
            <w:tcW w:type="dxa" w:w="5100"/>
            <w:vAlign w:val="center"/>
          </w:tcPr>
          <w:p>
            <w:pPr>
              <w:spacing w:after="0"/>
            </w:pPr>
            <w:r/>
            <w:r>
              <w:rPr>
                <w:b/>
                <w:sz w:val="18"/>
              </w:rPr>
              <w:t>Centralność</w:t>
            </w:r>
          </w:p>
        </w:tc>
        <w:tc>
          <w:tcPr>
            <w:tcW w:type="dxa" w:w="5100"/>
            <w:vAlign w:val="center"/>
          </w:tcPr>
          <w:p>
            <w:pPr>
              <w:spacing w:after="0"/>
            </w:pPr>
            <w:r/>
            <w:r>
              <w:rPr>
                <w:b w:val="0"/>
                <w:sz w:val="18"/>
              </w:rPr>
              <w:t>Miara znaczenia położenia w sieci.</w:t>
            </w:r>
          </w:p>
        </w:tc>
      </w:tr>
    </w:tbl>
    <w:p/>
    <w:p>
      <w:pPr>
        <w:pStyle w:val="Heading2"/>
      </w:pPr>
      <w:r>
        <w:t>Pułapki interpretacyjne</w:t>
      </w:r>
    </w:p>
    <w:p>
      <w:pPr>
        <w:pStyle w:val="ListBullet"/>
      </w:pPr>
      <w:r>
        <w:t>Krawędź w bazie nie zawsze oznacza bezpośredni kontakt fizyczny.</w:t>
      </w:r>
    </w:p>
    <w:p>
      <w:pPr>
        <w:pStyle w:val="ListBullet"/>
      </w:pPr>
      <w:r>
        <w:t>Sieć agregująca wiele eksperymentów może nie odzwierciedlać jednej tkanki lub warunku.</w:t>
      </w:r>
    </w:p>
    <w:p>
      <w:pPr>
        <w:pStyle w:val="Heading2"/>
      </w:pPr>
      <w:r>
        <w:t>Pytania kontrolne</w:t>
      </w:r>
    </w:p>
    <w:p>
      <w:r>
        <w:t>1. Czym AP-MS różni się od Y2H?</w:t>
      </w:r>
    </w:p>
    <w:p>
      <w:r>
        <w:t>2. Co może oznaczać hub?</w:t>
      </w:r>
    </w:p>
    <w:p>
      <w:r>
        <w:t>3. Dlaczego próg confidence zmienia interpretację sieci STRING?</w:t>
      </w:r>
    </w:p>
    <w:p>
      <w:pPr>
        <w:pStyle w:val="Zapamiętaj"/>
      </w:pPr>
      <w:r>
        <w:t>Wróć do podręcznika, aby wykonać przypisane zadania praktyczne i case studies.</w:t>
      </w:r>
    </w:p>
    <w:p>
      <w:r>
        <w:br w:type="page"/>
      </w:r>
    </w:p>
    <w:p>
      <w:pPr>
        <w:pStyle w:val="Heading1"/>
      </w:pPr>
      <w:r>
        <w:t>8. Struktura białek: eksperyment i predykcja</w:t>
      </w:r>
    </w:p>
    <w:p>
      <w:r>
        <w:rPr>
          <w:i/>
        </w:rPr>
        <w:t>Zakres w podręczniku: strony 58-66</w:t>
      </w:r>
    </w:p>
    <w:p>
      <w:pPr>
        <w:pStyle w:val="Heading2"/>
      </w:pPr>
      <w:r>
        <w:t>Cele nauki</w:t>
      </w:r>
    </w:p>
    <w:p>
      <w:pPr>
        <w:pStyle w:val="ListBullet"/>
      </w:pPr>
      <w:r>
        <w:t>Porównać metody eksperymentalne wyznaczania struktur.</w:t>
      </w:r>
    </w:p>
    <w:p>
      <w:pPr>
        <w:pStyle w:val="ListBullet"/>
      </w:pPr>
      <w:r>
        <w:t>Rozumieć predykcję homologiczną, de novo i AlphaFold.</w:t>
      </w:r>
    </w:p>
    <w:p>
      <w:pPr>
        <w:pStyle w:val="ListBullet"/>
      </w:pPr>
      <w:r>
        <w:t>Oceniać jakość modelu strukturalnego.</w:t>
      </w:r>
    </w:p>
    <w:p>
      <w:pPr>
        <w:pStyle w:val="Heading2"/>
      </w:pPr>
      <w:r>
        <w:t>Sedno rozdziału</w:t>
      </w:r>
    </w:p>
    <w:p>
      <w:pPr>
        <w:pStyle w:val="Heading3"/>
      </w:pPr>
      <w:r>
        <w:t>Struktura a funkcja</w:t>
      </w:r>
    </w:p>
    <w:p>
      <w:r>
        <w:t>Przestrzenne ułożenie atomów warunkuje aktywność, wiązanie ligandów, interakcje i stabilność. Bioinformatyka strukturalna analizuje głównie poziom trzeciorzędowy i czwartorzędowy.</w:t>
      </w:r>
    </w:p>
    <w:p>
      <w:pPr>
        <w:pStyle w:val="Heading3"/>
      </w:pPr>
      <w:r>
        <w:t>Krystalografia rentgenowska</w:t>
      </w:r>
    </w:p>
    <w:p>
      <w:r>
        <w:t>Daje struktury o wysokiej rozdzielczości, ale wymaga kryształów i może nie odzwierciedlać pełnej dynamiki białka.</w:t>
      </w:r>
    </w:p>
    <w:p>
      <w:pPr>
        <w:pStyle w:val="Heading3"/>
      </w:pPr>
      <w:r>
        <w:t>NMR</w:t>
      </w:r>
    </w:p>
    <w:p>
      <w:r>
        <w:t>Pozwala analizować białka w roztworze i dynamikę, lecz jest ograniczony rozmiarem i złożonością próbki.</w:t>
      </w:r>
    </w:p>
    <w:p>
      <w:pPr>
        <w:pStyle w:val="Heading3"/>
      </w:pPr>
      <w:r>
        <w:t>Cryo-EM</w:t>
      </w:r>
    </w:p>
    <w:p>
      <w:r>
        <w:t>Szczególnie przydatny dla dużych kompleksów i białek błonowych. Wynikiem jest mapa gęstości, do której dopasowuje się model atomowy.</w:t>
      </w:r>
    </w:p>
    <w:p>
      <w:pPr>
        <w:pStyle w:val="Heading3"/>
      </w:pPr>
      <w:r>
        <w:t>Modelowanie homologiczne</w:t>
      </w:r>
    </w:p>
    <w:p>
      <w:r>
        <w:t>Korzysta ze znanej struktury podobnego białka. Jakość zależy od podobieństwa sekwencji i jakości dopasowania.</w:t>
      </w:r>
    </w:p>
    <w:p>
      <w:pPr>
        <w:pStyle w:val="Heading3"/>
      </w:pPr>
      <w:r>
        <w:t>Predykcja AI</w:t>
      </w:r>
    </w:p>
    <w:p>
      <w:r>
        <w:t>AlphaFold i podobne narzędzia przewidują strukturę na podstawie sekwencji i wzorców ewolucyjnych. Wynik należy oceniać za pomocą miar ufności, a nie traktować jako równoważny danym eksperymentalnym.</w:t>
      </w:r>
    </w:p>
    <w:p>
      <w:pPr>
        <w:pStyle w:val="Heading3"/>
      </w:pPr>
      <w:r>
        <w:t>Analiza struktur</w:t>
      </w:r>
    </w:p>
    <w:p>
      <w:r>
        <w:t>PyMOL, Chimera/ChimeraX i przeglądarki PDB służą do oceny domen, ligandów, kontaktów, struktur drugorzędowych i nakładania modeli.</w:t>
      </w:r>
    </w:p>
    <w:p>
      <w:pPr>
        <w:pStyle w:val="Heading3"/>
      </w:pPr>
      <w:r>
        <w:t>Bazy</w:t>
      </w:r>
    </w:p>
    <w:p>
      <w:r>
        <w:t>PDB przechowuje modele eksperymentalne, AlphaFold DB - przewidywane, a EMDB - mapy Cryo-EM.</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Rozdzielczość</w:t>
            </w:r>
          </w:p>
        </w:tc>
        <w:tc>
          <w:tcPr>
            <w:tcW w:type="dxa" w:w="5100"/>
            <w:vAlign w:val="center"/>
          </w:tcPr>
          <w:p>
            <w:pPr>
              <w:spacing w:after="0"/>
            </w:pPr>
            <w:r/>
            <w:r>
              <w:rPr>
                <w:b w:val="0"/>
                <w:sz w:val="18"/>
              </w:rPr>
              <w:t>Poziom szczegółowości danych eksperymentalnych.</w:t>
            </w:r>
          </w:p>
        </w:tc>
      </w:tr>
      <w:tr>
        <w:tc>
          <w:tcPr>
            <w:tcW w:type="dxa" w:w="5100"/>
            <w:vAlign w:val="center"/>
          </w:tcPr>
          <w:p>
            <w:pPr>
              <w:spacing w:after="0"/>
            </w:pPr>
            <w:r/>
            <w:r>
              <w:rPr>
                <w:b/>
                <w:sz w:val="18"/>
              </w:rPr>
              <w:t>pLDDT</w:t>
            </w:r>
          </w:p>
        </w:tc>
        <w:tc>
          <w:tcPr>
            <w:tcW w:type="dxa" w:w="5100"/>
            <w:vAlign w:val="center"/>
          </w:tcPr>
          <w:p>
            <w:pPr>
              <w:spacing w:after="0"/>
            </w:pPr>
            <w:r/>
            <w:r>
              <w:rPr>
                <w:b w:val="0"/>
                <w:sz w:val="18"/>
              </w:rPr>
              <w:t>Lokalna miara ufności modelu AlphaFold.</w:t>
            </w:r>
          </w:p>
        </w:tc>
      </w:tr>
      <w:tr>
        <w:tc>
          <w:tcPr>
            <w:tcW w:type="dxa" w:w="5100"/>
            <w:vAlign w:val="center"/>
          </w:tcPr>
          <w:p>
            <w:pPr>
              <w:spacing w:after="0"/>
            </w:pPr>
            <w:r/>
            <w:r>
              <w:rPr>
                <w:b/>
                <w:sz w:val="18"/>
              </w:rPr>
              <w:t>PAE</w:t>
            </w:r>
          </w:p>
        </w:tc>
        <w:tc>
          <w:tcPr>
            <w:tcW w:type="dxa" w:w="5100"/>
            <w:vAlign w:val="center"/>
          </w:tcPr>
          <w:p>
            <w:pPr>
              <w:spacing w:after="0"/>
            </w:pPr>
            <w:r/>
            <w:r>
              <w:rPr>
                <w:b w:val="0"/>
                <w:sz w:val="18"/>
              </w:rPr>
              <w:t>Niepewność wzajemnego położenia regionów/domen.</w:t>
            </w:r>
          </w:p>
        </w:tc>
      </w:tr>
      <w:tr>
        <w:tc>
          <w:tcPr>
            <w:tcW w:type="dxa" w:w="5100"/>
            <w:vAlign w:val="center"/>
          </w:tcPr>
          <w:p>
            <w:pPr>
              <w:spacing w:after="0"/>
            </w:pPr>
            <w:r/>
            <w:r>
              <w:rPr>
                <w:b/>
                <w:sz w:val="18"/>
              </w:rPr>
              <w:t>RMSD</w:t>
            </w:r>
          </w:p>
        </w:tc>
        <w:tc>
          <w:tcPr>
            <w:tcW w:type="dxa" w:w="5100"/>
            <w:vAlign w:val="center"/>
          </w:tcPr>
          <w:p>
            <w:pPr>
              <w:spacing w:after="0"/>
            </w:pPr>
            <w:r/>
            <w:r>
              <w:rPr>
                <w:b w:val="0"/>
                <w:sz w:val="18"/>
              </w:rPr>
              <w:t>Miara różnicy po nałożeniu struktur.</w:t>
            </w:r>
          </w:p>
        </w:tc>
      </w:tr>
      <w:tr>
        <w:tc>
          <w:tcPr>
            <w:tcW w:type="dxa" w:w="5100"/>
            <w:vAlign w:val="center"/>
          </w:tcPr>
          <w:p>
            <w:pPr>
              <w:spacing w:after="0"/>
            </w:pPr>
            <w:r/>
            <w:r>
              <w:rPr>
                <w:b/>
                <w:sz w:val="18"/>
              </w:rPr>
              <w:t>Ligand</w:t>
            </w:r>
          </w:p>
        </w:tc>
        <w:tc>
          <w:tcPr>
            <w:tcW w:type="dxa" w:w="5100"/>
            <w:vAlign w:val="center"/>
          </w:tcPr>
          <w:p>
            <w:pPr>
              <w:spacing w:after="0"/>
            </w:pPr>
            <w:r/>
            <w:r>
              <w:rPr>
                <w:b w:val="0"/>
                <w:sz w:val="18"/>
              </w:rPr>
              <w:t>Cząsteczka związana z białkiem.</w:t>
            </w:r>
          </w:p>
        </w:tc>
      </w:tr>
    </w:tbl>
    <w:p/>
    <w:p>
      <w:pPr>
        <w:pStyle w:val="Heading2"/>
      </w:pPr>
      <w:r>
        <w:t>Pułapki interpretacyjne</w:t>
      </w:r>
    </w:p>
    <w:p>
      <w:pPr>
        <w:pStyle w:val="ListBullet"/>
      </w:pPr>
      <w:r>
        <w:t>Wysoki pLDDT lokalny nie gwarantuje poprawnej orientacji domen.</w:t>
      </w:r>
    </w:p>
    <w:p>
      <w:pPr>
        <w:pStyle w:val="ListBullet"/>
      </w:pPr>
      <w:r>
        <w:t>Mapa Cryo-EM i model atomowy to dwa różne typy danych.</w:t>
      </w:r>
    </w:p>
    <w:p>
      <w:pPr>
        <w:pStyle w:val="ListBullet"/>
      </w:pPr>
      <w:r>
        <w:t>Model predykcyjny może nie przedstawiać konkretnego stanu konformacyjnego lub kompleksu.</w:t>
      </w:r>
    </w:p>
    <w:p>
      <w:pPr>
        <w:pStyle w:val="Heading2"/>
      </w:pPr>
      <w:r>
        <w:t>Pytania kontrolne</w:t>
      </w:r>
    </w:p>
    <w:p>
      <w:r>
        <w:t>1. Kiedy Cryo-EM jest korzystniejszy od krystalografii?</w:t>
      </w:r>
    </w:p>
    <w:p>
      <w:r>
        <w:t>2. Jak interpretować niski pLDDT?</w:t>
      </w:r>
    </w:p>
    <w:p>
      <w:r>
        <w:t>3. Co mówi RMSD po superpozycji?</w:t>
      </w:r>
    </w:p>
    <w:p>
      <w:pPr>
        <w:pStyle w:val="Zapamiętaj"/>
      </w:pPr>
      <w:r>
        <w:t>Wróć do podręcznika, aby wykonać przypisane zadania praktyczne i case studies.</w:t>
      </w:r>
    </w:p>
    <w:p>
      <w:r>
        <w:br w:type="page"/>
      </w:r>
    </w:p>
    <w:p>
      <w:pPr>
        <w:pStyle w:val="Heading1"/>
      </w:pPr>
      <w:r>
        <w:t>9. Uczenie maszynowe w proteomice</w:t>
      </w:r>
    </w:p>
    <w:p>
      <w:r>
        <w:rPr>
          <w:i/>
        </w:rPr>
        <w:t>Zakres w podręczniku: strony 67-70</w:t>
      </w:r>
    </w:p>
    <w:p>
      <w:pPr>
        <w:pStyle w:val="Heading2"/>
      </w:pPr>
      <w:r>
        <w:t>Cele nauki</w:t>
      </w:r>
    </w:p>
    <w:p>
      <w:pPr>
        <w:pStyle w:val="ListBullet"/>
      </w:pPr>
      <w:r>
        <w:t>Rozróżniać uczenie nadzorowane, nienadzorowane i głębokie.</w:t>
      </w:r>
    </w:p>
    <w:p>
      <w:pPr>
        <w:pStyle w:val="ListBullet"/>
      </w:pPr>
      <w:r>
        <w:t>Wskazywać zastosowania ML w analizie białek.</w:t>
      </w:r>
    </w:p>
    <w:p>
      <w:pPr>
        <w:pStyle w:val="Heading2"/>
      </w:pPr>
      <w:r>
        <w:t>Sedno rozdziału</w:t>
      </w:r>
    </w:p>
    <w:p>
      <w:pPr>
        <w:pStyle w:val="Heading3"/>
      </w:pPr>
      <w:r>
        <w:t>Dlaczego ML</w:t>
      </w:r>
    </w:p>
    <w:p>
      <w:r>
        <w:t>Dane proteomiczne są duże, złożone i wielowymiarowe. ML automatyzuje wykrywanie wzorców i predykcję na podstawie danych uczących.</w:t>
      </w:r>
    </w:p>
    <w:p>
      <w:pPr>
        <w:pStyle w:val="Heading3"/>
      </w:pPr>
      <w:r>
        <w:t>Uczenie nadzorowane</w:t>
      </w:r>
    </w:p>
    <w:p>
      <w:r>
        <w:t>Model uczy się na przykładach z etykietami. Zastosowania obejmują klasyfikację funkcji, lokalizacji, interakcji i stanów chorobowych.</w:t>
      </w:r>
    </w:p>
    <w:p>
      <w:pPr>
        <w:pStyle w:val="Heading3"/>
      </w:pPr>
      <w:r>
        <w:t>Uczenie nienadzorowane</w:t>
      </w:r>
    </w:p>
    <w:p>
      <w:r>
        <w:t>Bez gotowych etykiet odkrywa grupy i strukturę danych, np. klastry profili ekspresji lub białek o podobnych cechach.</w:t>
      </w:r>
    </w:p>
    <w:p>
      <w:pPr>
        <w:pStyle w:val="Heading3"/>
      </w:pPr>
      <w:r>
        <w:t>Deep learning</w:t>
      </w:r>
    </w:p>
    <w:p>
      <w:r>
        <w:t>Sieci neuronowe uczą się złożonych reprezentacji sekwencji i struktur. Podręcznik przywołuje AlphaFold, PIPR i DeepGO jako przykłady.</w:t>
      </w:r>
    </w:p>
    <w:p>
      <w:pPr>
        <w:pStyle w:val="Heading3"/>
      </w:pPr>
      <w:r>
        <w:t>Zastosowania</w:t>
      </w:r>
    </w:p>
    <w:p>
      <w:r>
        <w:t>Predykcja struktury, funkcji, lokalizacji, PTM i PPI; klasyfikacja próbek; biomarkery; integracja multi-omics; wspomaganie projektowania leków.</w:t>
      </w:r>
    </w:p>
    <w:p>
      <w:pPr>
        <w:pStyle w:val="Heading3"/>
      </w:pPr>
      <w:r>
        <w:t>Wyzwania</w:t>
      </w:r>
    </w:p>
    <w:p>
      <w:r>
        <w:t>Jakość i reprezentatywność danych, brakujące etykiety, nierównowaga klas, przeuczenie, interpretowalność i potrzeba walidacji eksperymentalnej.</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Cecha</w:t>
            </w:r>
          </w:p>
        </w:tc>
        <w:tc>
          <w:tcPr>
            <w:tcW w:type="dxa" w:w="5100"/>
            <w:vAlign w:val="center"/>
          </w:tcPr>
          <w:p>
            <w:pPr>
              <w:spacing w:after="0"/>
            </w:pPr>
            <w:r/>
            <w:r>
              <w:rPr>
                <w:b w:val="0"/>
                <w:sz w:val="18"/>
              </w:rPr>
              <w:t>Zmienna wejściowa opisująca obiekt.</w:t>
            </w:r>
          </w:p>
        </w:tc>
      </w:tr>
      <w:tr>
        <w:tc>
          <w:tcPr>
            <w:tcW w:type="dxa" w:w="5100"/>
            <w:vAlign w:val="center"/>
          </w:tcPr>
          <w:p>
            <w:pPr>
              <w:spacing w:after="0"/>
            </w:pPr>
            <w:r/>
            <w:r>
              <w:rPr>
                <w:b/>
                <w:sz w:val="18"/>
              </w:rPr>
              <w:t>Etykieta</w:t>
            </w:r>
          </w:p>
        </w:tc>
        <w:tc>
          <w:tcPr>
            <w:tcW w:type="dxa" w:w="5100"/>
            <w:vAlign w:val="center"/>
          </w:tcPr>
          <w:p>
            <w:pPr>
              <w:spacing w:after="0"/>
            </w:pPr>
            <w:r/>
            <w:r>
              <w:rPr>
                <w:b w:val="0"/>
                <w:sz w:val="18"/>
              </w:rPr>
              <w:t>Znany wynik używany w uczeniu nadzorowanym.</w:t>
            </w:r>
          </w:p>
        </w:tc>
      </w:tr>
      <w:tr>
        <w:tc>
          <w:tcPr>
            <w:tcW w:type="dxa" w:w="5100"/>
            <w:vAlign w:val="center"/>
          </w:tcPr>
          <w:p>
            <w:pPr>
              <w:spacing w:after="0"/>
            </w:pPr>
            <w:r/>
            <w:r>
              <w:rPr>
                <w:b/>
                <w:sz w:val="18"/>
              </w:rPr>
              <w:t>Trening/walidacja/test</w:t>
            </w:r>
          </w:p>
        </w:tc>
        <w:tc>
          <w:tcPr>
            <w:tcW w:type="dxa" w:w="5100"/>
            <w:vAlign w:val="center"/>
          </w:tcPr>
          <w:p>
            <w:pPr>
              <w:spacing w:after="0"/>
            </w:pPr>
            <w:r/>
            <w:r>
              <w:rPr>
                <w:b w:val="0"/>
                <w:sz w:val="18"/>
              </w:rPr>
              <w:t>Rozdzielenie danych do uczenia, strojenia i oceny.</w:t>
            </w:r>
          </w:p>
        </w:tc>
      </w:tr>
      <w:tr>
        <w:tc>
          <w:tcPr>
            <w:tcW w:type="dxa" w:w="5100"/>
            <w:vAlign w:val="center"/>
          </w:tcPr>
          <w:p>
            <w:pPr>
              <w:spacing w:after="0"/>
            </w:pPr>
            <w:r/>
            <w:r>
              <w:rPr>
                <w:b/>
                <w:sz w:val="18"/>
              </w:rPr>
              <w:t>Overfitting</w:t>
            </w:r>
          </w:p>
        </w:tc>
        <w:tc>
          <w:tcPr>
            <w:tcW w:type="dxa" w:w="5100"/>
            <w:vAlign w:val="center"/>
          </w:tcPr>
          <w:p>
            <w:pPr>
              <w:spacing w:after="0"/>
            </w:pPr>
            <w:r/>
            <w:r>
              <w:rPr>
                <w:b w:val="0"/>
                <w:sz w:val="18"/>
              </w:rPr>
              <w:t>Dobre dopasowanie do treningu, słaba generalizacja.</w:t>
            </w:r>
          </w:p>
        </w:tc>
      </w:tr>
      <w:tr>
        <w:tc>
          <w:tcPr>
            <w:tcW w:type="dxa" w:w="5100"/>
            <w:vAlign w:val="center"/>
          </w:tcPr>
          <w:p>
            <w:pPr>
              <w:spacing w:after="0"/>
            </w:pPr>
            <w:r/>
            <w:r>
              <w:rPr>
                <w:b/>
                <w:sz w:val="18"/>
              </w:rPr>
              <w:t>Predykcja</w:t>
            </w:r>
          </w:p>
        </w:tc>
        <w:tc>
          <w:tcPr>
            <w:tcW w:type="dxa" w:w="5100"/>
            <w:vAlign w:val="center"/>
          </w:tcPr>
          <w:p>
            <w:pPr>
              <w:spacing w:after="0"/>
            </w:pPr>
            <w:r/>
            <w:r>
              <w:rPr>
                <w:b w:val="0"/>
                <w:sz w:val="18"/>
              </w:rPr>
              <w:t>Wynik modelu wymagający oceny ufności i walidacji.</w:t>
            </w:r>
          </w:p>
        </w:tc>
      </w:tr>
    </w:tbl>
    <w:p/>
    <w:p>
      <w:pPr>
        <w:pStyle w:val="Heading2"/>
      </w:pPr>
      <w:r>
        <w:t>Pułapki interpretacyjne</w:t>
      </w:r>
    </w:p>
    <w:p>
      <w:pPr>
        <w:pStyle w:val="ListBullet"/>
      </w:pPr>
      <w:r>
        <w:t>Predykcja ML nie jest dowodem eksperymentalnym.</w:t>
      </w:r>
    </w:p>
    <w:p>
      <w:pPr>
        <w:pStyle w:val="ListBullet"/>
      </w:pPr>
      <w:r>
        <w:t>Przeciek danych między zbiorem treningowym i testowym zawyża jakość modelu.</w:t>
      </w:r>
    </w:p>
    <w:p>
      <w:pPr>
        <w:pStyle w:val="Heading2"/>
      </w:pPr>
      <w:r>
        <w:t>Pytania kontrolne</w:t>
      </w:r>
    </w:p>
    <w:p>
      <w:r>
        <w:t>1. Kiedy używa się uczenia nienadzorowanego?</w:t>
      </w:r>
    </w:p>
    <w:p>
      <w:r>
        <w:t>2. Dlaczego walidacja zewnętrzna jest ważna?</w:t>
      </w:r>
    </w:p>
    <w:p>
      <w:r>
        <w:t>3. Jakie dane wejściowe można wykorzystać do predykcji funkcji białka?</w:t>
      </w:r>
    </w:p>
    <w:p>
      <w:pPr>
        <w:pStyle w:val="Zapamiętaj"/>
      </w:pPr>
      <w:r>
        <w:t>Wróć do podręcznika, aby wykonać przypisane zadania praktyczne i case studies.</w:t>
      </w:r>
    </w:p>
    <w:p>
      <w:r>
        <w:br w:type="page"/>
      </w:r>
    </w:p>
    <w:p>
      <w:pPr>
        <w:pStyle w:val="Heading1"/>
      </w:pPr>
      <w:r>
        <w:t>10. Wizualizacja danych proteomicznych</w:t>
      </w:r>
    </w:p>
    <w:p>
      <w:r>
        <w:rPr>
          <w:i/>
        </w:rPr>
        <w:t>Zakres w podręczniku: strony 71-79</w:t>
      </w:r>
    </w:p>
    <w:p>
      <w:pPr>
        <w:pStyle w:val="Heading2"/>
      </w:pPr>
      <w:r>
        <w:t>Cele nauki</w:t>
      </w:r>
    </w:p>
    <w:p>
      <w:pPr>
        <w:pStyle w:val="ListBullet"/>
      </w:pPr>
      <w:r>
        <w:t>Dobrać wykres do pytania biologicznego.</w:t>
      </w:r>
    </w:p>
    <w:p>
      <w:pPr>
        <w:pStyle w:val="ListBullet"/>
      </w:pPr>
      <w:r>
        <w:t>Rozpoznawać heatmapę, PCA, volcano plot i wizualizacje ewolucyjne.</w:t>
      </w:r>
    </w:p>
    <w:p>
      <w:pPr>
        <w:pStyle w:val="Heading2"/>
      </w:pPr>
      <w:r>
        <w:t>Sedno rozdziału</w:t>
      </w:r>
    </w:p>
    <w:p>
      <w:pPr>
        <w:pStyle w:val="Heading3"/>
      </w:pPr>
      <w:r>
        <w:t>Rola wizualizacji</w:t>
      </w:r>
    </w:p>
    <w:p>
      <w:r>
        <w:t>Wizualizacja upraszcza interpretację tysięcy pomiarów, ujawnia wzorce, anomalie, grupowanie i zależności między próbkami lub białkami.</w:t>
      </w:r>
    </w:p>
    <w:p>
      <w:pPr>
        <w:pStyle w:val="Heading3"/>
      </w:pPr>
      <w:r>
        <w:t>Barplot i boxplot</w:t>
      </w:r>
    </w:p>
    <w:p>
      <w:r>
        <w:t>Barplot pokazuje porównanie wartości, a boxplot rozkład, medianę i obserwacje odstające.</w:t>
      </w:r>
    </w:p>
    <w:p>
      <w:pPr>
        <w:pStyle w:val="Heading3"/>
      </w:pPr>
      <w:r>
        <w:t>Scatter i MA plot</w:t>
      </w:r>
    </w:p>
    <w:p>
      <w:r>
        <w:t>Scatter pokazuje zależność dwóch zmiennych. MA plot przedstawia różnicę logarytmiczną względem średniego sygnału.</w:t>
      </w:r>
    </w:p>
    <w:p>
      <w:pPr>
        <w:pStyle w:val="Heading3"/>
      </w:pPr>
      <w:r>
        <w:t>Volcano plot</w:t>
      </w:r>
    </w:p>
    <w:p>
      <w:r>
        <w:t>Łączy wielkość zmiany, zwykle log2 fold change, z istotnością statystyczną. Pomaga wskazać białka silnie i istotnie zmienione.</w:t>
      </w:r>
    </w:p>
    <w:p>
      <w:pPr>
        <w:pStyle w:val="Heading3"/>
      </w:pPr>
      <w:r>
        <w:t>Heatmapa</w:t>
      </w:r>
    </w:p>
    <w:p>
      <w:r>
        <w:t>Macierz kolorów prezentuje wzorce ekspresji i często jest łączona z grupowaniem hierarchicznym.</w:t>
      </w:r>
    </w:p>
    <w:p>
      <w:pPr>
        <w:pStyle w:val="Heading3"/>
      </w:pPr>
      <w:r>
        <w:t>PCA</w:t>
      </w:r>
    </w:p>
    <w:p>
      <w:r>
        <w:t>Redukuje wymiar i pokazuje główne źródła zmienności między próbkami, grupami i potencjalnymi outlierami.</w:t>
      </w:r>
    </w:p>
    <w:p>
      <w:pPr>
        <w:pStyle w:val="Heading3"/>
      </w:pPr>
      <w:r>
        <w:t>Sieci i struktury</w:t>
      </w:r>
    </w:p>
    <w:p>
      <w:r>
        <w:t>Cytoscape przedstawia sieci, a PyMOL/Chimera struktury 3D. Wizualizacje powinny odpowiadać poziomowi danych.</w:t>
      </w:r>
    </w:p>
    <w:p>
      <w:pPr>
        <w:pStyle w:val="Heading3"/>
      </w:pPr>
      <w:r>
        <w:t>Zmienność ewolucyjna</w:t>
      </w:r>
    </w:p>
    <w:p>
      <w:r>
        <w:t>Multiple sequence alignment, logo sekwencyjne i drzewa filogenetyczne ujawniają konserwację reszt, motywów i relacje homologiczne.</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log2FC</w:t>
            </w:r>
          </w:p>
        </w:tc>
        <w:tc>
          <w:tcPr>
            <w:tcW w:type="dxa" w:w="5100"/>
            <w:vAlign w:val="center"/>
          </w:tcPr>
          <w:p>
            <w:pPr>
              <w:spacing w:after="0"/>
            </w:pPr>
            <w:r/>
            <w:r>
              <w:rPr>
                <w:b w:val="0"/>
                <w:sz w:val="18"/>
              </w:rPr>
              <w:t>Wielkość względnej zmiany na skali log2.</w:t>
            </w:r>
          </w:p>
        </w:tc>
      </w:tr>
      <w:tr>
        <w:tc>
          <w:tcPr>
            <w:tcW w:type="dxa" w:w="5100"/>
            <w:vAlign w:val="center"/>
          </w:tcPr>
          <w:p>
            <w:pPr>
              <w:spacing w:after="0"/>
            </w:pPr>
            <w:r/>
            <w:r>
              <w:rPr>
                <w:b/>
                <w:sz w:val="18"/>
              </w:rPr>
              <w:t>p-value/FDR</w:t>
            </w:r>
          </w:p>
        </w:tc>
        <w:tc>
          <w:tcPr>
            <w:tcW w:type="dxa" w:w="5100"/>
            <w:vAlign w:val="center"/>
          </w:tcPr>
          <w:p>
            <w:pPr>
              <w:spacing w:after="0"/>
            </w:pPr>
            <w:r/>
            <w:r>
              <w:rPr>
                <w:b w:val="0"/>
                <w:sz w:val="18"/>
              </w:rPr>
              <w:t>Miara istotności i korekta wielokrotnych testów.</w:t>
            </w:r>
          </w:p>
        </w:tc>
      </w:tr>
      <w:tr>
        <w:tc>
          <w:tcPr>
            <w:tcW w:type="dxa" w:w="5100"/>
            <w:vAlign w:val="center"/>
          </w:tcPr>
          <w:p>
            <w:pPr>
              <w:spacing w:after="0"/>
            </w:pPr>
            <w:r/>
            <w:r>
              <w:rPr>
                <w:b/>
                <w:sz w:val="18"/>
              </w:rPr>
              <w:t>PCA</w:t>
            </w:r>
          </w:p>
        </w:tc>
        <w:tc>
          <w:tcPr>
            <w:tcW w:type="dxa" w:w="5100"/>
            <w:vAlign w:val="center"/>
          </w:tcPr>
          <w:p>
            <w:pPr>
              <w:spacing w:after="0"/>
            </w:pPr>
            <w:r/>
            <w:r>
              <w:rPr>
                <w:b w:val="0"/>
                <w:sz w:val="18"/>
              </w:rPr>
              <w:t>Redukcja wymiarów i wizualizacja zmienności.</w:t>
            </w:r>
          </w:p>
        </w:tc>
      </w:tr>
      <w:tr>
        <w:tc>
          <w:tcPr>
            <w:tcW w:type="dxa" w:w="5100"/>
            <w:vAlign w:val="center"/>
          </w:tcPr>
          <w:p>
            <w:pPr>
              <w:spacing w:after="0"/>
            </w:pPr>
            <w:r/>
            <w:r>
              <w:rPr>
                <w:b/>
                <w:sz w:val="18"/>
              </w:rPr>
              <w:t>Clustering</w:t>
            </w:r>
          </w:p>
        </w:tc>
        <w:tc>
          <w:tcPr>
            <w:tcW w:type="dxa" w:w="5100"/>
            <w:vAlign w:val="center"/>
          </w:tcPr>
          <w:p>
            <w:pPr>
              <w:spacing w:after="0"/>
            </w:pPr>
            <w:r/>
            <w:r>
              <w:rPr>
                <w:b w:val="0"/>
                <w:sz w:val="18"/>
              </w:rPr>
              <w:t>Grupowanie podobnych próbek lub białek.</w:t>
            </w:r>
          </w:p>
        </w:tc>
      </w:tr>
      <w:tr>
        <w:tc>
          <w:tcPr>
            <w:tcW w:type="dxa" w:w="5100"/>
            <w:vAlign w:val="center"/>
          </w:tcPr>
          <w:p>
            <w:pPr>
              <w:spacing w:after="0"/>
            </w:pPr>
            <w:r/>
            <w:r>
              <w:rPr>
                <w:b/>
                <w:sz w:val="18"/>
              </w:rPr>
              <w:t>MSA</w:t>
            </w:r>
          </w:p>
        </w:tc>
        <w:tc>
          <w:tcPr>
            <w:tcW w:type="dxa" w:w="5100"/>
            <w:vAlign w:val="center"/>
          </w:tcPr>
          <w:p>
            <w:pPr>
              <w:spacing w:after="0"/>
            </w:pPr>
            <w:r/>
            <w:r>
              <w:rPr>
                <w:b w:val="0"/>
                <w:sz w:val="18"/>
              </w:rPr>
              <w:t>Dopasowanie wielu sekwencji homologicznych.</w:t>
            </w:r>
          </w:p>
        </w:tc>
      </w:tr>
    </w:tbl>
    <w:p/>
    <w:p>
      <w:pPr>
        <w:pStyle w:val="Heading2"/>
      </w:pPr>
      <w:r>
        <w:t>Pułapki interpretacyjne</w:t>
      </w:r>
    </w:p>
    <w:p>
      <w:pPr>
        <w:pStyle w:val="ListBullet"/>
      </w:pPr>
      <w:r>
        <w:t>Volcano plot bez progów i informacji o korekcie wielokrotnych testów może być mylący.</w:t>
      </w:r>
    </w:p>
    <w:p>
      <w:pPr>
        <w:pStyle w:val="ListBullet"/>
      </w:pPr>
      <w:r>
        <w:t>PCA pokazuje wariancję, ale nie automatycznie przyczynę biologiczną.</w:t>
      </w:r>
    </w:p>
    <w:p>
      <w:pPr>
        <w:pStyle w:val="ListBullet"/>
      </w:pPr>
      <w:r>
        <w:t>Kolorystyka heatmapy wymaga opisanej skali i normalizacji.</w:t>
      </w:r>
    </w:p>
    <w:p>
      <w:pPr>
        <w:pStyle w:val="Heading2"/>
      </w:pPr>
      <w:r>
        <w:t>Pytania kontrolne</w:t>
      </w:r>
    </w:p>
    <w:p>
      <w:r>
        <w:t>1. Kiedy wybrać boxplot zamiast barplotu?</w:t>
      </w:r>
    </w:p>
    <w:p>
      <w:r>
        <w:t>2. Co oznacza odseparowana próbka na PCA?</w:t>
      </w:r>
    </w:p>
    <w:p>
      <w:r>
        <w:t>3. Jak MSA pomaga znaleźć reszty funkcjonalne?</w:t>
      </w:r>
    </w:p>
    <w:p>
      <w:pPr>
        <w:pStyle w:val="Zapamiętaj"/>
      </w:pPr>
      <w:r>
        <w:t>Wróć do podręcznika, aby wykonać przypisane zadania praktyczne i case studies.</w:t>
      </w:r>
    </w:p>
    <w:p>
      <w:r>
        <w:br w:type="page"/>
      </w:r>
    </w:p>
    <w:p>
      <w:pPr>
        <w:pStyle w:val="Heading1"/>
      </w:pPr>
      <w:r>
        <w:t>11. Integracja proteomiki z NGS</w:t>
      </w:r>
    </w:p>
    <w:p>
      <w:r>
        <w:rPr>
          <w:i/>
        </w:rPr>
        <w:t>Zakres w podręczniku: strony 80-84</w:t>
      </w:r>
    </w:p>
    <w:p>
      <w:pPr>
        <w:pStyle w:val="Heading2"/>
      </w:pPr>
      <w:r>
        <w:t>Cele nauki</w:t>
      </w:r>
    </w:p>
    <w:p>
      <w:pPr>
        <w:pStyle w:val="ListBullet"/>
      </w:pPr>
      <w:r>
        <w:t>Wyjaśnić, dlaczego RNA i białko nie muszą silnie korelować.</w:t>
      </w:r>
    </w:p>
    <w:p>
      <w:pPr>
        <w:pStyle w:val="ListBullet"/>
      </w:pPr>
      <w:r>
        <w:t>Opisać poziomy integracji genom-transkryptom-proteom.</w:t>
      </w:r>
    </w:p>
    <w:p>
      <w:pPr>
        <w:pStyle w:val="Heading2"/>
      </w:pPr>
      <w:r>
        <w:t>Sedno rozdziału</w:t>
      </w:r>
    </w:p>
    <w:p>
      <w:pPr>
        <w:pStyle w:val="Heading3"/>
      </w:pPr>
      <w:r>
        <w:t>Biologia systemów</w:t>
      </w:r>
    </w:p>
    <w:p>
      <w:r>
        <w:t>Integracja łączy dane genomowe, transkryptomiczne, proteomiczne i inne omiki, aby uzyskać pełniejszy obraz regulacji komórkowej.</w:t>
      </w:r>
    </w:p>
    <w:p>
      <w:pPr>
        <w:pStyle w:val="Heading3"/>
      </w:pPr>
      <w:r>
        <w:t>RNA a białko</w:t>
      </w:r>
    </w:p>
    <w:p>
      <w:r>
        <w:t>RNA-Seq mierzy transkrypty, a proteomika produkty białkowe, PTM i lokalizację. Korelacja jest często umiarkowana, ponieważ translacja, degradacja i stabilność białek podlegają dodatkowej regulacji.</w:t>
      </w:r>
    </w:p>
    <w:p>
      <w:pPr>
        <w:pStyle w:val="Heading3"/>
      </w:pPr>
      <w:r>
        <w:t>Warianty i izoformy</w:t>
      </w:r>
    </w:p>
    <w:p>
      <w:r>
        <w:t>RNA-Seq ujawnia alternatywny splicing i mutacje, a proteomika może próbować potwierdzać odpowiednie peptydy wariantowe lub izoformy.</w:t>
      </w:r>
    </w:p>
    <w:p>
      <w:pPr>
        <w:pStyle w:val="Heading3"/>
      </w:pPr>
      <w:r>
        <w:t>Proteogenomika</w:t>
      </w:r>
    </w:p>
    <w:p>
      <w:r>
        <w:t>Buduje spersonalizowane bazy sekwencji na podstawie danych NGS, a następnie wykorzystuje je do przeszukiwania widm MS.</w:t>
      </w:r>
    </w:p>
    <w:p>
      <w:pPr>
        <w:pStyle w:val="Heading3"/>
      </w:pPr>
      <w:r>
        <w:t>Analizy zintegrowane</w:t>
      </w:r>
    </w:p>
    <w:p>
      <w:r>
        <w:t>Stosuje się korelacje RNA-białko, analizy szlaków, sieci regulacyjne, wspólne klastrowanie i porównania między warstwami.</w:t>
      </w:r>
    </w:p>
    <w:p>
      <w:pPr>
        <w:pStyle w:val="Heading3"/>
      </w:pPr>
      <w:r>
        <w:t>Wyzwania</w:t>
      </w:r>
    </w:p>
    <w:p>
      <w:r>
        <w:t>Różne skale, brakujące wartości, dopasowanie identyfikatorów, różne czasy pomiaru, heterogeniczność próbek i konieczność spójnej normalizacji.</w:t>
      </w:r>
    </w:p>
    <w:p>
      <w:pPr>
        <w:pStyle w:val="Heading3"/>
      </w:pPr>
      <w:r>
        <w:t>Multi-omics</w:t>
      </w:r>
    </w:p>
    <w:p>
      <w:r>
        <w:t>Kierunek rozwoju obejmuje integrację dodatkowo metabolomiki, epigenomiki i danych klinicznych.</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RNA-Seq</w:t>
            </w:r>
          </w:p>
        </w:tc>
        <w:tc>
          <w:tcPr>
            <w:tcW w:type="dxa" w:w="5100"/>
            <w:vAlign w:val="center"/>
          </w:tcPr>
          <w:p>
            <w:pPr>
              <w:spacing w:after="0"/>
            </w:pPr>
            <w:r/>
            <w:r>
              <w:rPr>
                <w:b w:val="0"/>
                <w:sz w:val="18"/>
              </w:rPr>
              <w:t>Pomiar i charakterystyka transkryptów.</w:t>
            </w:r>
          </w:p>
        </w:tc>
      </w:tr>
      <w:tr>
        <w:tc>
          <w:tcPr>
            <w:tcW w:type="dxa" w:w="5100"/>
            <w:vAlign w:val="center"/>
          </w:tcPr>
          <w:p>
            <w:pPr>
              <w:spacing w:after="0"/>
            </w:pPr>
            <w:r/>
            <w:r>
              <w:rPr>
                <w:b/>
                <w:sz w:val="18"/>
              </w:rPr>
              <w:t>Proteogenomika</w:t>
            </w:r>
          </w:p>
        </w:tc>
        <w:tc>
          <w:tcPr>
            <w:tcW w:type="dxa" w:w="5100"/>
            <w:vAlign w:val="center"/>
          </w:tcPr>
          <w:p>
            <w:pPr>
              <w:spacing w:after="0"/>
            </w:pPr>
            <w:r/>
            <w:r>
              <w:rPr>
                <w:b w:val="0"/>
                <w:sz w:val="18"/>
              </w:rPr>
              <w:t>Wykorzystanie genomu/transkryptomu do interpretacji danych MS.</w:t>
            </w:r>
          </w:p>
        </w:tc>
      </w:tr>
      <w:tr>
        <w:tc>
          <w:tcPr>
            <w:tcW w:type="dxa" w:w="5100"/>
            <w:vAlign w:val="center"/>
          </w:tcPr>
          <w:p>
            <w:pPr>
              <w:spacing w:after="0"/>
            </w:pPr>
            <w:r/>
            <w:r>
              <w:rPr>
                <w:b/>
                <w:sz w:val="18"/>
              </w:rPr>
              <w:t>Neoantygen</w:t>
            </w:r>
          </w:p>
        </w:tc>
        <w:tc>
          <w:tcPr>
            <w:tcW w:type="dxa" w:w="5100"/>
            <w:vAlign w:val="center"/>
          </w:tcPr>
          <w:p>
            <w:pPr>
              <w:spacing w:after="0"/>
            </w:pPr>
            <w:r/>
            <w:r>
              <w:rPr>
                <w:b w:val="0"/>
                <w:sz w:val="18"/>
              </w:rPr>
              <w:t>Peptyd wynikający m.in. z wariantu somatycznego, potencjalnie rozpoznawany immunologicznie.</w:t>
            </w:r>
          </w:p>
        </w:tc>
      </w:tr>
      <w:tr>
        <w:tc>
          <w:tcPr>
            <w:tcW w:type="dxa" w:w="5100"/>
            <w:vAlign w:val="center"/>
          </w:tcPr>
          <w:p>
            <w:pPr>
              <w:spacing w:after="0"/>
            </w:pPr>
            <w:r/>
            <w:r>
              <w:rPr>
                <w:b/>
                <w:sz w:val="18"/>
              </w:rPr>
              <w:t>Mapowanie ID</w:t>
            </w:r>
          </w:p>
        </w:tc>
        <w:tc>
          <w:tcPr>
            <w:tcW w:type="dxa" w:w="5100"/>
            <w:vAlign w:val="center"/>
          </w:tcPr>
          <w:p>
            <w:pPr>
              <w:spacing w:after="0"/>
            </w:pPr>
            <w:r/>
            <w:r>
              <w:rPr>
                <w:b w:val="0"/>
                <w:sz w:val="18"/>
              </w:rPr>
              <w:t>Łączenie odpowiadających sobie genów, transkryptów i białek.</w:t>
            </w:r>
          </w:p>
        </w:tc>
      </w:tr>
      <w:tr>
        <w:tc>
          <w:tcPr>
            <w:tcW w:type="dxa" w:w="5100"/>
            <w:vAlign w:val="center"/>
          </w:tcPr>
          <w:p>
            <w:pPr>
              <w:spacing w:after="0"/>
            </w:pPr>
            <w:r/>
            <w:r>
              <w:rPr>
                <w:b/>
                <w:sz w:val="18"/>
              </w:rPr>
              <w:t>Multi-omics</w:t>
            </w:r>
          </w:p>
        </w:tc>
        <w:tc>
          <w:tcPr>
            <w:tcW w:type="dxa" w:w="5100"/>
            <w:vAlign w:val="center"/>
          </w:tcPr>
          <w:p>
            <w:pPr>
              <w:spacing w:after="0"/>
            </w:pPr>
            <w:r/>
            <w:r>
              <w:rPr>
                <w:b w:val="0"/>
                <w:sz w:val="18"/>
              </w:rPr>
              <w:t>Integracja wielu warstw molekularnych.</w:t>
            </w:r>
          </w:p>
        </w:tc>
      </w:tr>
    </w:tbl>
    <w:p/>
    <w:p>
      <w:pPr>
        <w:pStyle w:val="Heading2"/>
      </w:pPr>
      <w:r>
        <w:t>Pułapki interpretacyjne</w:t>
      </w:r>
    </w:p>
    <w:p>
      <w:pPr>
        <w:pStyle w:val="ListBullet"/>
      </w:pPr>
      <w:r>
        <w:t>Brak korelacji RNA-białko nie oznacza błędu - może odzwierciedlać regulację potranslacyjną.</w:t>
      </w:r>
    </w:p>
    <w:p>
      <w:pPr>
        <w:pStyle w:val="ListBullet"/>
      </w:pPr>
      <w:r>
        <w:t>Porównanie wymaga zgodnych próbek i poprawnego mapowania identyfikatorów.</w:t>
      </w:r>
    </w:p>
    <w:p>
      <w:pPr>
        <w:pStyle w:val="Heading2"/>
      </w:pPr>
      <w:r>
        <w:t>Pytania kontrolne</w:t>
      </w:r>
    </w:p>
    <w:p>
      <w:r>
        <w:t>1. Dlaczego poziom mRNA może różnić się od poziomu białka?</w:t>
      </w:r>
    </w:p>
    <w:p>
      <w:r>
        <w:t>2. Jak powstaje spersonalizowana baza proteogenomiczna?</w:t>
      </w:r>
    </w:p>
    <w:p>
      <w:r>
        <w:t>3. Jakie problemy powodują brakujące wartości?</w:t>
      </w:r>
    </w:p>
    <w:p>
      <w:pPr>
        <w:pStyle w:val="Zapamiętaj"/>
      </w:pPr>
      <w:r>
        <w:t>Wróć do podręcznika, aby wykonać przypisane zadania praktyczne i case studies.</w:t>
      </w:r>
    </w:p>
    <w:p>
      <w:r>
        <w:br w:type="page"/>
      </w:r>
    </w:p>
    <w:p>
      <w:pPr>
        <w:pStyle w:val="Heading1"/>
      </w:pPr>
      <w:r>
        <w:t>12. Dalsza nauka i rozwój</w:t>
      </w:r>
    </w:p>
    <w:p>
      <w:r>
        <w:rPr>
          <w:i/>
        </w:rPr>
        <w:t>Zakres w podręczniku: strony 85-88</w:t>
      </w:r>
    </w:p>
    <w:p>
      <w:pPr>
        <w:pStyle w:val="Heading2"/>
      </w:pPr>
      <w:r>
        <w:t>Cele nauki</w:t>
      </w:r>
    </w:p>
    <w:p>
      <w:pPr>
        <w:pStyle w:val="ListBullet"/>
      </w:pPr>
      <w:r>
        <w:t>Zbudować plan dalszej nauki i praktyki.</w:t>
      </w:r>
    </w:p>
    <w:p>
      <w:pPr>
        <w:pStyle w:val="ListBullet"/>
      </w:pPr>
      <w:r>
        <w:t>Rozpoznawać źródła kursów, danych, dokumentacji i społeczności.</w:t>
      </w:r>
    </w:p>
    <w:p>
      <w:pPr>
        <w:pStyle w:val="Heading2"/>
      </w:pPr>
      <w:r>
        <w:t>Sedno rozdziału</w:t>
      </w:r>
    </w:p>
    <w:p>
      <w:pPr>
        <w:pStyle w:val="Heading3"/>
      </w:pPr>
      <w:r>
        <w:t>Ciągłość nauki</w:t>
      </w:r>
    </w:p>
    <w:p>
      <w:r>
        <w:t>Proteomika i bioinformatyka szybko się zmieniają, dlatego rozwój wymaga regularnej pracy z kursami, dokumentacją, otwartymi danymi i literaturą.</w:t>
      </w:r>
    </w:p>
    <w:p>
      <w:pPr>
        <w:pStyle w:val="Heading3"/>
      </w:pPr>
      <w:r>
        <w:t>Platformy</w:t>
      </w:r>
    </w:p>
    <w:p>
      <w:r>
        <w:t>Podręcznik wskazuje m.in. Courserę, edX, EMBL-EBI Training, Galaxy Training Network i materiały ELIXIR.</w:t>
      </w:r>
    </w:p>
    <w:p>
      <w:pPr>
        <w:pStyle w:val="Heading3"/>
      </w:pPr>
      <w:r>
        <w:t>Praktyka</w:t>
      </w:r>
    </w:p>
    <w:p>
      <w:r>
        <w:t>Galaxy, UniProt, PRIDE/ProteomeXchange, STRING/BioGRID/IntAct i AlphaFold DB pozwalają ćwiczyć na rzeczywistych danych oraz dokumentacji.</w:t>
      </w:r>
    </w:p>
    <w:p>
      <w:pPr>
        <w:pStyle w:val="Heading3"/>
      </w:pPr>
      <w:r>
        <w:t>Konferencje i warsztaty</w:t>
      </w:r>
    </w:p>
    <w:p>
      <w:r>
        <w:t>Wymieniono HUPO, wydarzenia EMBO/EMBL, CPTAC Workshops oraz wydarzenia ELIXIR i programy dla początkujących.</w:t>
      </w:r>
    </w:p>
    <w:p>
      <w:pPr>
        <w:pStyle w:val="Heading3"/>
      </w:pPr>
      <w:r>
        <w:t>Literatura</w:t>
      </w:r>
    </w:p>
    <w:p>
      <w:r>
        <w:t>Polecono książki Introduction to Proteomics oraz Bioinformatics Data Skills, a także czasopisma Nature Methods, Molecular &amp; Cellular Proteomics, Bioinformatics i Journal of Proteome Research.</w:t>
      </w:r>
    </w:p>
    <w:p>
      <w:pPr>
        <w:pStyle w:val="Heading2"/>
      </w:pPr>
      <w:r>
        <w:t>Pojęcia i rozróżnienia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Ścieżka narzędziowa</w:t>
            </w:r>
          </w:p>
        </w:tc>
        <w:tc>
          <w:tcPr>
            <w:tcW w:type="dxa" w:w="5100"/>
            <w:vAlign w:val="center"/>
          </w:tcPr>
          <w:p>
            <w:pPr>
              <w:spacing w:after="0"/>
            </w:pPr>
            <w:r/>
            <w:r>
              <w:rPr>
                <w:b w:val="0"/>
                <w:sz w:val="18"/>
              </w:rPr>
              <w:t>Nauka konkretnych pipelineów i formatów.</w:t>
            </w:r>
          </w:p>
        </w:tc>
      </w:tr>
      <w:tr>
        <w:tc>
          <w:tcPr>
            <w:tcW w:type="dxa" w:w="5100"/>
            <w:vAlign w:val="center"/>
          </w:tcPr>
          <w:p>
            <w:pPr>
              <w:spacing w:after="0"/>
            </w:pPr>
            <w:r/>
            <w:r>
              <w:rPr>
                <w:b/>
                <w:sz w:val="18"/>
              </w:rPr>
              <w:t>Ścieżka analityczna</w:t>
            </w:r>
          </w:p>
        </w:tc>
        <w:tc>
          <w:tcPr>
            <w:tcW w:type="dxa" w:w="5100"/>
            <w:vAlign w:val="center"/>
          </w:tcPr>
          <w:p>
            <w:pPr>
              <w:spacing w:after="0"/>
            </w:pPr>
            <w:r/>
            <w:r>
              <w:rPr>
                <w:b w:val="0"/>
                <w:sz w:val="18"/>
              </w:rPr>
              <w:t>Statystyka, R/Python i wizualizacja.</w:t>
            </w:r>
          </w:p>
        </w:tc>
      </w:tr>
      <w:tr>
        <w:tc>
          <w:tcPr>
            <w:tcW w:type="dxa" w:w="5100"/>
            <w:vAlign w:val="center"/>
          </w:tcPr>
          <w:p>
            <w:pPr>
              <w:spacing w:after="0"/>
            </w:pPr>
            <w:r/>
            <w:r>
              <w:rPr>
                <w:b/>
                <w:sz w:val="18"/>
              </w:rPr>
              <w:t>Ścieżka biologiczna</w:t>
            </w:r>
          </w:p>
        </w:tc>
        <w:tc>
          <w:tcPr>
            <w:tcW w:type="dxa" w:w="5100"/>
            <w:vAlign w:val="center"/>
          </w:tcPr>
          <w:p>
            <w:pPr>
              <w:spacing w:after="0"/>
            </w:pPr>
            <w:r/>
            <w:r>
              <w:rPr>
                <w:b w:val="0"/>
                <w:sz w:val="18"/>
              </w:rPr>
              <w:t>Interpretacja funkcji, szlaków, PTM i interakcji.</w:t>
            </w:r>
          </w:p>
        </w:tc>
      </w:tr>
      <w:tr>
        <w:tc>
          <w:tcPr>
            <w:tcW w:type="dxa" w:w="5100"/>
            <w:vAlign w:val="center"/>
          </w:tcPr>
          <w:p>
            <w:pPr>
              <w:spacing w:after="0"/>
            </w:pPr>
            <w:r/>
            <w:r>
              <w:rPr>
                <w:b/>
                <w:sz w:val="18"/>
              </w:rPr>
              <w:t>Ścieżka strukturalna</w:t>
            </w:r>
          </w:p>
        </w:tc>
        <w:tc>
          <w:tcPr>
            <w:tcW w:type="dxa" w:w="5100"/>
            <w:vAlign w:val="center"/>
          </w:tcPr>
          <w:p>
            <w:pPr>
              <w:spacing w:after="0"/>
            </w:pPr>
            <w:r/>
            <w:r>
              <w:rPr>
                <w:b w:val="0"/>
                <w:sz w:val="18"/>
              </w:rPr>
              <w:t>PDB, Cryo-EM, AlphaFold, ChimeraX/PyMOL.</w:t>
            </w:r>
          </w:p>
        </w:tc>
      </w:tr>
    </w:tbl>
    <w:p/>
    <w:p>
      <w:pPr>
        <w:pStyle w:val="Heading2"/>
      </w:pPr>
      <w:r>
        <w:t>Pułapki interpretacyjne</w:t>
      </w:r>
    </w:p>
    <w:p>
      <w:pPr>
        <w:pStyle w:val="ListBullet"/>
      </w:pPr>
      <w:r>
        <w:t>Dokumentacja narzędzia może zmieniać się szybciej niż podręcznik - przy praktyce należy sprawdzać wersję.</w:t>
      </w:r>
    </w:p>
    <w:p>
      <w:pPr>
        <w:pStyle w:val="ListBullet"/>
      </w:pPr>
      <w:r>
        <w:t>Ćwiczenie na publicznych danych wymaga odtworzenia metadanych i parametrów eksperymentu.</w:t>
      </w:r>
    </w:p>
    <w:p>
      <w:pPr>
        <w:pStyle w:val="Heading2"/>
      </w:pPr>
      <w:r>
        <w:t>Pytania kontrolne</w:t>
      </w:r>
    </w:p>
    <w:p>
      <w:r>
        <w:t>1. Jaką ścieżkę rozwoju wybrać do analizy MS?</w:t>
      </w:r>
    </w:p>
    <w:p>
      <w:r>
        <w:t>2. Które zasoby oferują otwarte dane do samodzielnej analizy?</w:t>
      </w:r>
    </w:p>
    <w:p>
      <w:r>
        <w:t>3. Dlaczego dokumentowanie wersji narzędzi jest ważne?</w:t>
      </w:r>
    </w:p>
    <w:p>
      <w:pPr>
        <w:pStyle w:val="Zapamiętaj"/>
      </w:pPr>
      <w:r>
        <w:t>Wróć do podręcznika, aby wykonać przypisane zadania praktyczne i case studies.</w:t>
      </w:r>
    </w:p>
    <w:p>
      <w:r>
        <w:br w:type="page"/>
      </w:r>
    </w:p>
    <w:p>
      <w:pPr>
        <w:pStyle w:val="Heading1"/>
      </w:pPr>
      <w:r>
        <w:t>Zadania projektowe - mapa wymagań</w:t>
      </w:r>
    </w:p>
    <w:p>
      <w:pPr>
        <w:pStyle w:val="Heading2"/>
      </w:pPr>
      <w:r>
        <w:t>Projekt 1 - konserwacja sekwencji enzymu</w:t>
      </w:r>
    </w:p>
    <w:p>
      <w:r>
        <w:t>Wybór ludzkiego enzymu; zebranie 8-12 homologów; MSA w MAFFT lub Clustal Omega; oznaczenie centrum aktywnego, motywów i PTM; ocena konserwacji oraz raport do 400 słów.</w:t>
      </w:r>
    </w:p>
    <w:p>
      <w:pPr>
        <w:pStyle w:val="Heading2"/>
      </w:pPr>
      <w:r>
        <w:t>Projekt 2 - predykcje ML dla trzech białek</w:t>
      </w:r>
    </w:p>
    <w:p>
      <w:r>
        <w:t>DeepLoc 2.0 dla lokalizacji, DeepGOPlus dla funkcji i terminów GO, AlphaFold/ColabFold dla struktury; porównanie z UniProt i danymi eksperymentalnymi; tabela i raport do 400 słów.</w:t>
      </w:r>
    </w:p>
    <w:p>
      <w:pPr>
        <w:pStyle w:val="Heading2"/>
      </w:pPr>
      <w:r>
        <w:t>Projekt 3 - kompleksowa charakterystyka białka</w:t>
      </w:r>
    </w:p>
    <w:p>
      <w:r>
        <w:t>Wybór białka z eksperymentalną strukturą i danymi MS; samodzielna predykcja AlphaFold; superpozycja w ChimeraX; analiza interaktomu, ekspresji i zgodności predykcji funkcji/lokalizacji z eksperymentem.</w:t>
      </w:r>
    </w:p>
    <w:p>
      <w:pPr>
        <w:pStyle w:val="Heading2"/>
      </w:pPr>
      <w:r>
        <w:t>Uniwersalna struktura raportu projektowego</w:t>
      </w:r>
    </w:p>
    <w:p>
      <w:pPr>
        <w:pStyle w:val="ListBullet"/>
      </w:pPr>
      <w:r>
        <w:t>Cel i motywacja biologiczna.</w:t>
      </w:r>
    </w:p>
    <w:p>
      <w:pPr>
        <w:pStyle w:val="ListBullet"/>
      </w:pPr>
      <w:r>
        <w:t>Źródła danych, identyfikatory i wersje narzędzi.</w:t>
      </w:r>
    </w:p>
    <w:p>
      <w:pPr>
        <w:pStyle w:val="ListBullet"/>
      </w:pPr>
      <w:r>
        <w:t>Metody krok po kroku wraz z parametrami.</w:t>
      </w:r>
    </w:p>
    <w:p>
      <w:pPr>
        <w:pStyle w:val="ListBullet"/>
      </w:pPr>
      <w:r>
        <w:t>Wyniki w tabelach i czytelnych wizualizacjach.</w:t>
      </w:r>
    </w:p>
    <w:p>
      <w:pPr>
        <w:pStyle w:val="ListBullet"/>
      </w:pPr>
      <w:r>
        <w:t>Interpretacja: co wynika z danych, a co jest tylko predykcją.</w:t>
      </w:r>
    </w:p>
    <w:p>
      <w:pPr>
        <w:pStyle w:val="ListBullet"/>
      </w:pPr>
      <w:r>
        <w:t>Ograniczenia analizy i możliwe źródła błędów.</w:t>
      </w:r>
    </w:p>
    <w:p>
      <w:pPr>
        <w:pStyle w:val="ListBullet"/>
      </w:pPr>
      <w:r>
        <w:t>Bibliografia oraz odnośniki do baz.</w:t>
      </w:r>
    </w:p>
    <w:p>
      <w:pPr>
        <w:pStyle w:val="Heading1"/>
      </w:pPr>
      <w:r>
        <w:t>Lista kontrolna przed testem</w:t>
      </w:r>
    </w:p>
    <w:p>
      <w:r>
        <w:t>☐ Potrafię zdefiniować proteom i wyjaśnić jego dynamiczny charakter.</w:t>
      </w:r>
    </w:p>
    <w:p>
      <w:r>
        <w:t>☐ Rozróżniam poziomy struktury białka oraz pojęcia kofaktor, koenzym, apoenzym i holoenzym.</w:t>
      </w:r>
    </w:p>
    <w:p>
      <w:r>
        <w:t>☐ Dobieram właściwą bazę do sekwencji, danych MS, PTM, interakcji i lokalizacji.</w:t>
      </w:r>
    </w:p>
    <w:p>
      <w:r>
        <w:t>☐ Rozpoznaję RAW, mzML, MGF, FASTA, PDB/mmCIF i MRC.</w:t>
      </w:r>
    </w:p>
    <w:p>
      <w:r>
        <w:t>☐ Umiem opisać workflow bottom-up LC-MS/MS i problem inferencji białek.</w:t>
      </w:r>
    </w:p>
    <w:p>
      <w:r>
        <w:t>☐ Rozróżniam SILAC, TMT/iTRAQ i label-free oraz kwantyfikację względną i bezwzględną.</w:t>
      </w:r>
    </w:p>
    <w:p>
      <w:r>
        <w:t>☐ Wiem, dlaczego analiza PTM wymaga wzbogacania i lokalizacji miejsca modyfikacji.</w:t>
      </w:r>
    </w:p>
    <w:p>
      <w:r>
        <w:t>☐ Interpretuję węzły, krawędzie, huby i moduły w sieci PPI.</w:t>
      </w:r>
    </w:p>
    <w:p>
      <w:r>
        <w:t>☐ Porównuję krystalografię, NMR, Cryo-EM i predykcję AlphaFold.</w:t>
      </w:r>
    </w:p>
    <w:p>
      <w:r>
        <w:t>☐ Rozumiem różnicę między predykcją ML a walidacją eksperymentalną.</w:t>
      </w:r>
    </w:p>
    <w:p>
      <w:r>
        <w:t>☐ Dobieram volcano plot, heatmapę, PCA, boxplot i MSA do pytania.</w:t>
      </w:r>
    </w:p>
    <w:p>
      <w:r>
        <w:t>☐ Wyjaśniam, dlaczego RNA i białko nie zawsze korelują.</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Bioinformatyka w proteomice - materiał opracowany na podstawie podręcznika kursowego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Pełny skrypt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F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F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apamiętaj">
    <w:name w:val="Zapamiętaj"/>
    <w:pPr>
      <w:spacing w:before="80" w:after="80"/>
      <w:ind w:left="283"/>
    </w:pPr>
    <w:rPr>
      <w:rFonts w:ascii="Aptos" w:hAnsi="Aptos"/>
      <w:b/>
      <w:color w:val="183F5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